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Whitepaper — Version One (Updated March 26, 2026)</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(contract: 0x0BBC24a0cBBC5d3fF1B9b90ce5195fC04FE0dD56) and Uniswap v3 (pool: 0x0B1865E9519EFf7De80539d986C5abCC5e8667De, wKX/USDC 1% fee). HedgeKX escrow: 0x5d423b4BCaA3474eDb187BC4D823d51900007432. XChan holds a 10,000,000 KX bond. In the future XChan may license third-party conversion services.</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spacing w:before="80" w:after="120"/>
      </w:pPr>
      <w:r>
        <w:rPr>
          <w:rFonts w:ascii="Arial" w:hAnsi="Arial"/>
          <w:sz w:val="22"/>
        </w:rPr>
        <w:t>HedgeKX serves as the stability layer of the ChronX ecosystem. By creating a two-sided market for KX price risk, it simultaneously protects lenders against KX depreciation, enables principal-protected savings accounts, and provides the price stability that makes long-duration PAY–AS promises credible. The relationship is self-reinforcing: savings deposits provide HedgeKX liquidity, which stabilises KX, which makes PAY–AS loans viable, which generates hedge demand from borrowers and lenders, which produces yield for savers, which attracts more savings deposits. The health of every financial instrument in the ChronX ecosystem ultimately depends on HedgeKX’s capacity to absorb and distribute price risk across willing participants.</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hAnsi="Arial"/>
          <w:sz w:val="22"/>
        </w:rPr>
        <w:t>KXGC provides the backstop that makes PAY_AS insurance, long-horizon lending, and multi-party conditional payments viable at scale.</w:t>
      </w:r>
    </w:p>
    <w:p>
      <w:pPr>
        <w:spacing w:before="80" w:after="120"/>
        <w:jc w:val="both"/>
      </w:pPr>
      <w:r>
        <w:rPr>
          <w:rFonts w:ascii="Arial" w:cs="Arial" w:eastAsia="Arial" w:hAnsi="Arial"/>
          <w:sz w:val="22"/>
          <w:szCs w:val="22"/>
        </w:rPr>
        <w:t xml:space="preserve">Bond wallet: BqjGDbhzLJJgzpVywRxug4wTa2Qqtwipc1hkcLLJsWzF</w:t>
      </w:r>
    </w:p>
    <w:p>
      <w:pPr>
        <w:spacing w:before="80" w:after="120"/>
        <w:jc w:val="both"/>
      </w:pPr>
      <w:r>
        <w:rPr>
          <w:rFonts w:ascii="Arial" w:hAnsi="Arial"/>
          <w:sz w:val="22"/>
        </w:rPr>
        <w:t>4.7 Savings — Protocol-Guaranteed Principal</w:t>
      </w:r>
    </w:p>
    <w:p>
      <w:pPr>
        <w:spacing w:before="80" w:after="120"/>
        <w:jc w:val="both"/>
      </w:pPr>
      <w:r>
        <w:rPr>
          <w:rFonts w:ascii="Arial" w:hAnsi="Arial"/>
          <w:i/>
          <w:sz w:val="22"/>
        </w:rPr>
        <w:t>“Your savings principal is guaranteed by the ChronX protocol — secured by mathematics, not by a bank.”</w:t>
      </w:r>
    </w:p>
    <w:p>
      <w:pPr>
        <w:spacing w:before="80" w:after="120"/>
        <w:jc w:val="both"/>
      </w:pPr>
      <w:r>
        <w:rPr>
          <w:rFonts w:ascii="Arial" w:hAnsi="Arial"/>
          <w:sz w:val="22"/>
        </w:rPr>
        <w:t>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 No bank can make this statement about a yield-bearing product. A bank’s promise to return principal depends on solvency, insurance, and government discretion. ChronX’s guarantee depends only on mathematics.</w:t>
      </w:r>
    </w:p>
    <w:p>
      <w:pPr>
        <w:spacing w:before="80" w:after="120"/>
        <w:jc w:val="both"/>
      </w:pPr>
      <w:r>
        <w:rPr>
          <w:rFonts w:ascii="Arial" w:hAnsi="Arial"/>
          <w:sz w:val="22"/>
        </w:rPr>
        <w:t>Yield is separate from principal and is not guaranteed. If market activity produces no yield in a given period, the principal is unaffected and returns in full at maturity. Maximum loss to a saver in any scenario: zero principal. At most one day of yield in a disruption event.</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120"/>
        <w:jc w:val="both"/>
      </w:pPr>
      <w:r>
        <w:rPr>
          <w:rFonts w:ascii="Arial" w:hAnsi="Arial"/>
          <w:sz w:val="22"/>
        </w:rPr>
        <w:t>A Note on wKX and Tokenomics</w:t>
      </w:r>
    </w:p>
    <w:p>
      <w:pPr>
        <w:spacing w:before="80" w:after="120"/>
        <w:jc w:val="both"/>
      </w:pPr>
      <w:r>
        <w:rPr>
          <w:rFonts w:ascii="Arial" w:hAnsi="Arial"/>
          <w:sz w:val="22"/>
        </w:rPr>
        <w:t>wKX (Wrapped KX) is a temporary representation of locked KX on Base (Ethereum L2). When KX is locked in a savings lock or XChan conversion lock, an equivalent amount of wKX may be minted on Base. This wKX is burned when the ChronX lock matures. At all times: total KX on ChronX DAG + total wKX on Base = 8,270,000,000 KX. wKX is not new supply. It is representation. The 8.27 billion cap is never violated.</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pPr>
        <w:spacing w:before="0" w:after="80"/>
      </w:pPr>
      <w:r>
        <w:rPr>
          <w:rFonts w:ascii="Arial" w:hAnsi="Arial"/>
          <w:sz w:val="22"/>
        </w:rPr>
        <w:t>March 26, 2026: Savings lock architecture. wKX v3 provenance contract. Principal guarantee encoded.</w:t>
      </w:r>
    </w:p>
    <w:p>
      <w:pPr>
        <w:spacing w:before="0" w:after="80"/>
      </w:pPr>
      <w:r>
        <w:rPr>
          <w:rFonts w:ascii="Arial" w:hAnsi="Arial"/>
          <w:sz w:val="22"/>
        </w:rPr>
        <w:t>~March 29–31, 2026: YubiHSM 2 FIPS arrival. Bridge and attestation keys migrated to hardware. Savings yield activation.</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 premiums are determined by market participants. During the pre-ICO founding phase, premium rates reflect the token’s limited price history and carry a substantial risk premium. Rates will compress as KX establishes a verifiable track record post-ICO. OracleTrigger condition (planned) will automate settlement.</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Premium determined by market participants. During founding phase, rates reflect limited price history and carry substantial risk premium.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80" w:after="120"/>
        <w:jc w:val="both"/>
      </w:pPr>
      <w:r>
        <w:rPr>
          <w:rFonts w:ascii="Arial" w:hAnsi="Arial"/>
          <w:sz w:val="22"/>
        </w:rPr>
        <w:t>Credit assessment on ChronX can weight loan history by the institutional credibility of the lender, as indicated by their CPNX badge. Obligations from unverified counterparties can be deemed to carry no weight in credit scoring. Lenders use their own underwriting software to evaluate credit risk; ChronX provides the immutable ledger record, not a credit score.</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200" w:after="120"/>
        <w:jc w:val="both"/>
      </w:pPr>
      <w:r>
        <w:rPr>
          <w:rFonts w:ascii="Arial" w:cs="Arial" w:eastAsia="Arial" w:hAnsi="Arial"/>
          <w:b/>
          <w:sz w:val="24"/>
          <w:szCs w:val="24"/>
        </w:rPr>
        <w:t xml:space="preserve">L.8 Synthetic Positions Disclosure</w:t>
      </w:r>
    </w:p>
    <w:p>
      <w:pPr>
        <w:spacing w:before="80" w:after="120"/>
        <w:jc w:val="both"/>
      </w:pPr>
      <w:r>
        <w:rPr>
          <w:rFonts w:ascii="Arial" w:cs="Arial" w:eastAsia="Arial" w:hAnsi="Arial"/>
          <w:sz w:val="22"/>
          <w:szCs w:val="22"/>
        </w:rPr>
        <w:t xml:space="preserve">A participant holding two wallets—or transacting with a related party—may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on the scale of such positions. HedgeKX does not operate as a derivatives exchange. Participants constructing synthetic positions do so as bilateral counterparties under standard instrument terms.</w:t>
      </w:r>
    </w:p>
    <w:p>
      <w:pPr>
        <w:spacing w:before="80" w:after="120"/>
        <w:jc w:val="both"/>
      </w:pPr>
      <w:r>
        <w:t>L.9 Principal-Protected Savings</w:t>
      </w:r>
    </w:p>
    <w:p>
      <w:pPr>
        <w:spacing w:before="80" w:after="120"/>
        <w:jc w:val="both"/>
      </w:pPr>
      <w:r>
        <w:rPr>
          <w:rFonts w:ascii="Arial" w:hAnsi="Arial"/>
          <w:sz w:val="22"/>
        </w:rPr>
        <w:t>KX holders may designate a portion of their wallet balance as savings. Savings balances are excluded from Auto-Sweep and loan repayment obligations. Optionally, savings may be invested in overnight HedgeKX instruments to earn yield.</w:t>
      </w:r>
    </w:p>
    <w:p>
      <w:pPr>
        <w:spacing w:before="80" w:after="120"/>
        <w:jc w:val="both"/>
      </w:pPr>
      <w:r>
        <w:rPr>
          <w:rFonts w:ascii="Arial" w:hAnsi="Arial"/>
          <w:sz w:val="22"/>
        </w:rPr>
        <w:t>The yield structure operates on two layers. The savings depositor acts as a hedge seller, earning a daily fraction of an annualised rate between zero and five percent. A superseding hedger commits USDC collateral to absorb any loss that would otherwise reduce the depositor’s principal. If no superseding hedger is available, the savings balance earns zero percent and holds KX without risk. Principal is never reduced.</w:t>
      </w:r>
    </w:p>
    <w:p>
      <w:pPr>
        <w:spacing w:before="80" w:after="120"/>
        <w:jc w:val="both"/>
      </w:pPr>
      <w:r>
        <w:rPr>
          <w:rFonts w:ascii="Arial" w:hAnsi="Arial"/>
          <w:sz w:val="22"/>
        </w:rPr>
        <w:t>Governance parameters control the maximum annual yield (savings_max_annual_yield_pct: 5.0) and whether HedgeKX investment is active (savings_hedgekx_yield_enabled). The feature requires a governance vote before public activation due to HedgeKX liquidity requirements.</w:t>
      </w:r>
    </w:p>
    <w:p>
      <w:pPr>
        <w:spacing w:before="80" w:after="120"/>
        <w:jc w:val="both"/>
      </w:pPr>
      <w:r>
        <w:rPr>
          <w:rFonts w:ascii="Arial" w:hAnsi="Arial"/>
          <w:b/>
          <w:sz w:val="22"/>
        </w:rPr>
        <w:t>L.10 wKX Provenance Architecture</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spacing w:before="80" w:after="120"/>
        <w:jc w:val="both"/>
      </w:pPr>
      <w:r>
        <w:rPr>
          <w:rFonts w:ascii="Arial" w:hAnsi="Arial"/>
          <w:sz w:val="22"/>
        </w:rPr>
        <w:t>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120"/>
        <w:jc w:val="both"/>
      </w:pPr>
      <w:r>
        <w:rPr>
          <w:rFonts w:ascii="Arial" w:hAnsi="Arial"/>
          <w:sz w:val="22"/>
        </w:rPr>
        <w:t>Two-key security model: Key 1 (HedgeKX minting key, YubiHSM slot 1) and Key 2 (ChronX node attestation key, YubiHSM slot 2). Neither key alone can mint wKX. Fabricated lock_ids are impossible (BLAKE3 hashes of real DAG transactions). Extended lock expiry is impossible (expiry is in the immutable DAG). Minting after lock maturity is impossible (contract rejects matured lock_ids).</w:t>
      </w:r>
    </w:p>
    <w:p>
      <w:pPr>
        <w:spacing w:before="80" w:after="120"/>
        <w:jc w:val="both"/>
      </w:pPr>
      <w:r>
        <w:rPr>
          <w:rFonts w:ascii="Arial" w:hAnsi="Arial"/>
          <w:sz w:val="22"/>
        </w:rPr>
        <w:t>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Do not re-seed the Uniswap pool until all stolen lock_ids are invalidated. Saver outcome in all scenarios: full principal returned.</w:t>
      </w:r>
    </w:p>
    <w:p>
      <w:pPr>
        <w:spacing w:before="80" w:after="120"/>
        <w:jc w:val="both"/>
      </w:pPr>
      <w:r>
        <w:rPr>
          <w:rFonts w:ascii="Arial" w:hAnsi="Arial"/>
          <w:sz w:val="22"/>
        </w:rPr>
        <w:t>Public auditability: the isRedeemable(lock_id) function allows anyone — journalists, regulators, users — to verify that any wKX in existence is backed by an active ChronX savings lock.</w:t>
      </w:r>
    </w:p>
    <w:p>
      <w:pPr>
        <w:spacing w:before="80" w:after="120"/>
        <w:jc w:val="both"/>
      </w:pPr>
      <w:r>
        <w:rPr>
          <w:rFonts w:ascii="Arial" w:hAnsi="Arial"/>
          <w:b/>
          <w:sz w:val="22"/>
        </w:rPr>
        <w:t>L.11 Friendly Loans</w:t>
      </w:r>
    </w:p>
    <w:p>
      <w:pPr>
        <w:spacing w:before="80" w:after="120"/>
        <w:jc w:val="both"/>
      </w:pPr>
      <w:r>
        <w:rPr>
          <w:rFonts w:ascii="Arial" w:hAnsi="Arial"/>
          <w:sz w:val="22"/>
        </w:rPr>
        <w:t>A friendly loan is a send variant where the recipient is expected to return the value within a set number of days. Zero protocol interest — the only cost is the hedge premium (currency risk protection). Total fee cap: 1% of loan value for 30 days (annualized ~12%). This is a hedge premium, not interest. HedgeKX is the sole oracle for pricing, drawing exclusively from XChan. friendly_loan_hedge_required is effectively immutable at scale — removing it would create protocol solvency risk.</w:t>
      </w:r>
    </w:p>
    <w:p>
      <w:pPr>
        <w:spacing w:before="80" w:after="120"/>
        <w:jc w:val="both"/>
      </w:pPr>
      <w:r>
        <w:rPr>
          <w:rFonts w:ascii="Arial" w:hAnsi="Arial"/>
          <w:sz w:val="22"/>
        </w:rPr>
        <w:t>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120"/>
        <w:jc w:val="both"/>
      </w:pPr>
      <w:r>
        <w:rPr>
          <w:rFonts w:ascii="Arial" w:hAnsi="Arial"/>
          <w:sz w:val="22"/>
        </w:rPr>
        <w:t>Dynamic loan cap: effective maximum is min(friendly_loan_max_usd_per_tx, hedgekx_available_capacity_usd × 0.80). As the open order book deepens post-ICO, the cap rises automatically. No governance intervention needed.</w:t>
      </w:r>
    </w:p>
    <w:p>
      <w:pPr>
        <w:spacing w:before="80" w:after="120"/>
        <w:jc w:val="both"/>
      </w:pPr>
      <w:r>
        <w:rPr>
          <w:rFonts w:ascii="Arial" w:hAnsi="Arial"/>
          <w:sz w:val="22"/>
        </w:rPr>
        <w:t>Reminder email schedule: 3 days before (gentle reminder), 1 day before (clear notice with payment instructions), on due date (final notice with payment link). For loans under 4 days, skip the 3-day reminder. For loans under 2 days, due-date email only. Tone is warm, not alarming. Friendly loans require a live HedgeKX hedge. If HedgeKX is paused, friendly loans are unavailable. This is correct: a loan that cannot be hedged cannot be made.</w:t>
      </w:r>
    </w:p>
    <w:p>
      <w:pPr>
        <w:spacing w:before="0" w:after="80"/>
      </w:pPr>
      <w:r>
        <w:t xml:space="preserve"/>
      </w:r>
    </w:p>
    <w:p>
      <w:r>
        <w:br w:type="page"/>
      </w:r>
    </w:p>
    <w:p>
      <w:r>
        <w:rPr/>
        <w:t>Appendix M — Savings Lock Technical Reference</w:t>
      </w:r>
    </w:p>
    <w:p>
      <w:r>
        <w:rPr>
          <w:rFonts w:ascii="Arial" w:hAnsi="Arial"/>
          <w:sz w:val="22"/>
        </w:rPr>
        <w:t>CreateSavingsLock fields: lock_type SAVINGS, savings_duration_days (1–365), hedgekx_mandate (bool), hedgekx_investable_fraction (max 0.90), auto_renew (bool), savings_reserve_pct (min 0.10). Debits spendable_balance, credits savings_balance. Exempt from auto-sweep and loan obligations. Principal cannot be seized by any protocol action.</w:t>
      </w:r>
    </w:p>
    <w:p>
      <w:r>
        <w:rPr>
          <w:rFonts w:ascii="Arial" w:hAnsi="Arial"/>
          <w:sz w:val="22"/>
        </w:rPr>
        <w:t>XChanConversionLock: lock_type XCHAN_CONVERSION, 60-second duration, created automatically when KX arrives at bridge wallet. Establishes provenance for wKX minting. If mint fails, lock expires and KX returns to sender. Creates permanent DAG record of every XChan conversion.</w:t>
      </w:r>
    </w:p>
    <w:p>
      <w:r>
        <w:rPr>
          <w:rFonts w:ascii="Arial" w:hAnsi="Arial"/>
          <w:sz w:val="22"/>
        </w:rPr>
        <w:t>wKX v3 contract: 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r>
        <w:rPr>
          <w:rFonts w:ascii="Arial" w:hAnsi="Arial"/>
          <w:sz w:val="22"/>
        </w:rPr>
        <w:t>Build sequence: Phase 1 (no HSM) — CreateSavingsLock and XChanConversionLock actions in transaction.rs, savings wallet UI, savings_wkx_mint_enabled: false. Phase 2 (YubiHSM arrives) — generate keys on HSM, deploy wKX v3 contract on Base, test end-to-end, enable savings yield. Phase 3 (post-ICO) — open HedgeKX order book, enable friendly loans, raise governance caps.</w:t>
      </w:r>
    </w:p>
    <w:p>
      <w:r>
        <w:rPr>
          <w:rFonts w:ascii="Arial" w:hAnsi="Arial"/>
          <w:sz w:val="22"/>
        </w:rPr>
        <w:t>Appendix N — The Savings Guarantee: Technical and Legal Basis</w:t>
      </w:r>
    </w:p>
    <w:p>
      <w:r>
        <w:rPr>
          <w:rFonts w:ascii="Arial" w:hAnsi="Arial"/>
          <w:sz w:val="22"/>
        </w:rPr>
        <w:t>Why the principal guarantee is absolute: The KX is on the DAG, not in anyone’s custody. The DAG is append-only — no entity can modify a lock. Maturity is time-triggered, not human-triggered. Post-quantum cryptography (CRYSTALS-Dilithium2) protects against computational attacks.</w:t>
      </w:r>
    </w:p>
    <w:p>
      <w:r>
        <w:rPr>
          <w:rFonts w:ascii="Arial" w:hAnsi="Arial"/>
          <w:sz w:val="22"/>
        </w:rPr>
        <w:t>What HedgeKX receives (a mandate, not custody): HedgeKX holds a time-limited permission to mint wKX. HedgeKX never holds the underlying KX. The mandate expires automatically — governance cannot extend it. If the mandate expires without being honored, the ChronX lock releases regardless.</w:t>
      </w:r>
    </w:p>
    <w:p>
      <w:r>
        <w:rPr>
          <w:rFonts w:ascii="Arial" w:hAnsi="Arial"/>
          <w:sz w:val="22"/>
        </w:rPr>
        <w:t>Why wKX minting is not inflation: wKX is 1:1 backed by locked KX. Total KX on ChronX DAG + total wKX on Base = 8,270,000,000 always. wKX is temporary representation, not new supply. At lock maturity: wKX burned, ChronX lock releases — net change: zero.</w:t>
      </w:r>
    </w:p>
    <w:p>
      <w:r>
        <w:rPr>
          <w:rFonts w:ascii="Arial" w:hAnsi="Arial"/>
          <w:sz w:val="22"/>
        </w:rPr>
        <w:t>Why wKX cannot be defaulted on: wKX is a bridge token, not a debt instrument. It does not represent a promise to pay — it represents locked KX. If wKX circulates without a corresponding active lock, it is unredeemable and worthless by contract enforcement. Friendly loan default risk falls on the lender, not the saver. The saver’s principal is protected regardless of what borrowers do.</w:t>
      </w:r>
    </w:p>
    <w:p>
      <w:r>
        <w:rPr>
          <w:rFonts w:ascii="Arial" w:hAnsi="Arial"/>
          <w:sz w:val="22"/>
        </w:rPr>
        <w:t>Comparison to traditional banking: A bank CD protects principal via FDIC (capped, exhaustible, discretionary). ChronX savings protects principal via the DAG (uncapped, inexhaustible, mathematical). Bank savings yield is guaranteed by contract (can default). ChronX yield is market-determined (zero if no market activity, principal unaffected).</w:t>
      </w:r>
    </w:p>
    <w:p>
      <w:r>
        <w:rPr>
          <w:rFonts w:ascii="Arial" w:hAnsi="Arial"/>
          <w:sz w:val="22"/>
        </w:rPr>
        <w:t>Legal note: KX is a utility token. This is not a deposit account, not a security, and not FDIC-insured. The guarantee described is a cryptographic and protocol guarantee, not a legal or financial guarantee under any jurisdiction’s banking law.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