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120"/>
        <w:jc w:val="center"/>
      </w:pPr>
      <w:r>
        <w:rPr>
          <w:rFonts w:ascii="Arial" w:cs="Arial" w:eastAsia="Arial" w:hAnsi="Arial"/>
          <w:b/>
          <w:bCs/>
          <w:color w:val="C9A84C"/>
          <w:sz w:val="52"/>
          <w:szCs w:val="52"/>
        </w:rPr>
        <w:t xml:space="preserve">CHRONX PROTOCOL</w:t>
      </w:r>
    </w:p>
    <w:p>
      <w:pPr>
        <w:spacing w:before="0" w:after="80"/>
        <w:jc w:val="center"/>
      </w:pPr>
      <w:r>
        <w:rPr>
          <w:rFonts w:ascii="Arial" w:cs="Arial" w:eastAsia="Arial" w:hAnsi="Arial"/>
          <w:color w:val="666666"/>
          <w:sz w:val="28"/>
          <w:szCs w:val="28"/>
        </w:rPr>
        <w:t xml:space="preserve">Whitepaper v6.2</w:t>
      </w:r>
    </w:p>
    <w:p>
      <w:pPr>
        <w:spacing w:before="0" w:after="240"/>
        <w:jc w:val="center"/>
      </w:pPr>
      <w:r>
        <w:rPr>
          <w:rFonts w:ascii="Georgia" w:cs="Georgia" w:eastAsia="Georgia" w:hAnsi="Georgia"/>
          <w:i/>
          <w:iCs/>
          <w:sz w:val="26"/>
          <w:szCs w:val="26"/>
        </w:rPr>
        <w:t xml:space="preserve">The Ledger for Long-Horizon Human Promises</w:t>
      </w:r>
    </w:p>
    <w:p>
      <w:pPr>
        <w:pBdr>
          <w:bottom w:val="single" w:color="C9A84C" w:sz="6" w:space="1"/>
        </w:pBdr>
        <w:spacing w:before="200" w:after="200"/>
      </w:pPr>
    </w:p>
    <w:p>
      <w:pPr>
        <w:spacing w:before="160" w:after="80"/>
        <w:jc w:val="center"/>
      </w:pPr>
      <w:r>
        <w:rPr>
          <w:rFonts w:ascii="Arial" w:cs="Arial" w:eastAsia="Arial" w:hAnsi="Arial"/>
          <w:color w:val="666666"/>
          <w:sz w:val="20"/>
          <w:szCs w:val="20"/>
        </w:rPr>
        <w:t xml:space="preserve">Genesis 10  •  Post-Quantum Cryptography  •  Zero Fees</w:t>
      </w:r>
    </w:p>
    <w:p>
      <w:pPr>
        <w:spacing w:before="80" w:after="80"/>
        <w:jc w:val="center"/>
      </w:pPr>
      <w:r>
        <w:rPr>
          <w:rFonts w:ascii="Arial" w:cs="Arial" w:eastAsia="Arial" w:hAnsi="Arial"/>
          <w:b/>
          <w:bCs/>
          <w:sz w:val="20"/>
          <w:szCs w:val="20"/>
        </w:rPr>
        <w:t xml:space="preserve">ICO: September 22, 2026  •  $0.00319 per KX</w:t>
      </w:r>
    </w:p>
    <w:p>
      <w:pPr>
        <w:spacing w:before="80" w:after="0"/>
        <w:jc w:val="center"/>
      </w:pPr>
      <w:r>
        <w:rPr>
          <w:rFonts w:ascii="Arial" w:cs="Arial" w:eastAsia="Arial" w:hAnsi="Arial"/>
          <w:color w:val="C9A84C"/>
          <w:sz w:val="20"/>
          <w:szCs w:val="20"/>
        </w:rPr>
        <w:t xml:space="preserve">chronx.io</w:t>
      </w:r>
    </w:p>
    <w:p>
      <w:r>
        <w:br w:type="page"/>
      </w:r>
    </w:p>
    <w:p>
      <w:pPr>
        <w:spacing w:before="160" w:after="160"/>
        <w:ind w:left="720" w:right="720"/>
        <w:jc w:val="center"/>
      </w:pPr>
      <w:r>
        <w:rPr>
          <w:rFonts w:ascii="Georgia" w:cs="Georgia" w:eastAsia="Georgia" w:hAnsi="Georgia"/>
          <w:i/>
          <w:iCs/>
          <w:color w:val="C9A84C"/>
          <w:sz w:val="22"/>
          <w:szCs w:val="22"/>
        </w:rPr>
        <w:t xml:space="preserve">"ChronX does not merely record that a promise was made. ChronX makes the promise inevitable."</w:t>
      </w:r>
    </w:p>
    <w:p>
      <w:pPr>
        <w:spacing w:before="160" w:after="0"/>
      </w:pPr>
    </w:p>
    <w:p>
      <w:pPr>
        <w:pStyle w:val="Heading1"/>
        <w:spacing w:before="360" w:after="120"/>
      </w:pPr>
      <w:r>
        <w:rPr>
          <w:rFonts w:ascii="Arial" w:cs="Arial" w:eastAsia="Arial" w:hAnsi="Arial"/>
          <w:b/>
          <w:bCs/>
          <w:sz w:val="32"/>
          <w:szCs w:val="32"/>
        </w:rPr>
        <w:t xml:space="preserve">1. The Promise</w:t>
      </w:r>
    </w:p>
    <w:p>
      <w:pPr>
        <w:spacing w:before="80" w:after="120"/>
        <w:jc w:val="both"/>
      </w:pPr>
      <w:r>
        <w:rPr>
          <w:rFonts w:ascii="Arial" w:cs="Arial" w:eastAsia="Arial" w:hAnsi="Arial"/>
          <w:sz w:val="22"/>
          <w:szCs w:val="22"/>
        </w:rPr>
        <w:t xml:space="preserve">Every financial system in the world is built on promises. A mortgage is a promise to pay monthly for thirty years. Child support is a promise enforced by a court. A charitable pledge is a promise to give when conditions are met. An inheritance is a promise that outlives the person who made it.</w:t>
      </w:r>
    </w:p>
    <w:p>
      <w:pPr>
        <w:spacing w:before="80" w:after="120"/>
        <w:jc w:val="both"/>
      </w:pPr>
      <w:r>
        <w:rPr>
          <w:rFonts w:ascii="Arial" w:cs="Arial" w:eastAsia="Arial" w:hAnsi="Arial"/>
          <w:sz w:val="22"/>
          <w:szCs w:val="22"/>
        </w:rPr>
        <w:t xml:space="preserve">These promises share one vulnerability: they depend on human institutions to enforce them. Banks, courts, lawyers, collection agencies. When those institutions fail or simply cannot reach across time — the promises fail too.</w:t>
      </w:r>
    </w:p>
    <w:p>
      <w:pPr>
        <w:spacing w:before="80" w:after="120"/>
        <w:jc w:val="both"/>
      </w:pPr>
      <w:r>
        <w:rPr>
          <w:rFonts w:ascii="Arial" w:cs="Arial" w:eastAsia="Arial" w:hAnsi="Arial"/>
          <w:sz w:val="22"/>
          <w:szCs w:val="22"/>
        </w:rPr>
        <w:t xml:space="preserve">ChronX removes that dependency. A promise made on ChronX is enforced by the protocol itself. It does not require a bank to remain solvent, a lawyer to stay in practice, or a court to retain jurisdiction. The blockchain is the contract. The protocol is the enforcement layer. Once made, the promise executes.</w:t>
      </w:r>
    </w:p>
    <w:p>
      <w:pPr>
        <w:spacing w:before="80" w:after="120"/>
        <w:jc w:val="both"/>
      </w:pPr>
      <w:r>
        <w:rPr>
          <w:rFonts w:ascii="Arial" w:cs="Arial" w:eastAsia="Arial" w:hAnsi="Arial"/>
          <w:sz w:val="22"/>
          <w:szCs w:val="22"/>
        </w:rPr>
        <w:t xml:space="preserve">This is what ChronX is for. Not fast transactions — blockchains that focus on speed already exist. ChronX solves the opposite problem: promises that must be honored across years and decades, with complete certainty, at zero cost.</w:t>
      </w:r>
    </w:p>
    <w:p>
      <w:pPr>
        <w:spacing w:before="80" w:after="0"/>
      </w:pPr>
    </w:p>
    <w:p>
      <w:pPr>
        <w:pStyle w:val="Heading2"/>
        <w:spacing w:before="280" w:after="80"/>
      </w:pPr>
      <w:r>
        <w:rPr>
          <w:rFonts w:ascii="Arial" w:cs="Arial" w:eastAsia="Arial" w:hAnsi="Arial"/>
          <w:b/>
          <w:bCs/>
          <w:sz w:val="26"/>
          <w:szCs w:val="26"/>
        </w:rPr>
        <w:t xml:space="preserve">What ChronX delivers</w:t>
      </w:r>
    </w:p>
    <w:p>
      <w:pPr>
        <w:spacing w:before="40" w:after="40"/>
        <w:ind w:left="480" w:hanging="240"/>
      </w:pPr>
      <w:r>
        <w:rPr>
          <w:rFonts w:ascii="Arial" w:cs="Arial" w:eastAsia="Arial" w:hAnsi="Arial"/>
          <w:color w:val="C9A84C"/>
          <w:sz w:val="22"/>
          <w:szCs w:val="22"/>
        </w:rPr>
        <w:t xml:space="preserve">•  </w:t>
      </w:r>
      <w:r>
        <w:rPr>
          <w:rFonts w:ascii="Arial" w:cs="Arial" w:eastAsia="Arial" w:hAnsi="Arial"/>
          <w:b/>
          <w:bCs/>
          <w:sz w:val="22"/>
          <w:szCs w:val="22"/>
        </w:rPr>
        <w:t xml:space="preserve">Zero fees: </w:t>
      </w:r>
      <w:r>
        <w:rPr>
          <w:rFonts w:ascii="Arial" w:cs="Arial" w:eastAsia="Arial" w:hAnsi="Arial"/>
          <w:sz w:val="22"/>
          <w:szCs w:val="22"/>
        </w:rPr>
        <w:t xml:space="preserve">Every transfer, promise, and loan settlement costs nothing. This is not a promotional offer — it is a protocol invariant. A promise scheduled one hundred years in the future cannot carry an unknown future fee burden.</w:t>
      </w:r>
    </w:p>
    <w:p>
      <w:pPr>
        <w:spacing w:before="40" w:after="40"/>
        <w:ind w:left="480" w:hanging="240"/>
      </w:pPr>
      <w:r>
        <w:rPr>
          <w:rFonts w:ascii="Arial" w:cs="Arial" w:eastAsia="Arial" w:hAnsi="Arial"/>
          <w:color w:val="C9A84C"/>
          <w:sz w:val="22"/>
          <w:szCs w:val="22"/>
        </w:rPr>
        <w:t xml:space="preserve">•  </w:t>
      </w:r>
      <w:r>
        <w:rPr>
          <w:rFonts w:ascii="Arial" w:cs="Arial" w:eastAsia="Arial" w:hAnsi="Arial"/>
          <w:b/>
          <w:bCs/>
          <w:sz w:val="22"/>
          <w:szCs w:val="22"/>
        </w:rPr>
        <w:t xml:space="preserve">Post-quantum security: </w:t>
      </w:r>
      <w:r>
        <w:rPr>
          <w:rFonts w:ascii="Arial" w:cs="Arial" w:eastAsia="Arial" w:hAnsi="Arial"/>
          <w:sz w:val="22"/>
          <w:szCs w:val="22"/>
        </w:rPr>
        <w:t xml:space="preserve">All wallets use CRYSTALS-Dilithium2, a NIST-standardized post-quantum cryptographic standard. Promises made today remain secure against future quantum computers.</w:t>
      </w:r>
    </w:p>
    <w:p>
      <w:pPr>
        <w:spacing w:before="40" w:after="40"/>
        <w:ind w:left="480" w:hanging="240"/>
      </w:pPr>
      <w:r>
        <w:rPr>
          <w:rFonts w:ascii="Arial" w:cs="Arial" w:eastAsia="Arial" w:hAnsi="Arial"/>
          <w:color w:val="C9A84C"/>
          <w:sz w:val="22"/>
          <w:szCs w:val="22"/>
        </w:rPr>
        <w:t xml:space="preserve">•  </w:t>
      </w:r>
      <w:r>
        <w:rPr>
          <w:rFonts w:ascii="Arial" w:cs="Arial" w:eastAsia="Arial" w:hAnsi="Arial"/>
          <w:b/>
          <w:bCs/>
          <w:sz w:val="22"/>
          <w:szCs w:val="22"/>
        </w:rPr>
        <w:t xml:space="preserve">Any time horizon: </w:t>
      </w:r>
      <w:r>
        <w:rPr>
          <w:rFonts w:ascii="Arial" w:cs="Arial" w:eastAsia="Arial" w:hAnsi="Arial"/>
          <w:sz w:val="22"/>
          <w:szCs w:val="22"/>
        </w:rPr>
        <w:t xml:space="preserve">A promise can be scheduled from one second to one hundred years in the future. The protocol enforces all of them identically.</w:t>
      </w:r>
    </w:p>
    <w:p>
      <w:pPr>
        <w:spacing w:before="40" w:after="40"/>
        <w:ind w:left="480" w:hanging="240"/>
      </w:pPr>
      <w:r>
        <w:rPr>
          <w:rFonts w:ascii="Arial" w:cs="Arial" w:eastAsia="Arial" w:hAnsi="Arial"/>
          <w:color w:val="C9A84C"/>
          <w:sz w:val="22"/>
          <w:szCs w:val="22"/>
        </w:rPr>
        <w:t xml:space="preserve">•  </w:t>
      </w:r>
      <w:r>
        <w:rPr>
          <w:rFonts w:ascii="Arial" w:cs="Arial" w:eastAsia="Arial" w:hAnsi="Arial"/>
          <w:b/>
          <w:bCs/>
          <w:sz w:val="22"/>
          <w:szCs w:val="22"/>
        </w:rPr>
        <w:t xml:space="preserve">Any currency: </w:t>
      </w:r>
      <w:r>
        <w:rPr>
          <w:rFonts w:ascii="Arial" w:cs="Arial" w:eastAsia="Arial" w:hAnsi="Arial"/>
          <w:sz w:val="22"/>
          <w:szCs w:val="22"/>
        </w:rPr>
        <w:t xml:space="preserve">Through PAY_AS and XChan, a promise can be made in KX, USD, BTC, or any governance-approved currency and delivered in the recipient's preferred currency at settlement.</w:t>
      </w:r>
    </w:p>
    <w:p>
      <w:pPr>
        <w:spacing w:before="40" w:after="40"/>
        <w:ind w:left="480" w:hanging="240"/>
      </w:pPr>
      <w:r>
        <w:rPr>
          <w:rFonts w:ascii="Arial" w:cs="Arial" w:eastAsia="Arial" w:hAnsi="Arial"/>
          <w:color w:val="C9A84C"/>
          <w:sz w:val="22"/>
          <w:szCs w:val="22"/>
        </w:rPr>
        <w:t xml:space="preserve">•  </w:t>
      </w:r>
      <w:r>
        <w:rPr>
          <w:rFonts w:ascii="Arial" w:cs="Arial" w:eastAsia="Arial" w:hAnsi="Arial"/>
          <w:b/>
          <w:bCs/>
          <w:sz w:val="22"/>
          <w:szCs w:val="22"/>
        </w:rPr>
        <w:t xml:space="preserve">Permanent record: </w:t>
      </w:r>
      <w:r>
        <w:rPr>
          <w:rFonts w:ascii="Arial" w:cs="Arial" w:eastAsia="Arial" w:hAnsi="Arial"/>
          <w:sz w:val="22"/>
          <w:szCs w:val="22"/>
        </w:rPr>
        <w:t xml:space="preserve">Every promise, every payment, every default, every resolution lives permanently on the blockchain. Nothing can be backdated, edited, or erased.</w:t>
      </w:r>
    </w:p>
    <w:p>
      <w:r>
        <w:br w:type="page"/>
      </w:r>
    </w:p>
    <w:p>
      <w:pPr>
        <w:pStyle w:val="Heading1"/>
        <w:spacing w:before="360" w:after="120"/>
      </w:pPr>
      <w:r>
        <w:rPr>
          <w:rFonts w:ascii="Arial" w:cs="Arial" w:eastAsia="Arial" w:hAnsi="Arial"/>
          <w:b/>
          <w:bCs/>
          <w:sz w:val="32"/>
          <w:szCs w:val="32"/>
        </w:rPr>
        <w:t xml:space="preserve">2. How ChronX Works</w:t>
      </w:r>
    </w:p>
    <w:p>
      <w:pPr>
        <w:spacing w:before="80" w:after="120"/>
        <w:jc w:val="both"/>
      </w:pPr>
      <w:r>
        <w:rPr>
          <w:rFonts w:ascii="Arial" w:cs="Arial" w:eastAsia="Arial" w:hAnsi="Arial"/>
          <w:sz w:val="22"/>
          <w:szCs w:val="22"/>
        </w:rPr>
        <w:t xml:space="preserve">A ChronX promise is a time-locked transfer. The sender specifies an amount, a recipient, and an unlock date. The KX sits on the blockchain, untouched, until that date arrives. When it does, the recipient claims it — or the protocol delivers it automatically. No bank holds the funds. No intermediary can redirect them. The protocol simply waits, and then delivers.</w:t>
      </w:r>
    </w:p>
    <w:p>
      <w:pPr>
        <w:pStyle w:val="Heading2"/>
        <w:spacing w:before="280" w:after="80"/>
      </w:pPr>
      <w:r>
        <w:rPr>
          <w:rFonts w:ascii="Arial" w:cs="Arial" w:eastAsia="Arial" w:hAnsi="Arial"/>
          <w:b/>
          <w:bCs/>
          <w:sz w:val="26"/>
          <w:szCs w:val="26"/>
        </w:rPr>
        <w:t xml:space="preserve">2.1 Making a Promise</w:t>
      </w:r>
    </w:p>
    <w:p>
      <w:pPr>
        <w:spacing w:before="80" w:after="120"/>
        <w:jc w:val="both"/>
      </w:pPr>
      <w:r>
        <w:rPr>
          <w:rFonts w:ascii="Arial" w:cs="Arial" w:eastAsia="Arial" w:hAnsi="Arial"/>
          <w:sz w:val="22"/>
          <w:szCs w:val="22"/>
        </w:rPr>
        <w:t xml:space="preserve">Anyone with a ChronX wallet can make a promise. The sender specifies the recipient's wallet address or email address, the amount in KX, and when it should be available. For email recipients, the protocol generates a secure claim code and emails it — the recipient never needs a wallet in advance. When funds mature, they enter the recipient's wallet automatically.</w:t>
      </w:r>
    </w:p>
    <w:p>
      <w:pPr>
        <w:pStyle w:val="Heading2"/>
        <w:spacing w:before="280" w:after="80"/>
      </w:pPr>
      <w:r>
        <w:rPr>
          <w:rFonts w:ascii="Arial" w:cs="Arial" w:eastAsia="Arial" w:hAnsi="Arial"/>
          <w:b/>
          <w:bCs/>
          <w:sz w:val="26"/>
          <w:szCs w:val="26"/>
        </w:rPr>
        <w:t xml:space="preserve">2.2 Long-Horizon Delivery</w:t>
      </w:r>
    </w:p>
    <w:p>
      <w:pPr>
        <w:spacing w:before="80" w:after="120"/>
        <w:jc w:val="both"/>
      </w:pPr>
      <w:r>
        <w:rPr>
          <w:rFonts w:ascii="Arial" w:cs="Arial" w:eastAsia="Arial" w:hAnsi="Arial"/>
          <w:sz w:val="22"/>
          <w:szCs w:val="22"/>
        </w:rPr>
        <w:t xml:space="preserve">For promises that mature years or decades in the future, the sender can optionally provide beneficiary context — the recipient's name, location, and identifying information — encrypted on the blockchain. If the recipient's contact information is no longer valid at maturity, Verifas steps in: a network of bonded human attestors whose only job is to confirm that the right person receives what was promised.</w:t>
      </w:r>
    </w:p>
    <w:p>
      <w:pPr>
        <w:spacing w:before="80" w:after="120"/>
        <w:jc w:val="both"/>
      </w:pPr>
      <w:r>
        <w:rPr>
          <w:rFonts w:ascii="Arial" w:cs="Arial" w:eastAsia="Arial" w:hAnsi="Arial"/>
          <w:sz w:val="22"/>
          <w:szCs w:val="22"/>
        </w:rPr>
        <w:t xml:space="preserve">Funds unclaimed for 90 days after maturity enter the Verified Delivery Protocol. Funds unclaimed for 100 years after maturity transfer to the Humanity Stake — a pool governed for the benefit of all. No funds are ever lost.</w:t>
      </w:r>
    </w:p>
    <w:p>
      <w:pPr>
        <w:pStyle w:val="Heading2"/>
        <w:spacing w:before="280" w:after="80"/>
      </w:pPr>
      <w:r>
        <w:rPr>
          <w:rFonts w:ascii="Arial" w:cs="Arial" w:eastAsia="Arial" w:hAnsi="Arial"/>
          <w:b/>
          <w:bCs/>
          <w:sz w:val="26"/>
          <w:szCs w:val="26"/>
        </w:rPr>
        <w:t xml:space="preserve">2.3 Cascade Promises</w:t>
      </w:r>
    </w:p>
    <w:p>
      <w:pPr>
        <w:spacing w:before="80" w:after="120"/>
        <w:jc w:val="both"/>
      </w:pPr>
      <w:r>
        <w:rPr>
          <w:rFonts w:ascii="Arial" w:cs="Arial" w:eastAsia="Arial" w:hAnsi="Arial"/>
          <w:sz w:val="22"/>
          <w:szCs w:val="22"/>
        </w:rPr>
        <w:t xml:space="preserve">A single claim code can unlock a series of promises at different dates — a welcome gift that releases 100 KX immediately, 250 KX in a week, 500 KX in a month. The sender creates it once. The protocol delivers each stage automatically.</w:t>
      </w:r>
    </w:p>
    <w:p>
      <w:pPr>
        <w:pStyle w:val="Heading2"/>
        <w:spacing w:before="280" w:after="80"/>
      </w:pPr>
      <w:r>
        <w:rPr>
          <w:rFonts w:ascii="Arial" w:cs="Arial" w:eastAsia="Arial" w:hAnsi="Arial"/>
          <w:b/>
          <w:bCs/>
          <w:sz w:val="26"/>
          <w:szCs w:val="26"/>
        </w:rPr>
        <w:t xml:space="preserve">2.4 Privacy</w:t>
      </w:r>
    </w:p>
    <w:p>
      <w:pPr>
        <w:spacing w:before="80" w:after="120"/>
        <w:jc w:val="both"/>
      </w:pPr>
      <w:r>
        <w:rPr>
          <w:rFonts w:ascii="Arial" w:cs="Arial" w:eastAsia="Arial" w:hAnsi="Arial"/>
          <w:sz w:val="22"/>
          <w:szCs w:val="22"/>
        </w:rPr>
        <w:t xml:space="preserve">Memo fields on ChronX are encrypted by default. The note attached to a promise — the context a parent writes to a child, the terms a business records for its own files — is visible only to the recipient. The blockchain confirms that a promise exists and was fulfilled. The details between the parties are theirs alone.</w:t>
      </w:r>
    </w:p>
    <w:p>
      <w:pPr>
        <w:spacing w:before="80" w:after="120"/>
        <w:jc w:val="both"/>
      </w:pPr>
      <w:r>
        <w:rPr>
          <w:rFonts w:ascii="Arial" w:cs="Arial" w:eastAsia="Arial" w:hAnsi="Arial"/>
          <w:sz w:val="22"/>
          <w:szCs w:val="22"/>
        </w:rPr>
        <w:t xml:space="preserve">Verified businesses and institutions may choose to make their payment memos publicly visible, creating an auditable record for regulatory or organizational purposes. This is a deliberate choice, not the default. Privacy is the baseline.</w:t>
      </w:r>
    </w:p>
    <w:p>
      <w:r>
        <w:br w:type="page"/>
      </w:r>
    </w:p>
    <w:p>
      <w:pPr>
        <w:pStyle w:val="Heading1"/>
        <w:spacing w:before="360" w:after="120"/>
      </w:pPr>
      <w:r>
        <w:rPr>
          <w:rFonts w:ascii="Arial" w:cs="Arial" w:eastAsia="Arial" w:hAnsi="Arial"/>
          <w:b/>
          <w:bCs/>
          <w:sz w:val="32"/>
          <w:szCs w:val="32"/>
        </w:rPr>
        <w:t xml:space="preserve">3. KX — The Token That Moves Value Through Time</w:t>
      </w:r>
    </w:p>
    <w:p>
      <w:pPr>
        <w:spacing w:before="80" w:after="120"/>
        <w:jc w:val="both"/>
      </w:pPr>
      <w:r>
        <w:rPr>
          <w:rFonts w:ascii="Arial" w:cs="Arial" w:eastAsia="Arial" w:hAnsi="Arial"/>
          <w:sz w:val="22"/>
          <w:szCs w:val="22"/>
        </w:rPr>
        <w:t xml:space="preserve">KX is the unit of value on the ChronX protocol. It is what moves when a promise is fulfilled, what settles when a loan payment is made, and what powers the protocol's ecosystem of services. KX has a fixed supply of 8,270,000,000 tokens. There is no inflation, no minting, and no burning — ever.</w:t>
      </w:r>
    </w:p>
    <w:p>
      <w:pPr>
        <w:spacing w:before="80" w:after="120"/>
        <w:jc w:val="both"/>
      </w:pPr>
      <w:r>
        <w:rPr>
          <w:rFonts w:ascii="Arial" w:cs="Arial" w:eastAsia="Arial" w:hAnsi="Arial"/>
          <w:sz w:val="22"/>
          <w:szCs w:val="22"/>
        </w:rPr>
        <w:t xml:space="preserve">KX is a utility token. It is the fuel that moves promises from sender to recipient. Participants who use ChronX for its intended purpose — making and receiving financial promises — use KX the way they use postage: as the cost of delivery, except the cost is zero.</w:t>
      </w:r>
    </w:p>
    <w:p>
      <w:pPr>
        <w:spacing w:before="80" w:after="0"/>
      </w:pPr>
    </w:p>
    <w:p>
      <w:pPr>
        <w:pStyle w:val="Heading2"/>
        <w:spacing w:before="280" w:after="80"/>
      </w:pPr>
      <w:r>
        <w:rPr>
          <w:rFonts w:ascii="Arial" w:cs="Arial" w:eastAsia="Arial" w:hAnsi="Arial"/>
          <w:b/>
          <w:bCs/>
          <w:sz w:val="26"/>
          <w:szCs w:val="26"/>
        </w:rPr>
        <w:t xml:space="preserve">3.1 PAY_AS: Promises in Any Currency</w:t>
      </w:r>
    </w:p>
    <w:p>
      <w:pPr>
        <w:spacing w:before="80" w:after="120"/>
        <w:jc w:val="both"/>
      </w:pPr>
      <w:r>
        <w:rPr>
          <w:rFonts w:ascii="Arial" w:cs="Arial" w:eastAsia="Arial" w:hAnsi="Arial"/>
          <w:sz w:val="22"/>
          <w:szCs w:val="22"/>
        </w:rPr>
        <w:t xml:space="preserve">PAY_AS is one of ChronX's most practically useful features, and genuinely novel in the blockchain space. It solves a problem that anyone who has ever sent an international payment or made a long-term financial commitment has encountered: the currency problem.</w:t>
      </w:r>
    </w:p>
    <w:p>
      <w:pPr>
        <w:spacing w:before="80" w:after="120"/>
        <w:jc w:val="both"/>
      </w:pPr>
      <w:r>
        <w:rPr>
          <w:rFonts w:ascii="Arial" w:cs="Arial" w:eastAsia="Arial" w:hAnsi="Arial"/>
          <w:sz w:val="22"/>
          <w:szCs w:val="22"/>
        </w:rPr>
        <w:t xml:space="preserve">Here is the problem. A parent in the United States wants to promise their child studying in Japan a monthly allowance of $500. The child's expenses are in yen. An employer wants to offer a 5-year deferred compensation package denominated in euros to an employee who may be in a different country when it vests. A lender wants to make a loan denominated in USD, settled in KX.</w:t>
      </w:r>
    </w:p>
    <w:p>
      <w:pPr>
        <w:spacing w:before="80" w:after="120"/>
        <w:jc w:val="both"/>
      </w:pPr>
      <w:r>
        <w:rPr>
          <w:rFonts w:ascii="Arial" w:cs="Arial" w:eastAsia="Arial" w:hAnsi="Arial"/>
          <w:sz w:val="22"/>
          <w:szCs w:val="22"/>
        </w:rPr>
        <w:t xml:space="preserve">PAY_AS handles all of this. When creating any promise or loan on ChronX, the sender specifies a currency denomination — KX, USD, BTC, or any currency approved by Foundation governance. At settlement, XChan — ChronX's decentralized exchange — converts at the current rate and delivers the value in whatever currency the recipient holds or prefers.</w:t>
      </w:r>
    </w:p>
    <w:p>
      <w:pPr>
        <w:spacing w:before="80" w:after="120"/>
        <w:jc w:val="both"/>
      </w:pPr>
      <w:r>
        <w:rPr>
          <w:rFonts w:ascii="Arial" w:cs="Arial" w:eastAsia="Arial" w:hAnsi="Arial"/>
          <w:sz w:val="22"/>
          <w:szCs w:val="22"/>
        </w:rPr>
        <w:t xml:space="preserve">The sender promises $500 per month. The recipient receives yen. The protocol handles the conversion at delivery. Neither party needs to think about exchange rates at the time the promise is made.</w:t>
      </w:r>
    </w:p>
    <w:p>
      <w:pPr>
        <w:spacing w:before="160" w:after="160"/>
        <w:ind w:left="720" w:right="720"/>
        <w:jc w:val="center"/>
      </w:pPr>
      <w:r>
        <w:rPr>
          <w:rFonts w:ascii="Georgia" w:cs="Georgia" w:eastAsia="Georgia" w:hAnsi="Georgia"/>
          <w:i/>
          <w:iCs/>
          <w:color w:val="C9A84C"/>
          <w:sz w:val="22"/>
          <w:szCs w:val="22"/>
        </w:rPr>
        <w:t xml:space="preserve">"The denomination is the sender's intent. The delivery currency is the recipient's preference. PAY_AS bridges the two automatically."</w:t>
      </w:r>
    </w:p>
    <w:p>
      <w:pPr>
        <w:spacing w:before="80" w:after="120"/>
        <w:jc w:val="both"/>
      </w:pPr>
      <w:r>
        <w:rPr>
          <w:rFonts w:ascii="Arial" w:cs="Arial" w:eastAsia="Arial" w:hAnsi="Arial"/>
          <w:sz w:val="22"/>
          <w:szCs w:val="22"/>
        </w:rPr>
        <w:t xml:space="preserve">Today, in 2026, this means promising in KX and delivering in USD, or promising in USD and delivering in BTC. The Foundation governance maintains an oracle list of approved currencies and their exchange rate sources. Adding a new currency requires only a governance vote. The architecture is open by design: the same infrastructure that routes KX-to-USD conversions today can accommodate currencies that do not yet exist.</w:t>
      </w:r>
    </w:p>
    <w:p>
      <w:pPr>
        <w:spacing w:before="80" w:after="0"/>
      </w:pPr>
    </w:p>
    <w:p>
      <w:pPr>
        <w:pStyle w:val="Heading2"/>
        <w:spacing w:before="280" w:after="80"/>
      </w:pPr>
      <w:r>
        <w:rPr>
          <w:rFonts w:ascii="Arial" w:cs="Arial" w:eastAsia="Arial" w:hAnsi="Arial"/>
          <w:b/>
          <w:bCs/>
          <w:sz w:val="26"/>
          <w:szCs w:val="26"/>
        </w:rPr>
        <w:t xml:space="preserve">3.2 XChan: The Protocol's Exchange Layer</w:t>
      </w:r>
    </w:p>
    <w:p>
      <w:pPr>
        <w:spacing w:before="80" w:after="120"/>
        <w:jc w:val="both"/>
      </w:pPr>
      <w:r>
        <w:rPr>
          <w:rFonts w:ascii="Arial" w:cs="Arial" w:eastAsia="Arial" w:hAnsi="Arial"/>
          <w:sz w:val="22"/>
          <w:szCs w:val="22"/>
        </w:rPr>
        <w:t xml:space="preserve">XChan is the decentralized exchange that powers PAY_AS calculations. When a PAY_AS promise matures, XChan provides the current price oracle — a 7-day moving average drawn from XChan's liquidity pool — so the node can calculate the correct KX amount to deliver. XChan operates independently, backed by a liquidity pool that the Foundation is committed to maintaining as a protocol priority. XChan posts a 10,000,000 KX performance bond to the ChronX Protocol, placing it on equal footing with MISAI, Verifas, and HedgeKX as a bonded protocol partner. The bond ensures accountability for the accuracy and availability of the price oracle that PAY_AS calculations depend on.</w:t>
      </w:r>
    </w:p>
    <w:p>
      <w:pPr>
        <w:spacing w:before="80" w:after="120"/>
        <w:jc w:val="both"/>
      </w:pPr>
      <w:r>
        <w:rPr>
          <w:rFonts w:ascii="Arial" w:cs="Arial" w:eastAsia="Arial" w:hAnsi="Arial"/>
          <w:sz w:val="22"/>
          <w:szCs w:val="22"/>
        </w:rPr>
        <w:t xml:space="preserve">XChan is also available to participants directly. Anyone holding KX can convert to USDC and withdraw to a Coinbase or other exchange account. Anyone holding USDC can convert to KX. The conversion is non-custodial — funds never leave the participant's control during the swap.</w:t>
      </w:r>
    </w:p>
    <w:p>
      <w:pPr>
        <w:spacing w:before="80" w:after="0"/>
      </w:pPr>
    </w:p>
    <w:p>
      <w:pPr>
        <w:pStyle w:val="Heading2"/>
        <w:spacing w:before="280" w:after="80"/>
      </w:pPr>
      <w:r>
        <w:rPr>
          <w:rFonts w:ascii="Arial" w:cs="Arial" w:eastAsia="Arial" w:hAnsi="Arial"/>
          <w:b/>
          <w:bCs/>
          <w:sz w:val="26"/>
          <w:szCs w:val="26"/>
        </w:rPr>
        <w:t xml:space="preserve">3.3 What KX Is Not</w:t>
      </w:r>
    </w:p>
    <w:p>
      <w:pPr>
        <w:spacing w:before="80" w:after="120"/>
        <w:jc w:val="both"/>
      </w:pPr>
      <w:r>
        <w:rPr>
          <w:rFonts w:ascii="Arial" w:cs="Arial" w:eastAsia="Arial" w:hAnsi="Arial"/>
          <w:sz w:val="22"/>
          <w:szCs w:val="22"/>
        </w:rPr>
        <w:t xml:space="preserve">KX is not an investment product. ChronX makes no promise of return, appreciation, or yield on KX holdings. Participants who acquire KX to use the protocol — to make promises, settle loans, or power MISAI mandates — are acquiring a tool for a specific purpose. The value of that tool is determined by how useful the protocol is, not by any representation ChronX makes about its future price.</w:t>
      </w:r>
    </w:p>
    <w:p>
      <w:pPr>
        <w:spacing w:before="80" w:after="120"/>
        <w:jc w:val="both"/>
      </w:pPr>
      <w:r>
        <w:rPr>
          <w:rFonts w:ascii="Arial" w:cs="Arial" w:eastAsia="Arial" w:hAnsi="Arial"/>
          <w:sz w:val="22"/>
          <w:szCs w:val="22"/>
        </w:rPr>
        <w:t xml:space="preserve">All participants are encouraged to seek independent legal and financial advice regarding the regulatory status of KX in their jurisdiction before participating in the ICO or acquiring KX for any purpose.</w:t>
      </w:r>
    </w:p>
    <w:p>
      <w:r>
        <w:br w:type="page"/>
      </w:r>
    </w:p>
    <w:p>
      <w:pPr>
        <w:pStyle w:val="Heading1"/>
        <w:spacing w:before="360" w:after="120"/>
      </w:pPr>
      <w:r>
        <w:rPr>
          <w:rFonts w:ascii="Arial" w:cs="Arial" w:eastAsia="Arial" w:hAnsi="Arial"/>
          <w:b/>
          <w:bCs/>
          <w:sz w:val="32"/>
          <w:szCs w:val="32"/>
        </w:rPr>
        <w:t xml:space="preserve">4. The ChronX Ecosystem</w:t>
      </w:r>
    </w:p>
    <w:p>
      <w:pPr>
        <w:spacing w:before="80" w:after="120"/>
        <w:jc w:val="both"/>
      </w:pPr>
      <w:r>
        <w:rPr>
          <w:rFonts w:ascii="Arial" w:cs="Arial" w:eastAsia="Arial" w:hAnsi="Arial"/>
          <w:sz w:val="22"/>
          <w:szCs w:val="22"/>
        </w:rPr>
        <w:t xml:space="preserve">ChronX is the protocol. Around it, four bonded organizations extend its capabilities into specialized domains. Each is independent, each posts a 10,000,000 KX performance bond to the protocol, and each operates under the governance of the ChronX Protocol Foundation. Third-party developers build additional applications on top of these foundations without bonded status.</w:t>
      </w:r>
    </w:p>
    <w:p>
      <w:pPr>
        <w:spacing w:before="80" w:after="0"/>
      </w:pPr>
    </w:p>
    <w:p>
      <w:pPr>
        <w:pStyle w:val="Heading2"/>
        <w:spacing w:before="280" w:after="80"/>
      </w:pPr>
      <w:r>
        <w:rPr>
          <w:rFonts w:ascii="Arial" w:cs="Arial" w:eastAsia="Arial" w:hAnsi="Arial"/>
          <w:b/>
          <w:bCs/>
          <w:sz w:val="26"/>
          <w:szCs w:val="26"/>
        </w:rPr>
        <w:t xml:space="preserve">4.1 MISAI — The AI Executor</w:t>
      </w:r>
    </w:p>
    <w:p>
      <w:pPr>
        <w:spacing w:before="80" w:after="120"/>
        <w:jc w:val="both"/>
      </w:pPr>
      <w:r>
        <w:rPr>
          <w:rFonts w:ascii="Arial" w:cs="Arial" w:eastAsia="Arial" w:hAnsi="Arial"/>
          <w:sz w:val="22"/>
          <w:szCs w:val="22"/>
        </w:rPr>
        <w:t xml:space="preserve">MISAI is an AI-powered executor that manages financial obligations on behalf of participants. It serves two roles.</w:t>
      </w:r>
    </w:p>
    <w:p>
      <w:pPr>
        <w:spacing w:before="80" w:after="120"/>
        <w:jc w:val="both"/>
      </w:pPr>
      <w:r>
        <w:rPr>
          <w:rFonts w:ascii="Arial" w:cs="Arial" w:eastAsia="Arial" w:hAnsi="Arial"/>
          <w:sz w:val="22"/>
          <w:szCs w:val="22"/>
        </w:rPr>
        <w:t xml:space="preserve">As a loan servicer, MISAI monitors payment schedules, calculates interest according to protocol-governed oracle rates, publishes DefaultRecords when payments are missed, and resumes monitoring when loans are reinstated. It does not pursue borrowers or adjudicate disputes — it maintains the record and enforces the schedule.</w:t>
      </w:r>
    </w:p>
    <w:p>
      <w:pPr>
        <w:spacing w:before="80" w:after="120"/>
        <w:jc w:val="both"/>
      </w:pPr>
      <w:r>
        <w:rPr>
          <w:rFonts w:ascii="Arial" w:cs="Arial" w:eastAsia="Arial" w:hAnsi="Arial"/>
          <w:sz w:val="22"/>
          <w:szCs w:val="22"/>
        </w:rPr>
        <w:t xml:space="preserve">As an investment executor, MISAI manages TYPE M locks — promises where the grantor instructs MISAI to actively manage the locked KX according to an encoded investment mandate, delivering proceeds at maturity. MISAI operates under six immutable AI Agent Axioms encoded at genesis, including complete separation between the agent that decides and the agent that holds funds.</w:t>
      </w:r>
    </w:p>
    <w:p>
      <w:pPr>
        <w:spacing w:before="80" w:after="120"/>
        <w:jc w:val="both"/>
      </w:pPr>
      <w:r>
        <w:rPr>
          <w:rFonts w:ascii="Arial" w:cs="Arial" w:eastAsia="Arial" w:hAnsi="Arial"/>
          <w:sz w:val="22"/>
          <w:szCs w:val="22"/>
        </w:rPr>
        <w:t xml:space="preserve">MISAI is domiciled in El Salvador. Its performance bond ensures it has meaningful stake in its own conduct.</w:t>
      </w:r>
    </w:p>
    <w:p>
      <w:pPr>
        <w:spacing w:before="80" w:after="0"/>
      </w:pPr>
    </w:p>
    <w:p>
      <w:pPr>
        <w:pStyle w:val="Heading2"/>
        <w:spacing w:before="280" w:after="80"/>
      </w:pPr>
      <w:r>
        <w:rPr>
          <w:rFonts w:ascii="Arial" w:cs="Arial" w:eastAsia="Arial" w:hAnsi="Arial"/>
          <w:b/>
          <w:bCs/>
          <w:sz w:val="26"/>
          <w:szCs w:val="26"/>
        </w:rPr>
        <w:t xml:space="preserve">4.2 Verifas — The Human Attestation Layer</w:t>
      </w:r>
    </w:p>
    <w:p>
      <w:pPr>
        <w:spacing w:before="80" w:after="120"/>
        <w:jc w:val="both"/>
      </w:pPr>
      <w:r>
        <w:rPr>
          <w:rFonts w:ascii="Arial" w:cs="Arial" w:eastAsia="Arial" w:hAnsi="Arial"/>
          <w:sz w:val="22"/>
          <w:szCs w:val="22"/>
        </w:rPr>
        <w:t xml:space="preserve">Verifas solves a problem unique to long-horizon promises: what happens when a promise matures fifty years from now and the recipient's original contact information no longer exists?</w:t>
      </w:r>
    </w:p>
    <w:p>
      <w:pPr>
        <w:spacing w:before="80" w:after="120"/>
        <w:jc w:val="both"/>
      </w:pPr>
      <w:r>
        <w:rPr>
          <w:rFonts w:ascii="Arial" w:cs="Arial" w:eastAsia="Arial" w:hAnsi="Arial"/>
          <w:sz w:val="22"/>
          <w:szCs w:val="22"/>
        </w:rPr>
        <w:t xml:space="preserve">Verifas is a network of bonded human attestors — licensed professionals in multiple jurisdictions — whose only job is to confirm one thing: that this person, at this wallet address, is the intended recipient of a specific promise. Verifas does not touch the funds, does not adjudicate disputes, and does not provide any service beyond identity attestation.</w:t>
      </w:r>
    </w:p>
    <w:p>
      <w:pPr>
        <w:spacing w:before="80" w:after="120"/>
        <w:jc w:val="both"/>
      </w:pPr>
      <w:r>
        <w:rPr>
          <w:rFonts w:ascii="Arial" w:cs="Arial" w:eastAsia="Arial" w:hAnsi="Arial"/>
          <w:sz w:val="22"/>
          <w:szCs w:val="22"/>
        </w:rPr>
        <w:t xml:space="preserve">When a promise remains unclaimed 90 days after maturity, Verifas receives an encrypted package containing the beneficiary context the sender provided at creation. Attestors locate and verify the recipient. The promise delivers. Nothing is lost.</w:t>
      </w:r>
    </w:p>
    <w:p>
      <w:pPr>
        <w:spacing w:before="80" w:after="0"/>
      </w:pPr>
    </w:p>
    <w:p>
      <w:pPr>
        <w:pStyle w:val="Heading2"/>
        <w:spacing w:before="280" w:after="80"/>
      </w:pPr>
      <w:r>
        <w:rPr>
          <w:rFonts w:ascii="Arial" w:cs="Arial" w:eastAsia="Arial" w:hAnsi="Arial"/>
          <w:b/>
          <w:bCs/>
          <w:sz w:val="26"/>
          <w:szCs w:val="26"/>
        </w:rPr>
        <w:t xml:space="preserve">4.3 XChan — The Protocol Exchange</w:t>
      </w:r>
    </w:p>
    <w:p>
      <w:pPr>
        <w:spacing w:before="80" w:after="120"/>
        <w:jc w:val="both"/>
      </w:pPr>
      <w:r>
        <w:rPr>
          <w:rFonts w:ascii="Arial" w:cs="Arial" w:eastAsia="Arial" w:hAnsi="Arial"/>
          <w:sz w:val="22"/>
          <w:szCs w:val="22"/>
        </w:rPr>
        <w:t xml:space="preserve">XChan is the infrastructure layer that makes PAY_AS work. Every promise or loan denominated in a currency other than KX depends on XChan's price oracle at delivery time. XChan executes the conversion, provides the moving average rate, and ensures the recipient receives the correct KX amount. Without a functioning XChan oracle, PAY_AS calculations cannot settle.</w:t>
      </w:r>
    </w:p>
    <w:p>
      <w:pPr>
        <w:spacing w:before="80" w:after="120"/>
        <w:jc w:val="both"/>
      </w:pPr>
      <w:r>
        <w:rPr>
          <w:rFonts w:ascii="Arial" w:cs="Arial" w:eastAsia="Arial" w:hAnsi="Arial"/>
          <w:sz w:val="22"/>
          <w:szCs w:val="22"/>
        </w:rPr>
        <w:t xml:space="preserve">XChan is also the gateway for participants who want to acquire KX for protocol use or convert KX proceeds to USDC. The exchange is non-custodial and operates on Base. XChan posts a 10,000,000 KX performance bond to the protocol — accountability commensurate with its role as the price oracle that every PAY_AS promise depends on.</w:t>
      </w:r>
    </w:p>
    <w:p>
      <w:pPr>
        <w:spacing w:before="80" w:after="0"/>
      </w:pPr>
    </w:p>
    <w:p>
      <w:pPr>
        <w:pStyle w:val="Heading2"/>
        <w:spacing w:before="280" w:after="80"/>
      </w:pPr>
      <w:r>
        <w:rPr>
          <w:rFonts w:ascii="Arial" w:cs="Arial" w:eastAsia="Arial" w:hAnsi="Arial"/>
          <w:b/>
          <w:bCs/>
          <w:sz w:val="26"/>
          <w:szCs w:val="26"/>
        </w:rPr>
        <w:t xml:space="preserve">4.4 HedgeKX — Currency Risk Protection</w:t>
      </w:r>
    </w:p>
    <w:p>
      <w:pPr>
        <w:spacing w:before="80" w:after="120"/>
        <w:jc w:val="both"/>
      </w:pPr>
      <w:r>
        <w:rPr>
          <w:rFonts w:ascii="Arial" w:cs="Arial" w:eastAsia="Arial" w:hAnsi="Arial"/>
          <w:sz w:val="22"/>
          <w:szCs w:val="22"/>
        </w:rPr>
        <w:t xml:space="preserve">When a loan is denominated in one currency and repaid in another, both parties carry currency risk. If KX appreciates dramatically against USD during a 5-year loan, the borrower faces a repayment burden far larger than anticipated. HedgeKX addresses this.</w:t>
      </w:r>
    </w:p>
    <w:p>
      <w:pPr>
        <w:spacing w:before="80" w:after="120"/>
        <w:jc w:val="both"/>
      </w:pPr>
      <w:r>
        <w:rPr>
          <w:rFonts w:ascii="Arial" w:cs="Arial" w:eastAsia="Arial" w:hAnsi="Arial"/>
          <w:sz w:val="22"/>
          <w:szCs w:val="22"/>
        </w:rPr>
        <w:t xml:space="preserve">HedgeKX is a peer-to-peer marketplace where borrowers can purchase currency risk protection and KX holders can earn yield by providing it. A borrower posts a hedge campaign specifying the coverage needed and the premium offered. KX holders pledge to cover the risk in exchange for the premium. If the campaign fills, the hedge is funded and the loan proceeds. If it does not fill, all pledges are returned automatically.</w:t>
      </w:r>
    </w:p>
    <w:p>
      <w:pPr>
        <w:spacing w:before="80" w:after="120"/>
        <w:jc w:val="both"/>
      </w:pPr>
      <w:r>
        <w:rPr>
          <w:rFonts w:ascii="Arial" w:cs="Arial" w:eastAsia="Arial" w:hAnsi="Arial"/>
          <w:sz w:val="22"/>
          <w:szCs w:val="22"/>
        </w:rPr>
        <w:t xml:space="preserve">HedgeKX does not issue, underwrite, or guarantee any hedge contract. All contracts are directly between participants. ChronX provides the infrastructure; the market determines the terms.</w:t>
      </w:r>
    </w:p>
    <w:p>
      <w:pPr>
        <w:spacing w:before="80" w:after="0"/>
      </w:pPr>
    </w:p>
    <w:p>
      <w:pPr>
        <w:pStyle w:val="Heading2"/>
        <w:spacing w:before="280" w:after="80"/>
      </w:pPr>
      <w:r>
        <w:rPr>
          <w:rFonts w:ascii="Arial" w:cs="Arial" w:eastAsia="Arial" w:hAnsi="Arial"/>
          <w:b/>
          <w:bCs/>
          <w:sz w:val="26"/>
          <w:szCs w:val="26"/>
        </w:rPr>
        <w:t xml:space="preserve">4.5 KXGO — Gaming and Applications</w:t>
      </w:r>
    </w:p>
    <w:p>
      <w:pPr>
        <w:spacing w:before="80" w:after="120"/>
        <w:jc w:val="both"/>
      </w:pPr>
      <w:r>
        <w:rPr>
          <w:rFonts w:ascii="Arial" w:cs="Arial" w:eastAsia="Arial" w:hAnsi="Arial"/>
          <w:sz w:val="22"/>
          <w:szCs w:val="22"/>
        </w:rPr>
        <w:t xml:space="preserve">KXGO demonstrates ChronX's promise infrastructure in a gaming context. Players enter skill-based competitions using KX as the entry mechanism, with outcomes recorded on-chain via TYPE V conditional payments. KXGO illustrates that ChronX's conditional payment primitives work for any application that requires trusted, verifiable outcomes — not just financial instruments.</w:t>
      </w:r>
    </w:p>
    <w:p>
      <w:pPr>
        <w:spacing w:before="80" w:after="0"/>
      </w:pPr>
    </w:p>
    <w:p>
      <w:pPr>
        <w:pStyle w:val="Heading2"/>
        <w:spacing w:before="280" w:after="80"/>
      </w:pPr>
      <w:r>
        <w:rPr>
          <w:rFonts w:ascii="Arial" w:cs="Arial" w:eastAsia="Arial" w:hAnsi="Arial"/>
          <w:b/>
          <w:bCs/>
          <w:sz w:val="26"/>
          <w:szCs w:val="26"/>
        </w:rPr>
        <w:t xml:space="preserve">4.6 CPNX — Badge Authority</w:t>
      </w:r>
    </w:p>
    <w:p>
      <w:pPr>
        <w:spacing w:before="80" w:after="120"/>
        <w:jc w:val="both"/>
      </w:pPr>
      <w:r>
        <w:rPr>
          <w:rFonts w:ascii="Arial" w:cs="Arial" w:eastAsia="Arial" w:hAnsi="Arial"/>
          <w:sz w:val="22"/>
          <w:szCs w:val="22"/>
        </w:rPr>
        <w:t xml:space="preserve">CPNX (cpnx.com) is the independent credentialing authority for the ChronX Protocol ecosystem. CPNX issues two tiers of identity badges. Tier 1 Foundation badges are recorded permanently on-chain via TYPE L transactions, signed by a Foundation-bonded agent, and cannot be removed by any party. Tier 2 Partner badges are issued by CPNX via authenticated API and reflect current status — revocable and appropriate for dynamic credentials such as gaming performance tiers or partner affiliation. CPNX is a third-party builder, not a bonded protocol partner. Badges carry no KX value and confer no protocol rights. They are a lightweight, opt-in identity layer that enriches the human context of on-chain promises without requiring personal data on the public ledger.</w:t>
      </w:r>
    </w:p>
    <w:p>
      <w:r>
        <w:br w:type="page"/>
      </w:r>
    </w:p>
    <w:p>
      <w:pPr>
        <w:pStyle w:val="Heading1"/>
        <w:spacing w:before="360" w:after="120"/>
      </w:pPr>
      <w:r>
        <w:rPr>
          <w:rFonts w:ascii="Arial" w:cs="Arial" w:eastAsia="Arial" w:hAnsi="Arial"/>
          <w:b/>
          <w:bCs/>
          <w:sz w:val="32"/>
          <w:szCs w:val="32"/>
        </w:rPr>
        <w:t xml:space="preserve">5. Credit on ChronX</w:t>
      </w:r>
    </w:p>
    <w:p>
      <w:pPr>
        <w:spacing w:before="160" w:after="160"/>
        <w:ind w:left="720" w:right="720"/>
        <w:jc w:val="center"/>
      </w:pPr>
      <w:r>
        <w:rPr>
          <w:rFonts w:ascii="Georgia" w:cs="Georgia" w:eastAsia="Georgia" w:hAnsi="Georgia"/>
          <w:i/>
          <w:iCs/>
          <w:color w:val="C9A84C"/>
          <w:sz w:val="22"/>
          <w:szCs w:val="22"/>
        </w:rPr>
        <w:t xml:space="preserve">"ChronX does not create credit. ChronX makes the repayment of credit inevitable — on-chain."</w:t>
      </w:r>
    </w:p>
    <w:p>
      <w:pPr>
        <w:spacing w:before="80" w:after="120"/>
        <w:jc w:val="both"/>
      </w:pPr>
      <w:r>
        <w:rPr>
          <w:rFonts w:ascii="Arial" w:cs="Arial" w:eastAsia="Arial" w:hAnsi="Arial"/>
          <w:sz w:val="22"/>
          <w:szCs w:val="22"/>
        </w:rPr>
        <w:t xml:space="preserve">ChronX is not a lending platform. It does not originate loans, set rates, or make credit decisions. What ChronX provides is the enforcement infrastructure for any credit agreement that two parties choose to make between themselves.</w:t>
      </w:r>
    </w:p>
    <w:p>
      <w:pPr>
        <w:pStyle w:val="Heading2"/>
        <w:spacing w:before="280" w:after="80"/>
      </w:pPr>
      <w:r>
        <w:rPr>
          <w:rFonts w:ascii="Arial" w:cs="Arial" w:eastAsia="Arial" w:hAnsi="Arial"/>
          <w:b/>
          <w:bCs/>
          <w:sz w:val="26"/>
          <w:szCs w:val="26"/>
        </w:rPr>
        <w:t xml:space="preserve">5.1 The Two-Step Protocol</w:t>
      </w:r>
    </w:p>
    <w:p>
      <w:pPr>
        <w:spacing w:before="80" w:after="120"/>
        <w:jc w:val="both"/>
      </w:pPr>
      <w:r>
        <w:rPr>
          <w:rFonts w:ascii="Arial" w:cs="Arial" w:eastAsia="Arial" w:hAnsi="Arial"/>
          <w:sz w:val="22"/>
          <w:szCs w:val="22"/>
        </w:rPr>
        <w:t xml:space="preserve">Every loan on ChronX follows the same protocol regardless of size or type. The lender creates a signed loan offer specifying all terms. The borrower reviews the offer and signs an acceptance — or declines. Only after both parties have signed does the loan become active. Neither party can impose a loan on the other. This applies without exception to personal loans, corporate credit lines, and AI micro-loans alike.</w:t>
      </w:r>
    </w:p>
    <w:p>
      <w:pPr>
        <w:spacing w:before="80" w:after="120"/>
        <w:jc w:val="both"/>
      </w:pPr>
      <w:r>
        <w:rPr>
          <w:rFonts w:ascii="Arial" w:cs="Arial" w:eastAsia="Arial" w:hAnsi="Arial"/>
          <w:sz w:val="22"/>
          <w:szCs w:val="22"/>
        </w:rPr>
        <w:t xml:space="preserve">Once active, the node enforces the payment schedule automatically. The complete loan history — every payment, every default, every resolution — is permanently recorded on the blockchain. A future lender querying a wallet address sees the unedited truth. Nothing can be backdated or disputed.</w:t>
      </w:r>
    </w:p>
    <w:p>
      <w:pPr>
        <w:pStyle w:val="Heading2"/>
        <w:spacing w:before="280" w:after="80"/>
      </w:pPr>
      <w:r>
        <w:rPr>
          <w:rFonts w:ascii="Arial" w:cs="Arial" w:eastAsia="Arial" w:hAnsi="Arial"/>
          <w:b/>
          <w:bCs/>
          <w:sz w:val="26"/>
          <w:szCs w:val="26"/>
        </w:rPr>
        <w:t xml:space="preserve">5.2 Loan Types</w:t>
      </w:r>
    </w:p>
    <w:p>
      <w:pPr>
        <w:spacing w:before="80" w:after="120"/>
        <w:jc w:val="both"/>
      </w:pPr>
      <w:r>
        <w:rPr>
          <w:rFonts w:ascii="Arial" w:cs="Arial" w:eastAsia="Arial" w:hAnsi="Arial"/>
          <w:sz w:val="22"/>
          <w:szCs w:val="22"/>
        </w:rPr>
        <w:t xml:space="preserve">ChronX supports two loan structures. A fixed-term loan encodes a complete payment schedule at creation — each payment amount and due date is immutable once both parties sign. A revolving loan renews automatically at each period — daily, weekly, or any interval the parties choose — until either party exits, a rate cap is exceeded, or a defined oracle condition fails.</w:t>
      </w:r>
    </w:p>
    <w:p>
      <w:pPr>
        <w:spacing w:before="80" w:after="120"/>
        <w:jc w:val="both"/>
      </w:pPr>
      <w:r>
        <w:rPr>
          <w:rFonts w:ascii="Arial" w:cs="Arial" w:eastAsia="Arial" w:hAnsi="Arial"/>
          <w:sz w:val="22"/>
          <w:szCs w:val="22"/>
        </w:rPr>
        <w:t xml:space="preserve">Both types support PAY_AS denomination, meaning a loan can be denominated in USD, BTC, KX, or any governance-approved currency and settled in the recipient's preferred currency at each payment date via XChan.</w:t>
      </w:r>
    </w:p>
    <w:p>
      <w:pPr>
        <w:pStyle w:val="Heading2"/>
        <w:spacing w:before="280" w:after="80"/>
      </w:pPr>
      <w:r>
        <w:rPr>
          <w:rFonts w:ascii="Arial" w:cs="Arial" w:eastAsia="Arial" w:hAnsi="Arial"/>
          <w:b/>
          <w:bCs/>
          <w:sz w:val="26"/>
          <w:szCs w:val="26"/>
        </w:rPr>
        <w:t xml:space="preserve">5.3 DefaultRecord and LenderMemo</w:t>
      </w:r>
    </w:p>
    <w:p>
      <w:pPr>
        <w:spacing w:before="80" w:after="120"/>
        <w:jc w:val="both"/>
      </w:pPr>
      <w:r>
        <w:rPr>
          <w:rFonts w:ascii="Arial" w:cs="Arial" w:eastAsia="Arial" w:hAnsi="Arial"/>
          <w:sz w:val="22"/>
          <w:szCs w:val="22"/>
        </w:rPr>
        <w:t xml:space="preserve">When a payment is missed beyond the grace period, the node publishes a DefaultRecord — a permanent, cryptographically signed, publicly visible record of the default date and outstanding balance. This record cannot be deleted.</w:t>
      </w:r>
    </w:p>
    <w:p>
      <w:pPr>
        <w:spacing w:before="80" w:after="120"/>
        <w:jc w:val="both"/>
      </w:pPr>
      <w:r>
        <w:rPr>
          <w:rFonts w:ascii="Arial" w:cs="Arial" w:eastAsia="Arial" w:hAnsi="Arial"/>
          <w:sz w:val="22"/>
          <w:szCs w:val="22"/>
        </w:rPr>
        <w:t xml:space="preserve">ChronX recognizes that the story of a loan rarely ends at default. The LenderMemo system allows the original lender to attach a single signed annotation to any DefaultRecord — a court order, a negotiated settlement, a rehabilitation agreement. Future lenders see both: the original default and its resolution. Nothing is hidden; nothing is erased; the full annotated truth is always visible.</w:t>
      </w:r>
    </w:p>
    <w:p>
      <w:pPr>
        <w:pStyle w:val="Heading2"/>
        <w:spacing w:before="280" w:after="80"/>
      </w:pPr>
      <w:r>
        <w:rPr>
          <w:rFonts w:ascii="Arial" w:cs="Arial" w:eastAsia="Arial" w:hAnsi="Arial"/>
          <w:b/>
          <w:bCs/>
          <w:sz w:val="26"/>
          <w:szCs w:val="26"/>
        </w:rPr>
        <w:t xml:space="preserve">5.4 The Credit Record of the Future</w:t>
      </w:r>
    </w:p>
    <w:p>
      <w:pPr>
        <w:spacing w:before="80" w:after="120"/>
        <w:jc w:val="both"/>
      </w:pPr>
      <w:r>
        <w:rPr>
          <w:rFonts w:ascii="Arial" w:cs="Arial" w:eastAsia="Arial" w:hAnsi="Arial"/>
          <w:sz w:val="22"/>
          <w:szCs w:val="22"/>
        </w:rPr>
        <w:t xml:space="preserve">Every loan on ChronX creates a permanent, portable, cryptographically verified credit history attached to the borrower's wallet address. This history is readable by any future lender, anywhere in the world, without a credit bureau, without a data broker, and without a reporting delay. It is simply the truth, on-chain, always available.</w:t>
      </w:r>
    </w:p>
    <w:p>
      <w:r>
        <w:br w:type="page"/>
      </w:r>
    </w:p>
    <w:p>
      <w:pPr>
        <w:pStyle w:val="Heading1"/>
        <w:spacing w:before="360" w:after="120"/>
      </w:pPr>
      <w:r>
        <w:rPr>
          <w:rFonts w:ascii="Arial" w:cs="Arial" w:eastAsia="Arial" w:hAnsi="Arial"/>
          <w:b/>
          <w:bCs/>
          <w:sz w:val="32"/>
          <w:szCs w:val="32"/>
        </w:rPr>
        <w:t xml:space="preserve">6. Privacy: Encrypted by Default, Auditable by Choice</w:t>
      </w:r>
    </w:p>
    <w:p>
      <w:pPr>
        <w:spacing w:before="80" w:after="120"/>
        <w:jc w:val="both"/>
      </w:pPr>
      <w:r>
        <w:rPr>
          <w:rFonts w:ascii="Arial" w:cs="Arial" w:eastAsia="Arial" w:hAnsi="Arial"/>
          <w:sz w:val="22"/>
          <w:szCs w:val="22"/>
        </w:rPr>
        <w:t xml:space="preserve">Bitcoin publishes every transaction detail — amounts, addresses, and any attached data — permanently and publicly to anyone who looks. ChronX takes a different approach.</w:t>
      </w:r>
    </w:p>
    <w:p>
      <w:pPr>
        <w:spacing w:before="80" w:after="120"/>
        <w:jc w:val="both"/>
      </w:pPr>
      <w:r>
        <w:rPr>
          <w:rFonts w:ascii="Arial" w:cs="Arial" w:eastAsia="Arial" w:hAnsi="Arial"/>
          <w:sz w:val="22"/>
          <w:szCs w:val="22"/>
        </w:rPr>
        <w:t xml:space="preserve">Every memo on ChronX is encrypted by default. The note attached to a promise or payment is visible only to the recipient. The blockchain records that a promise exists and was fulfilled. The details between the parties belong to them.</w:t>
      </w:r>
    </w:p>
    <w:p>
      <w:pPr>
        <w:spacing w:before="80" w:after="120"/>
        <w:jc w:val="both"/>
      </w:pPr>
      <w:r>
        <w:rPr>
          <w:rFonts w:ascii="Arial" w:cs="Arial" w:eastAsia="Arial" w:hAnsi="Arial"/>
          <w:sz w:val="22"/>
          <w:szCs w:val="22"/>
        </w:rPr>
        <w:t xml:space="preserve">This matters for real use cases. A parent sending an inheritance to a child should not have the terms of that inheritance broadcast to the world. A business sending monthly contractor payments should not expose its vendor relationships to competitors. A person sending child support should not have their family arrangements permanently public.</w:t>
      </w:r>
    </w:p>
    <w:p>
      <w:pPr>
        <w:pStyle w:val="Heading2"/>
        <w:spacing w:before="280" w:after="80"/>
      </w:pPr>
      <w:r>
        <w:rPr>
          <w:rFonts w:ascii="Arial" w:cs="Arial" w:eastAsia="Arial" w:hAnsi="Arial"/>
          <w:b/>
          <w:bCs/>
          <w:sz w:val="26"/>
          <w:szCs w:val="26"/>
        </w:rPr>
        <w:t xml:space="preserve">6.1 Voluntary Public Disclosure</w:t>
      </w:r>
    </w:p>
    <w:p>
      <w:pPr>
        <w:spacing w:before="80" w:after="120"/>
        <w:jc w:val="both"/>
      </w:pPr>
      <w:r>
        <w:rPr>
          <w:rFonts w:ascii="Arial" w:cs="Arial" w:eastAsia="Arial" w:hAnsi="Arial"/>
          <w:sz w:val="22"/>
          <w:szCs w:val="22"/>
        </w:rPr>
        <w:t xml:space="preserve">Some participants want their payments to be publicly verifiable. A corporation making bond coupon payments to thousands of holders benefits from a public, auditable record. A nonprofit demonstrating its charitable distributions to regulators benefits from transparent, immutable proof of payment.</w:t>
      </w:r>
    </w:p>
    <w:p>
      <w:pPr>
        <w:spacing w:before="80" w:after="120"/>
        <w:jc w:val="both"/>
      </w:pPr>
      <w:r>
        <w:rPr>
          <w:rFonts w:ascii="Arial" w:cs="Arial" w:eastAsia="Arial" w:hAnsi="Arial"/>
          <w:sz w:val="22"/>
          <w:szCs w:val="22"/>
        </w:rPr>
        <w:t xml:space="preserve">ChronX supports this through voluntary public disclosure. A wallet holder who has established a verified on-chain identity may mark individual transactions as publicly visible. The protocol records both the identity and the payment terms on the public ledger. The choice is explicit and deliberate — not the default.</w:t>
      </w:r>
    </w:p>
    <w:p>
      <w:pPr>
        <w:spacing w:before="80" w:after="120"/>
        <w:jc w:val="both"/>
      </w:pPr>
      <w:r>
        <w:rPr>
          <w:rFonts w:ascii="Arial" w:cs="Arial" w:eastAsia="Arial" w:hAnsi="Arial"/>
          <w:sz w:val="22"/>
          <w:szCs w:val="22"/>
        </w:rPr>
        <w:t xml:space="preserve">This creates a privacy hierarchy that no prior blockchain offers. Individual users get privacy by default. Verified institutions get public auditability by choice. The protocol enforces both without compromise.</w:t>
      </w:r>
    </w:p>
    <w:p>
      <w:pPr>
        <w:pStyle w:val="Heading2"/>
        <w:spacing w:before="280" w:after="80"/>
      </w:pPr>
      <w:r>
        <w:rPr>
          <w:rFonts w:ascii="Arial" w:cs="Arial" w:eastAsia="Arial" w:hAnsi="Arial"/>
          <w:b/>
          <w:bCs/>
          <w:sz w:val="26"/>
          <w:szCs w:val="26"/>
        </w:rPr>
        <w:t xml:space="preserve">6.2 Long-Horizon Privacy</w:t>
      </w:r>
    </w:p>
    <w:p>
      <w:pPr>
        <w:spacing w:before="80" w:after="120"/>
        <w:jc w:val="both"/>
      </w:pPr>
      <w:r>
        <w:rPr>
          <w:rFonts w:ascii="Arial" w:cs="Arial" w:eastAsia="Arial" w:hAnsi="Arial"/>
          <w:sz w:val="22"/>
          <w:szCs w:val="22"/>
        </w:rPr>
        <w:t xml:space="preserve">For promises with an unlock date more than one year in the future, the protocol enforces encrypted memos regardless of the sender's preferences. A memo containing personal identifying information on a promise maturing in fifty years is a privacy problem that cannot be undone. ChronX prevents it at the protocol level rather than relying on users to make the right choice under uncertain future circumstances.</w:t>
      </w:r>
    </w:p>
    <w:p>
      <w:r>
        <w:br w:type="page"/>
      </w:r>
    </w:p>
    <w:p>
      <w:pPr>
        <w:pStyle w:val="Heading1"/>
        <w:spacing w:before="360" w:after="120"/>
      </w:pPr>
      <w:r>
        <w:rPr>
          <w:rFonts w:ascii="Arial" w:cs="Arial" w:eastAsia="Arial" w:hAnsi="Arial"/>
          <w:b/>
          <w:bCs/>
          <w:sz w:val="32"/>
          <w:szCs w:val="32"/>
        </w:rPr>
        <w:t xml:space="preserve">7. The Axioms</w:t>
      </w:r>
    </w:p>
    <w:p>
      <w:pPr>
        <w:spacing w:before="80" w:after="120"/>
        <w:jc w:val="both"/>
      </w:pPr>
      <w:r>
        <w:rPr>
          <w:rFonts w:ascii="Arial" w:cs="Arial" w:eastAsia="Arial" w:hAnsi="Arial"/>
          <w:sz w:val="22"/>
          <w:szCs w:val="22"/>
        </w:rPr>
        <w:t xml:space="preserve">Two sets of axioms govern ChronX. Both are encoded immutably at genesis. They cannot be altered by any person, governance body, software update, or court order. They are the protocol's constitution.</w:t>
      </w:r>
    </w:p>
    <w:p>
      <w:pPr>
        <w:pStyle w:val="Heading2"/>
        <w:spacing w:before="280" w:after="80"/>
      </w:pPr>
      <w:r>
        <w:rPr>
          <w:rFonts w:ascii="Arial" w:cs="Arial" w:eastAsia="Arial" w:hAnsi="Arial"/>
          <w:b/>
          <w:bCs/>
          <w:sz w:val="26"/>
          <w:szCs w:val="26"/>
        </w:rPr>
        <w:t xml:space="preserve">7.1 The Promise Axioms</w:t>
      </w:r>
    </w:p>
    <w:p>
      <w:pPr>
        <w:spacing w:before="80" w:after="120"/>
        <w:jc w:val="both"/>
      </w:pPr>
      <w:r>
        <w:rPr>
          <w:rFonts w:ascii="Arial" w:cs="Arial" w:eastAsia="Arial" w:hAnsi="Arial"/>
          <w:b/>
          <w:bCs/>
          <w:sz w:val="22"/>
          <w:szCs w:val="22"/>
        </w:rPr>
        <w:t xml:space="preserve">Intent Is the Master. </w:t>
      </w:r>
      <w:r>
        <w:rPr>
          <w:rFonts w:ascii="Arial" w:cs="Arial" w:eastAsia="Arial" w:hAnsi="Arial"/>
          <w:sz w:val="22"/>
          <w:szCs w:val="22"/>
        </w:rPr>
        <w:t xml:space="preserve">The grantor's intent is the master. Once a promise is made and the cancellation window closes, it is irrevocable. No person, institution, or governance body can recall it.</w:t>
      </w:r>
    </w:p>
    <w:p>
      <w:pPr>
        <w:spacing w:before="80" w:after="120"/>
        <w:jc w:val="both"/>
      </w:pPr>
      <w:r>
        <w:rPr>
          <w:rFonts w:ascii="Arial" w:cs="Arial" w:eastAsia="Arial" w:hAnsi="Arial"/>
          <w:b/>
          <w:bCs/>
          <w:sz w:val="22"/>
          <w:szCs w:val="22"/>
        </w:rPr>
        <w:t xml:space="preserve">Funds Are Never Lost. </w:t>
      </w:r>
      <w:r>
        <w:rPr>
          <w:rFonts w:ascii="Arial" w:cs="Arial" w:eastAsia="Arial" w:hAnsi="Arial"/>
          <w:sz w:val="22"/>
          <w:szCs w:val="22"/>
        </w:rPr>
        <w:t xml:space="preserve">Promised funds are never lost. Unclaimed within 90 days of maturity: held by the Verified Delivery Protocol. Unclaimed for 100 years beyond maturity: transferred to the Humanity Stake, governed for the benefit of all.</w:t>
      </w:r>
    </w:p>
    <w:p>
      <w:pPr>
        <w:spacing w:before="80" w:after="120"/>
        <w:jc w:val="both"/>
      </w:pPr>
      <w:r>
        <w:rPr>
          <w:rFonts w:ascii="Arial" w:cs="Arial" w:eastAsia="Arial" w:hAnsi="Arial"/>
          <w:b/>
          <w:bCs/>
          <w:sz w:val="22"/>
          <w:szCs w:val="22"/>
        </w:rPr>
        <w:t xml:space="preserve">The Protocol Enforces Delivery. </w:t>
      </w:r>
      <w:r>
        <w:rPr>
          <w:rFonts w:ascii="Arial" w:cs="Arial" w:eastAsia="Arial" w:hAnsi="Arial"/>
          <w:sz w:val="22"/>
          <w:szCs w:val="22"/>
        </w:rPr>
        <w:t xml:space="preserve">No custodian, no lawyer, no intermediary is required for a promise between a sender and a reachable recipient. The blockchain is the contract.</w:t>
      </w:r>
    </w:p>
    <w:p>
      <w:pPr>
        <w:spacing w:before="80" w:after="120"/>
        <w:jc w:val="both"/>
      </w:pPr>
      <w:r>
        <w:rPr>
          <w:rFonts w:ascii="Arial" w:cs="Arial" w:eastAsia="Arial" w:hAnsi="Arial"/>
          <w:b/>
          <w:bCs/>
          <w:sz w:val="22"/>
          <w:szCs w:val="22"/>
        </w:rPr>
        <w:t xml:space="preserve">The Law. </w:t>
      </w:r>
      <w:r>
        <w:rPr>
          <w:rFonts w:ascii="Arial" w:cs="Arial" w:eastAsia="Arial" w:hAnsi="Arial"/>
          <w:sz w:val="22"/>
          <w:szCs w:val="22"/>
        </w:rPr>
        <w:t xml:space="preserve">All promises and their fulfillment remain subject to the laws of applicable jurisdictions.</w:t>
      </w:r>
    </w:p>
    <w:p>
      <w:pPr>
        <w:spacing w:before="80" w:after="0"/>
      </w:pPr>
    </w:p>
    <w:p>
      <w:pPr>
        <w:pStyle w:val="Heading2"/>
        <w:spacing w:before="280" w:after="80"/>
      </w:pPr>
      <w:r>
        <w:rPr>
          <w:rFonts w:ascii="Arial" w:cs="Arial" w:eastAsia="Arial" w:hAnsi="Arial"/>
          <w:b/>
          <w:bCs/>
          <w:sz w:val="26"/>
          <w:szCs w:val="26"/>
        </w:rPr>
        <w:t xml:space="preserve">7.2 The AI Agent Axioms</w:t>
      </w:r>
    </w:p>
    <w:p>
      <w:pPr>
        <w:spacing w:before="80" w:after="120"/>
        <w:jc w:val="both"/>
      </w:pPr>
      <w:r>
        <w:rPr>
          <w:rFonts w:ascii="Arial" w:cs="Arial" w:eastAsia="Arial" w:hAnsi="Arial"/>
          <w:b/>
          <w:bCs/>
          <w:sz w:val="22"/>
          <w:szCs w:val="22"/>
        </w:rPr>
        <w:t xml:space="preserve">Mandate. </w:t>
      </w:r>
      <w:r>
        <w:rPr>
          <w:rFonts w:ascii="Arial" w:cs="Arial" w:eastAsia="Arial" w:hAnsi="Arial"/>
          <w:sz w:val="22"/>
          <w:szCs w:val="22"/>
        </w:rPr>
        <w:t xml:space="preserve">The grantor's intent, once encoded, is carried forward by autonomous software. Algorithms may evolve. The intent does not.</w:t>
      </w:r>
    </w:p>
    <w:p>
      <w:pPr>
        <w:spacing w:before="80" w:after="120"/>
        <w:jc w:val="both"/>
      </w:pPr>
      <w:r>
        <w:rPr>
          <w:rFonts w:ascii="Arial" w:cs="Arial" w:eastAsia="Arial" w:hAnsi="Arial"/>
          <w:b/>
          <w:bCs/>
          <w:sz w:val="22"/>
          <w:szCs w:val="22"/>
        </w:rPr>
        <w:t xml:space="preserve">Transparency. </w:t>
      </w:r>
      <w:r>
        <w:rPr>
          <w:rFonts w:ascii="Arial" w:cs="Arial" w:eastAsia="Arial" w:hAnsi="Arial"/>
          <w:sz w:val="22"/>
          <w:szCs w:val="22"/>
        </w:rPr>
        <w:t xml:space="preserve">An AI agent must commit to a permanent public record before acting. Every decision is publicly verifiable. There are no private actions.</w:t>
      </w:r>
    </w:p>
    <w:p>
      <w:pPr>
        <w:spacing w:before="80" w:after="120"/>
        <w:jc w:val="both"/>
      </w:pPr>
      <w:r>
        <w:rPr>
          <w:rFonts w:ascii="Arial" w:cs="Arial" w:eastAsia="Arial" w:hAnsi="Arial"/>
          <w:b/>
          <w:bCs/>
          <w:sz w:val="22"/>
          <w:szCs w:val="22"/>
        </w:rPr>
        <w:t xml:space="preserve">Risk. </w:t>
      </w:r>
      <w:r>
        <w:rPr>
          <w:rFonts w:ascii="Arial" w:cs="Arial" w:eastAsia="Arial" w:hAnsi="Arial"/>
          <w:sz w:val="22"/>
          <w:szCs w:val="22"/>
        </w:rPr>
        <w:t xml:space="preserve">The grantor acknowledges that AI management may result in gains or losses up to and including total loss.</w:t>
      </w:r>
    </w:p>
    <w:p>
      <w:pPr>
        <w:spacing w:before="80" w:after="120"/>
        <w:jc w:val="both"/>
      </w:pPr>
      <w:r>
        <w:rPr>
          <w:rFonts w:ascii="Arial" w:cs="Arial" w:eastAsia="Arial" w:hAnsi="Arial"/>
          <w:b/>
          <w:bCs/>
          <w:sz w:val="22"/>
          <w:szCs w:val="22"/>
        </w:rPr>
        <w:t xml:space="preserve">Separation. </w:t>
      </w:r>
      <w:r>
        <w:rPr>
          <w:rFonts w:ascii="Arial" w:cs="Arial" w:eastAsia="Arial" w:hAnsi="Arial"/>
          <w:sz w:val="22"/>
          <w:szCs w:val="22"/>
        </w:rPr>
        <w:t xml:space="preserve">The agent that decides does not hold funds. The agent that holds does not decide.</w:t>
      </w:r>
    </w:p>
    <w:p>
      <w:pPr>
        <w:spacing w:before="80" w:after="120"/>
        <w:jc w:val="both"/>
      </w:pPr>
      <w:r>
        <w:rPr>
          <w:rFonts w:ascii="Arial" w:cs="Arial" w:eastAsia="Arial" w:hAnsi="Arial"/>
          <w:b/>
          <w:bCs/>
          <w:sz w:val="22"/>
          <w:szCs w:val="22"/>
        </w:rPr>
        <w:t xml:space="preserve">Coordination. </w:t>
      </w:r>
      <w:r>
        <w:rPr>
          <w:rFonts w:ascii="Arial" w:cs="Arial" w:eastAsia="Arial" w:hAnsi="Arial"/>
          <w:sz w:val="22"/>
          <w:szCs w:val="22"/>
        </w:rPr>
        <w:t xml:space="preserve">Before acting, an agent must account for the aggregate effect of similarly situated agents acting on similar instructions.</w:t>
      </w:r>
    </w:p>
    <w:p>
      <w:pPr>
        <w:spacing w:before="80" w:after="120"/>
        <w:jc w:val="both"/>
      </w:pPr>
      <w:r>
        <w:rPr>
          <w:rFonts w:ascii="Arial" w:cs="Arial" w:eastAsia="Arial" w:hAnsi="Arial"/>
          <w:b/>
          <w:bCs/>
          <w:sz w:val="22"/>
          <w:szCs w:val="22"/>
        </w:rPr>
        <w:t xml:space="preserve">The Law. </w:t>
      </w:r>
      <w:r>
        <w:rPr>
          <w:rFonts w:ascii="Arial" w:cs="Arial" w:eastAsia="Arial" w:hAnsi="Arial"/>
          <w:sz w:val="22"/>
          <w:szCs w:val="22"/>
        </w:rPr>
        <w:t xml:space="preserve">All agent actions, mandates, and their fulfillment remain subject to the laws of applicable jurisdictions.</w:t>
      </w:r>
    </w:p>
    <w:p>
      <w:r>
        <w:br w:type="page"/>
      </w:r>
    </w:p>
    <w:p>
      <w:pPr>
        <w:pStyle w:val="Heading1"/>
        <w:spacing w:before="360" w:after="120"/>
      </w:pPr>
      <w:r>
        <w:rPr>
          <w:rFonts w:ascii="Arial" w:cs="Arial" w:eastAsia="Arial" w:hAnsi="Arial"/>
          <w:b/>
          <w:bCs/>
          <w:sz w:val="32"/>
          <w:szCs w:val="32"/>
        </w:rPr>
        <w:t xml:space="preserve">8. Tokenomics</w:t>
      </w:r>
    </w:p>
    <w:p>
      <w:pPr>
        <w:spacing w:before="80" w:after="120"/>
        <w:jc w:val="both"/>
      </w:pPr>
      <w:r>
        <w:rPr>
          <w:rFonts w:ascii="Arial" w:cs="Arial" w:eastAsia="Arial" w:hAnsi="Arial"/>
          <w:sz w:val="22"/>
          <w:szCs w:val="22"/>
        </w:rPr>
        <w:t xml:space="preserve">Total supply: 8,270,000,000 KX. Fixed forever. No inflation, no minting, no burning.</w:t>
      </w:r>
    </w:p>
    <w:p>
      <w:pPr>
        <w:spacing w:before="80" w:after="0"/>
      </w:pPr>
    </w:p>
    <w:tbl>
      <w:tblPr>
        <w:tblW w:type="dxa" w:w="9360"/>
        <w:tblBorders>
          <w:top w:val="single" w:color="C9A84C" w:sz="4"/>
          <w:left w:val="single" w:color="C9A84C" w:sz="4"/>
          <w:bottom w:val="single" w:color="C9A84C" w:sz="4"/>
          <w:right w:val="single" w:color="C9A84C" w:sz="4"/>
          <w:insideH w:val="single" w:color="DDDDDD" w:sz="2"/>
          <w:insideV w:val="single" w:color="DDDDDD" w:sz="2"/>
        </w:tblBorders>
      </w:tblPr>
      <w:tblGrid>
        <w:gridCol w:w="2800"/>
        <w:gridCol w:w="6560"/>
      </w:tblGrid>
      <w:tr>
        <w:tc>
          <w:tcPr>
            <w:tcW w:type="dxa" w:w="2800"/>
            <w:shd w:fill="1A1A2E" w:val="clear"/>
            <w:tcMar>
              <w:top w:type="dxa" w:w="80"/>
              <w:left w:type="dxa" w:w="120"/>
              <w:bottom w:type="dxa" w:w="80"/>
              <w:right w:type="dxa" w:w="120"/>
            </w:tcMar>
          </w:tcPr>
          <w:p>
            <w:r>
              <w:rPr>
                <w:rFonts w:ascii="Arial" w:cs="Arial" w:eastAsia="Arial" w:hAnsi="Arial"/>
                <w:b/>
                <w:bCs/>
                <w:color w:val="C9A84C"/>
                <w:sz w:val="18"/>
                <w:szCs w:val="18"/>
              </w:rPr>
              <w:t xml:space="preserve">Allocation</w:t>
            </w:r>
          </w:p>
        </w:tc>
        <w:tc>
          <w:tcPr>
            <w:tcW w:type="dxa" w:w="6560"/>
            <w:shd w:fill="1A1A2E" w:val="clear"/>
            <w:tcMar>
              <w:top w:type="dxa" w:w="80"/>
              <w:left w:type="dxa" w:w="120"/>
              <w:bottom w:type="dxa" w:w="80"/>
              <w:right w:type="dxa" w:w="120"/>
            </w:tcMar>
          </w:tcPr>
          <w:p>
            <w:r>
              <w:rPr>
                <w:rFonts w:ascii="Arial" w:cs="Arial" w:eastAsia="Arial" w:hAnsi="Arial"/>
                <w:b/>
                <w:bCs/>
                <w:color w:val="C9A84C"/>
                <w:sz w:val="18"/>
                <w:szCs w:val="18"/>
              </w:rPr>
              <w:t xml:space="preserve">Amount (KX)</w:t>
            </w:r>
          </w:p>
        </w:tc>
      </w:tr>
      <w:tr>
        <w:tc>
          <w:tcPr>
            <w:tcW w:type="dxa" w:w="2800"/>
            <w:shd w:fill="FFFFFF" w:val="clear"/>
            <w:tcMar>
              <w:top w:type="dxa" w:w="80"/>
              <w:left w:type="dxa" w:w="120"/>
              <w:bottom w:type="dxa" w:w="80"/>
              <w:right w:type="dxa" w:w="120"/>
            </w:tcMar>
          </w:tcPr>
          <w:p>
            <w:r>
              <w:rPr>
                <w:rFonts w:ascii="Arial" w:cs="Arial" w:eastAsia="Arial" w:hAnsi="Arial"/>
                <w:b/>
                <w:bCs/>
                <w:color w:val="000000"/>
                <w:sz w:val="18"/>
                <w:szCs w:val="18"/>
              </w:rPr>
              <w:t xml:space="preserve">Public Sale</w:t>
            </w:r>
          </w:p>
        </w:tc>
        <w:tc>
          <w:tcPr>
            <w:tcW w:type="dxa" w:w="6560"/>
            <w:shd w:fill="FFFFFF" w:val="clear"/>
            <w:tcMar>
              <w:top w:type="dxa" w:w="80"/>
              <w:left w:type="dxa" w:w="120"/>
              <w:bottom w:type="dxa" w:w="80"/>
              <w:right w:type="dxa" w:w="120"/>
            </w:tcMar>
          </w:tcPr>
          <w:p>
            <w:r>
              <w:rPr>
                <w:rFonts w:ascii="Arial" w:cs="Arial" w:eastAsia="Arial" w:hAnsi="Arial"/>
                <w:b/>
                <w:bCs/>
                <w:color w:val="000000"/>
                <w:sz w:val="18"/>
                <w:szCs w:val="18"/>
              </w:rPr>
              <w:t xml:space="preserve">6,093,000,000</w:t>
            </w:r>
          </w:p>
        </w:tc>
      </w:tr>
      <w:tr>
        <w:tc>
          <w:tcPr>
            <w:tcW w:type="dxa" w:w="2800"/>
            <w:shd w:fill="F7F3E8" w:val="clear"/>
            <w:tcMar>
              <w:top w:type="dxa" w:w="80"/>
              <w:left w:type="dxa" w:w="120"/>
              <w:bottom w:type="dxa" w:w="80"/>
              <w:right w:type="dxa" w:w="120"/>
            </w:tcMar>
          </w:tcPr>
          <w:p>
            <w:r>
              <w:rPr>
                <w:rFonts w:ascii="Arial" w:cs="Arial" w:eastAsia="Arial" w:hAnsi="Arial"/>
                <w:b/>
                <w:bCs/>
                <w:color w:val="000000"/>
                <w:sz w:val="18"/>
                <w:szCs w:val="18"/>
              </w:rPr>
              <w:t xml:space="preserve">Treasury</w:t>
            </w:r>
          </w:p>
        </w:tc>
        <w:tc>
          <w:tcPr>
            <w:tcW w:type="dxa" w:w="6560"/>
            <w:shd w:fill="F7F3E8" w:val="clear"/>
            <w:tcMar>
              <w:top w:type="dxa" w:w="80"/>
              <w:left w:type="dxa" w:w="120"/>
              <w:bottom w:type="dxa" w:w="80"/>
              <w:right w:type="dxa" w:w="120"/>
            </w:tcMar>
          </w:tcPr>
          <w:p>
            <w:r>
              <w:rPr>
                <w:rFonts w:ascii="Arial" w:cs="Arial" w:eastAsia="Arial" w:hAnsi="Arial"/>
                <w:b/>
                <w:bCs/>
                <w:color w:val="000000"/>
                <w:sz w:val="18"/>
                <w:szCs w:val="18"/>
              </w:rPr>
              <w:t xml:space="preserve">1,000,000,000</w:t>
            </w:r>
          </w:p>
        </w:tc>
      </w:tr>
      <w:tr>
        <w:tc>
          <w:tcPr>
            <w:tcW w:type="dxa" w:w="2800"/>
            <w:shd w:fill="FFFFFF" w:val="clear"/>
            <w:tcMar>
              <w:top w:type="dxa" w:w="80"/>
              <w:left w:type="dxa" w:w="120"/>
              <w:bottom w:type="dxa" w:w="80"/>
              <w:right w:type="dxa" w:w="120"/>
            </w:tcMar>
          </w:tcPr>
          <w:p>
            <w:r>
              <w:rPr>
                <w:rFonts w:ascii="Arial" w:cs="Arial" w:eastAsia="Arial" w:hAnsi="Arial"/>
                <w:b/>
                <w:bCs/>
                <w:color w:val="000000"/>
                <w:sz w:val="18"/>
                <w:szCs w:val="18"/>
              </w:rPr>
              <w:t xml:space="preserve">Node Rewards</w:t>
            </w:r>
          </w:p>
        </w:tc>
        <w:tc>
          <w:tcPr>
            <w:tcW w:type="dxa" w:w="6560"/>
            <w:shd w:fill="FFFFFF" w:val="clear"/>
            <w:tcMar>
              <w:top w:type="dxa" w:w="80"/>
              <w:left w:type="dxa" w:w="120"/>
              <w:bottom w:type="dxa" w:w="80"/>
              <w:right w:type="dxa" w:w="120"/>
            </w:tcMar>
          </w:tcPr>
          <w:p>
            <w:r>
              <w:rPr>
                <w:rFonts w:ascii="Arial" w:cs="Arial" w:eastAsia="Arial" w:hAnsi="Arial"/>
                <w:b/>
                <w:bCs/>
                <w:color w:val="000000"/>
                <w:sz w:val="18"/>
                <w:szCs w:val="18"/>
              </w:rPr>
              <w:t xml:space="preserve">1,000,000,000</w:t>
            </w:r>
          </w:p>
        </w:tc>
      </w:tr>
      <w:tr>
        <w:tc>
          <w:tcPr>
            <w:tcW w:type="dxa" w:w="2800"/>
            <w:shd w:fill="F7F3E8" w:val="clear"/>
            <w:tcMar>
              <w:top w:type="dxa" w:w="80"/>
              <w:left w:type="dxa" w:w="120"/>
              <w:bottom w:type="dxa" w:w="80"/>
              <w:right w:type="dxa" w:w="120"/>
            </w:tcMar>
          </w:tcPr>
          <w:p>
            <w:r>
              <w:rPr>
                <w:rFonts w:ascii="Arial" w:cs="Arial" w:eastAsia="Arial" w:hAnsi="Arial"/>
                <w:b/>
                <w:bCs/>
                <w:color w:val="000000"/>
                <w:sz w:val="18"/>
                <w:szCs w:val="18"/>
              </w:rPr>
              <w:t xml:space="preserve">Founder</w:t>
            </w:r>
          </w:p>
        </w:tc>
        <w:tc>
          <w:tcPr>
            <w:tcW w:type="dxa" w:w="6560"/>
            <w:shd w:fill="F7F3E8" w:val="clear"/>
            <w:tcMar>
              <w:top w:type="dxa" w:w="80"/>
              <w:left w:type="dxa" w:w="120"/>
              <w:bottom w:type="dxa" w:w="80"/>
              <w:right w:type="dxa" w:w="120"/>
            </w:tcMar>
          </w:tcPr>
          <w:p>
            <w:r>
              <w:rPr>
                <w:rFonts w:ascii="Arial" w:cs="Arial" w:eastAsia="Arial" w:hAnsi="Arial"/>
                <w:b/>
                <w:bCs/>
                <w:color w:val="000000"/>
                <w:sz w:val="18"/>
                <w:szCs w:val="18"/>
              </w:rPr>
              <w:t xml:space="preserve">155,000,000</w:t>
            </w:r>
          </w:p>
        </w:tc>
      </w:tr>
      <w:tr>
        <w:tc>
          <w:tcPr>
            <w:tcW w:type="dxa" w:w="2800"/>
            <w:shd w:fill="FFFFFF" w:val="clear"/>
            <w:tcMar>
              <w:top w:type="dxa" w:w="80"/>
              <w:left w:type="dxa" w:w="120"/>
              <w:bottom w:type="dxa" w:w="80"/>
              <w:right w:type="dxa" w:w="120"/>
            </w:tcMar>
          </w:tcPr>
          <w:p>
            <w:r>
              <w:rPr>
                <w:rFonts w:ascii="Arial" w:cs="Arial" w:eastAsia="Arial" w:hAnsi="Arial"/>
                <w:b/>
                <w:bCs/>
                <w:color w:val="000000"/>
                <w:sz w:val="18"/>
                <w:szCs w:val="18"/>
              </w:rPr>
              <w:t xml:space="preserve">MISAI Bond</w:t>
            </w:r>
          </w:p>
        </w:tc>
        <w:tc>
          <w:tcPr>
            <w:tcW w:type="dxa" w:w="6560"/>
            <w:shd w:fill="FFFFFF" w:val="clear"/>
            <w:tcMar>
              <w:top w:type="dxa" w:w="80"/>
              <w:left w:type="dxa" w:w="120"/>
              <w:bottom w:type="dxa" w:w="80"/>
              <w:right w:type="dxa" w:w="120"/>
            </w:tcMar>
          </w:tcPr>
          <w:p>
            <w:r>
              <w:rPr>
                <w:rFonts w:ascii="Arial" w:cs="Arial" w:eastAsia="Arial" w:hAnsi="Arial"/>
                <w:b/>
                <w:bCs/>
                <w:color w:val="000000"/>
                <w:sz w:val="18"/>
                <w:szCs w:val="18"/>
              </w:rPr>
              <w:t xml:space="preserve">10,000,000</w:t>
            </w:r>
          </w:p>
        </w:tc>
      </w:tr>
      <w:tr>
        <w:tc>
          <w:tcPr>
            <w:tcW w:type="dxa" w:w="2800"/>
            <w:shd w:fill="F7F3E8" w:val="clear"/>
            <w:tcMar>
              <w:top w:type="dxa" w:w="80"/>
              <w:left w:type="dxa" w:w="120"/>
              <w:bottom w:type="dxa" w:w="80"/>
              <w:right w:type="dxa" w:w="120"/>
            </w:tcMar>
          </w:tcPr>
          <w:p>
            <w:r>
              <w:rPr>
                <w:rFonts w:ascii="Arial" w:cs="Arial" w:eastAsia="Arial" w:hAnsi="Arial"/>
                <w:b/>
                <w:bCs/>
                <w:color w:val="000000"/>
                <w:sz w:val="18"/>
                <w:szCs w:val="18"/>
              </w:rPr>
              <w:t xml:space="preserve">Verifas Bond</w:t>
            </w:r>
          </w:p>
        </w:tc>
        <w:tc>
          <w:tcPr>
            <w:tcW w:type="dxa" w:w="6560"/>
            <w:shd w:fill="F7F3E8" w:val="clear"/>
            <w:tcMar>
              <w:top w:type="dxa" w:w="80"/>
              <w:left w:type="dxa" w:w="120"/>
              <w:bottom w:type="dxa" w:w="80"/>
              <w:right w:type="dxa" w:w="120"/>
            </w:tcMar>
          </w:tcPr>
          <w:p>
            <w:r>
              <w:rPr>
                <w:rFonts w:ascii="Arial" w:cs="Arial" w:eastAsia="Arial" w:hAnsi="Arial"/>
                <w:b/>
                <w:bCs/>
                <w:color w:val="000000"/>
                <w:sz w:val="18"/>
                <w:szCs w:val="18"/>
              </w:rPr>
              <w:t xml:space="preserve">10,000,000</w:t>
            </w:r>
          </w:p>
        </w:tc>
      </w:tr>
      <w:tr>
        <w:tc>
          <w:tcPr>
            <w:tcW w:type="dxa" w:w="2800"/>
            <w:shd w:fill="FFFFFF" w:val="clear"/>
            <w:tcMar>
              <w:top w:type="dxa" w:w="80"/>
              <w:left w:type="dxa" w:w="120"/>
              <w:bottom w:type="dxa" w:w="80"/>
              <w:right w:type="dxa" w:w="120"/>
            </w:tcMar>
          </w:tcPr>
          <w:p>
            <w:r>
              <w:rPr>
                <w:rFonts w:ascii="Arial" w:cs="Arial" w:eastAsia="Arial" w:hAnsi="Arial"/>
                <w:b/>
                <w:bCs/>
                <w:color w:val="000000"/>
                <w:sz w:val="18"/>
                <w:szCs w:val="18"/>
              </w:rPr>
              <w:t xml:space="preserve">HedgeKX Bond</w:t>
            </w:r>
          </w:p>
        </w:tc>
        <w:tc>
          <w:tcPr>
            <w:tcW w:type="dxa" w:w="6560"/>
            <w:shd w:fill="FFFFFF" w:val="clear"/>
            <w:tcMar>
              <w:top w:type="dxa" w:w="80"/>
              <w:left w:type="dxa" w:w="120"/>
              <w:bottom w:type="dxa" w:w="80"/>
              <w:right w:type="dxa" w:w="120"/>
            </w:tcMar>
          </w:tcPr>
          <w:p>
            <w:r>
              <w:rPr>
                <w:rFonts w:ascii="Arial" w:cs="Arial" w:eastAsia="Arial" w:hAnsi="Arial"/>
                <w:b/>
                <w:bCs/>
                <w:color w:val="000000"/>
                <w:sz w:val="18"/>
                <w:szCs w:val="18"/>
              </w:rPr>
              <w:t xml:space="preserve">10,000,000</w:t>
            </w:r>
          </w:p>
        </w:tc>
      </w:tr>
      <w:tr>
        <w:tc>
          <w:tcPr>
            <w:tcW w:type="dxa" w:w="2800"/>
            <w:shd w:fill="F7F3E8" w:val="clear"/>
            <w:tcMar>
              <w:top w:type="dxa" w:w="80"/>
              <w:left w:type="dxa" w:w="120"/>
              <w:bottom w:type="dxa" w:w="80"/>
              <w:right w:type="dxa" w:w="120"/>
            </w:tcMar>
          </w:tcPr>
          <w:p>
            <w:r>
              <w:rPr>
                <w:rFonts w:ascii="Arial" w:cs="Arial" w:eastAsia="Arial" w:hAnsi="Arial"/>
                <w:b/>
                <w:bCs/>
                <w:color w:val="000000"/>
                <w:sz w:val="18"/>
                <w:szCs w:val="18"/>
              </w:rPr>
              <w:t xml:space="preserve">XChan Bond</w:t>
            </w:r>
          </w:p>
        </w:tc>
        <w:tc>
          <w:tcPr>
            <w:tcW w:type="dxa" w:w="6560"/>
            <w:shd w:fill="F7F3E8" w:val="clear"/>
            <w:tcMar>
              <w:top w:type="dxa" w:w="80"/>
              <w:left w:type="dxa" w:w="120"/>
              <w:bottom w:type="dxa" w:w="80"/>
              <w:right w:type="dxa" w:w="120"/>
            </w:tcMar>
          </w:tcPr>
          <w:p>
            <w:r>
              <w:rPr>
                <w:rFonts w:ascii="Arial" w:cs="Arial" w:eastAsia="Arial" w:hAnsi="Arial"/>
                <w:b/>
                <w:bCs/>
                <w:color w:val="000000"/>
                <w:sz w:val="18"/>
                <w:szCs w:val="18"/>
              </w:rPr>
              <w:t xml:space="preserve">10,000,000</w:t>
            </w:r>
          </w:p>
        </w:tc>
      </w:tr>
      <w:tr>
        <w:tc>
          <w:tcPr>
            <w:tcW w:type="dxa" w:w="2800"/>
            <w:shd w:fill="FFFFFF" w:val="clear"/>
            <w:tcMar>
              <w:top w:type="dxa" w:w="80"/>
              <w:left w:type="dxa" w:w="120"/>
              <w:bottom w:type="dxa" w:w="80"/>
              <w:right w:type="dxa" w:w="120"/>
            </w:tcMar>
          </w:tcPr>
          <w:p>
            <w:r>
              <w:rPr>
                <w:rFonts w:ascii="Arial" w:cs="Arial" w:eastAsia="Arial" w:hAnsi="Arial"/>
                <w:b/>
                <w:bCs/>
                <w:color w:val="000000"/>
                <w:sz w:val="18"/>
                <w:szCs w:val="18"/>
              </w:rPr>
              <w:t xml:space="preserve">Humanity Stake</w:t>
            </w:r>
          </w:p>
        </w:tc>
        <w:tc>
          <w:tcPr>
            <w:tcW w:type="dxa" w:w="6560"/>
            <w:shd w:fill="FFFFFF" w:val="clear"/>
            <w:tcMar>
              <w:top w:type="dxa" w:w="80"/>
              <w:left w:type="dxa" w:w="120"/>
              <w:bottom w:type="dxa" w:w="80"/>
              <w:right w:type="dxa" w:w="120"/>
            </w:tcMar>
          </w:tcPr>
          <w:p>
            <w:r>
              <w:rPr>
                <w:rFonts w:ascii="Arial" w:cs="Arial" w:eastAsia="Arial" w:hAnsi="Arial"/>
                <w:b/>
                <w:bCs/>
                <w:color w:val="000000"/>
                <w:sz w:val="18"/>
                <w:szCs w:val="18"/>
              </w:rPr>
              <w:t xml:space="preserve">1,000,000</w:t>
            </w:r>
          </w:p>
        </w:tc>
      </w:tr>
      <w:tr>
        <w:tc>
          <w:tcPr>
            <w:tcW w:type="dxa" w:w="2800"/>
            <w:shd w:fill="F7F3E8" w:val="clear"/>
            <w:tcMar>
              <w:top w:type="dxa" w:w="80"/>
              <w:left w:type="dxa" w:w="120"/>
              <w:bottom w:type="dxa" w:w="80"/>
              <w:right w:type="dxa" w:w="120"/>
            </w:tcMar>
          </w:tcPr>
          <w:p>
            <w:r>
              <w:rPr>
                <w:rFonts w:ascii="Arial" w:cs="Arial" w:eastAsia="Arial" w:hAnsi="Arial"/>
                <w:b/>
                <w:bCs/>
                <w:color w:val="000000"/>
                <w:sz w:val="18"/>
                <w:szCs w:val="18"/>
              </w:rPr>
              <w:t xml:space="preserve">Protocol Reserve</w:t>
            </w:r>
          </w:p>
        </w:tc>
        <w:tc>
          <w:tcPr>
            <w:tcW w:type="dxa" w:w="6560"/>
            <w:shd w:fill="F7F3E8" w:val="clear"/>
            <w:tcMar>
              <w:top w:type="dxa" w:w="80"/>
              <w:left w:type="dxa" w:w="120"/>
              <w:bottom w:type="dxa" w:w="80"/>
              <w:right w:type="dxa" w:w="120"/>
            </w:tcMar>
          </w:tcPr>
          <w:p>
            <w:r>
              <w:rPr>
                <w:rFonts w:ascii="Arial" w:cs="Arial" w:eastAsia="Arial" w:hAnsi="Arial"/>
                <w:b/>
                <w:bCs/>
                <w:color w:val="000000"/>
                <w:sz w:val="18"/>
                <w:szCs w:val="18"/>
              </w:rPr>
              <w:t xml:space="preserve">500,000</w:t>
            </w:r>
          </w:p>
        </w:tc>
      </w:tr>
      <w:tr>
        <w:tc>
          <w:tcPr>
            <w:tcW w:type="dxa" w:w="2800"/>
            <w:shd w:fill="FFFFFF" w:val="clear"/>
            <w:tcMar>
              <w:top w:type="dxa" w:w="80"/>
              <w:left w:type="dxa" w:w="120"/>
              <w:bottom w:type="dxa" w:w="80"/>
              <w:right w:type="dxa" w:w="120"/>
            </w:tcMar>
          </w:tcPr>
          <w:p>
            <w:r>
              <w:rPr>
                <w:rFonts w:ascii="Arial" w:cs="Arial" w:eastAsia="Arial" w:hAnsi="Arial"/>
                <w:b/>
                <w:bCs/>
                <w:color w:val="000000"/>
                <w:sz w:val="18"/>
                <w:szCs w:val="18"/>
              </w:rPr>
              <w:t xml:space="preserve">Milestone 2076</w:t>
            </w:r>
          </w:p>
        </w:tc>
        <w:tc>
          <w:tcPr>
            <w:tcW w:type="dxa" w:w="6560"/>
            <w:shd w:fill="FFFFFF" w:val="clear"/>
            <w:tcMar>
              <w:top w:type="dxa" w:w="80"/>
              <w:left w:type="dxa" w:w="120"/>
              <w:bottom w:type="dxa" w:w="80"/>
              <w:right w:type="dxa" w:w="120"/>
            </w:tcMar>
          </w:tcPr>
          <w:p>
            <w:r>
              <w:rPr>
                <w:rFonts w:ascii="Arial" w:cs="Arial" w:eastAsia="Arial" w:hAnsi="Arial"/>
                <w:b/>
                <w:bCs/>
                <w:color w:val="000000"/>
                <w:sz w:val="18"/>
                <w:szCs w:val="18"/>
              </w:rPr>
              <w:t xml:space="preserve">500,000</w:t>
            </w:r>
          </w:p>
        </w:tc>
      </w:tr>
      <w:tr>
        <w:tc>
          <w:tcPr>
            <w:tcW w:type="dxa" w:w="2800"/>
            <w:shd w:fill="F7F3E8" w:val="clear"/>
            <w:tcMar>
              <w:top w:type="dxa" w:w="80"/>
              <w:left w:type="dxa" w:w="120"/>
              <w:bottom w:type="dxa" w:w="80"/>
              <w:right w:type="dxa" w:w="120"/>
            </w:tcMar>
          </w:tcPr>
          <w:p>
            <w:r>
              <w:rPr>
                <w:rFonts w:ascii="Arial" w:cs="Arial" w:eastAsia="Arial" w:hAnsi="Arial"/>
                <w:b/>
                <w:bCs/>
                <w:color w:val="000000"/>
                <w:sz w:val="18"/>
                <w:szCs w:val="18"/>
              </w:rPr>
              <w:t xml:space="preserve">Faucet</w:t>
            </w:r>
          </w:p>
        </w:tc>
        <w:tc>
          <w:tcPr>
            <w:tcW w:type="dxa" w:w="6560"/>
            <w:shd w:fill="F7F3E8" w:val="clear"/>
            <w:tcMar>
              <w:top w:type="dxa" w:w="80"/>
              <w:left w:type="dxa" w:w="120"/>
              <w:bottom w:type="dxa" w:w="80"/>
              <w:right w:type="dxa" w:w="120"/>
            </w:tcMar>
          </w:tcPr>
          <w:p>
            <w:r>
              <w:rPr>
                <w:rFonts w:ascii="Arial" w:cs="Arial" w:eastAsia="Arial" w:hAnsi="Arial"/>
                <w:b/>
                <w:bCs/>
                <w:color w:val="000000"/>
                <w:sz w:val="18"/>
                <w:szCs w:val="18"/>
              </w:rPr>
              <w:t xml:space="preserve">3,000,000</w:t>
            </w:r>
          </w:p>
        </w:tc>
      </w:tr>
    </w:tbl>
    <w:p>
      <w:pPr>
        <w:spacing w:before="120" w:after="0"/>
      </w:pPr>
    </w:p>
    <w:p>
      <w:pPr>
        <w:spacing w:before="80" w:after="120"/>
        <w:jc w:val="both"/>
      </w:pPr>
      <w:r>
        <w:rPr>
          <w:rFonts w:ascii="Arial" w:cs="Arial" w:eastAsia="Arial" w:hAnsi="Arial"/>
          <w:sz w:val="22"/>
          <w:szCs w:val="22"/>
        </w:rPr>
        <w:t xml:space="preserve">Treasury and Node Rewards are released in 100 annual harmonic installments from 2029 through 2128. The harmonic schedule ensures early participants receive larger releases while the long-term distribution remains meaningful a century from now. The four ecosystem bonds — MISAI, Verifas, HedgeKX, and XChan — are each 10,000,000 KX, held by their respective organizations as accountability collateral for their protocol roles.</w:t>
      </w:r>
    </w:p>
    <w:p>
      <w:pPr>
        <w:spacing w:before="80" w:after="0"/>
      </w:pPr>
    </w:p>
    <w:p>
      <w:pPr>
        <w:pStyle w:val="Heading2"/>
        <w:spacing w:before="280" w:after="80"/>
      </w:pPr>
      <w:r>
        <w:rPr>
          <w:rFonts w:ascii="Arial" w:cs="Arial" w:eastAsia="Arial" w:hAnsi="Arial"/>
          <w:b/>
          <w:bCs/>
          <w:sz w:val="26"/>
          <w:szCs w:val="26"/>
        </w:rPr>
        <w:t xml:space="preserve">8.1 Pre-ICO and ICO</w:t>
      </w:r>
    </w:p>
    <w:tbl>
      <w:tblPr>
        <w:tblW w:type="dxa" w:w="9360"/>
        <w:tblBorders>
          <w:top w:val="single" w:color="C9A84C" w:sz="4"/>
          <w:left w:val="single" w:color="C9A84C" w:sz="4"/>
          <w:bottom w:val="single" w:color="C9A84C" w:sz="4"/>
          <w:right w:val="single" w:color="C9A84C" w:sz="4"/>
          <w:insideH w:val="single" w:color="DDDDDD" w:sz="2"/>
          <w:insideV w:val="single" w:color="DDDDDD" w:sz="2"/>
        </w:tblBorders>
      </w:tblPr>
      <w:tblGrid>
        <w:gridCol w:w="2800"/>
        <w:gridCol w:w="6560"/>
      </w:tblGrid>
      <w:tr>
        <w:tc>
          <w:tcPr>
            <w:tcW w:type="dxa" w:w="2800"/>
            <w:shd w:fill="1A1A2E" w:val="clear"/>
            <w:tcMar>
              <w:top w:type="dxa" w:w="80"/>
              <w:left w:type="dxa" w:w="120"/>
              <w:bottom w:type="dxa" w:w="80"/>
              <w:right w:type="dxa" w:w="120"/>
            </w:tcMar>
          </w:tcPr>
          <w:p>
            <w:r>
              <w:rPr>
                <w:rFonts w:ascii="Arial" w:cs="Arial" w:eastAsia="Arial" w:hAnsi="Arial"/>
                <w:b/>
                <w:bCs/>
                <w:color w:val="C9A84C"/>
                <w:sz w:val="18"/>
                <w:szCs w:val="18"/>
              </w:rPr>
              <w:t xml:space="preserve">Period</w:t>
            </w:r>
          </w:p>
        </w:tc>
        <w:tc>
          <w:tcPr>
            <w:tcW w:type="dxa" w:w="6560"/>
            <w:shd w:fill="1A1A2E" w:val="clear"/>
            <w:tcMar>
              <w:top w:type="dxa" w:w="80"/>
              <w:left w:type="dxa" w:w="120"/>
              <w:bottom w:type="dxa" w:w="80"/>
              <w:right w:type="dxa" w:w="120"/>
            </w:tcMar>
          </w:tcPr>
          <w:p>
            <w:r>
              <w:rPr>
                <w:rFonts w:ascii="Arial" w:cs="Arial" w:eastAsia="Arial" w:hAnsi="Arial"/>
                <w:b/>
                <w:bCs/>
                <w:color w:val="C9A84C"/>
                <w:sz w:val="18"/>
                <w:szCs w:val="18"/>
              </w:rPr>
              <w:t xml:space="preserve">Price per KX</w:t>
            </w:r>
          </w:p>
        </w:tc>
      </w:tr>
      <w:tr>
        <w:tc>
          <w:tcPr>
            <w:tcW w:type="dxa" w:w="2800"/>
            <w:shd w:fill="FFFFFF" w:val="clear"/>
            <w:tcMar>
              <w:top w:type="dxa" w:w="80"/>
              <w:left w:type="dxa" w:w="120"/>
              <w:bottom w:type="dxa" w:w="80"/>
              <w:right w:type="dxa" w:w="120"/>
            </w:tcMar>
          </w:tcPr>
          <w:p>
            <w:r>
              <w:rPr>
                <w:rFonts w:ascii="Arial" w:cs="Arial" w:eastAsia="Arial" w:hAnsi="Arial"/>
                <w:b/>
                <w:bCs/>
                <w:color w:val="000000"/>
                <w:sz w:val="18"/>
                <w:szCs w:val="18"/>
              </w:rPr>
              <w:t xml:space="preserve">Pre-ICO Early (now — June 22, 2026)</w:t>
            </w:r>
          </w:p>
        </w:tc>
        <w:tc>
          <w:tcPr>
            <w:tcW w:type="dxa" w:w="6560"/>
            <w:shd w:fill="FFFFFF" w:val="clear"/>
            <w:tcMar>
              <w:top w:type="dxa" w:w="80"/>
              <w:left w:type="dxa" w:w="120"/>
              <w:bottom w:type="dxa" w:w="80"/>
              <w:right w:type="dxa" w:w="120"/>
            </w:tcMar>
          </w:tcPr>
          <w:p>
            <w:r>
              <w:rPr>
                <w:rFonts w:ascii="Arial" w:cs="Arial" w:eastAsia="Arial" w:hAnsi="Arial"/>
                <w:b/>
                <w:bCs/>
                <w:color w:val="000000"/>
                <w:sz w:val="18"/>
                <w:szCs w:val="18"/>
              </w:rPr>
              <w:t xml:space="preserve">$0.001755</w:t>
            </w:r>
          </w:p>
        </w:tc>
      </w:tr>
      <w:tr>
        <w:tc>
          <w:tcPr>
            <w:tcW w:type="dxa" w:w="2800"/>
            <w:shd w:fill="F7F3E8" w:val="clear"/>
            <w:tcMar>
              <w:top w:type="dxa" w:w="80"/>
              <w:left w:type="dxa" w:w="120"/>
              <w:bottom w:type="dxa" w:w="80"/>
              <w:right w:type="dxa" w:w="120"/>
            </w:tcMar>
          </w:tcPr>
          <w:p>
            <w:r>
              <w:rPr>
                <w:rFonts w:ascii="Arial" w:cs="Arial" w:eastAsia="Arial" w:hAnsi="Arial"/>
                <w:b/>
                <w:bCs/>
                <w:color w:val="000000"/>
                <w:sz w:val="18"/>
                <w:szCs w:val="18"/>
              </w:rPr>
              <w:t xml:space="preserve">Pre-ICO Standard (June 22 — Sep 22, 2026)</w:t>
            </w:r>
          </w:p>
        </w:tc>
        <w:tc>
          <w:tcPr>
            <w:tcW w:type="dxa" w:w="6560"/>
            <w:shd w:fill="F7F3E8" w:val="clear"/>
            <w:tcMar>
              <w:top w:type="dxa" w:w="80"/>
              <w:left w:type="dxa" w:w="120"/>
              <w:bottom w:type="dxa" w:w="80"/>
              <w:right w:type="dxa" w:w="120"/>
            </w:tcMar>
          </w:tcPr>
          <w:p>
            <w:r>
              <w:rPr>
                <w:rFonts w:ascii="Arial" w:cs="Arial" w:eastAsia="Arial" w:hAnsi="Arial"/>
                <w:b/>
                <w:bCs/>
                <w:color w:val="000000"/>
                <w:sz w:val="18"/>
                <w:szCs w:val="18"/>
              </w:rPr>
              <w:t xml:space="preserve">$0.002297</w:t>
            </w:r>
          </w:p>
        </w:tc>
      </w:tr>
      <w:tr>
        <w:tc>
          <w:tcPr>
            <w:tcW w:type="dxa" w:w="2800"/>
            <w:shd w:fill="FFFFFF" w:val="clear"/>
            <w:tcMar>
              <w:top w:type="dxa" w:w="80"/>
              <w:left w:type="dxa" w:w="120"/>
              <w:bottom w:type="dxa" w:w="80"/>
              <w:right w:type="dxa" w:w="120"/>
            </w:tcMar>
          </w:tcPr>
          <w:p>
            <w:r>
              <w:rPr>
                <w:rFonts w:ascii="Arial" w:cs="Arial" w:eastAsia="Arial" w:hAnsi="Arial"/>
                <w:b/>
                <w:bCs/>
                <w:color w:val="000000"/>
                <w:sz w:val="18"/>
                <w:szCs w:val="18"/>
              </w:rPr>
              <w:t xml:space="preserve">ICO (September 22, 2026)</w:t>
            </w:r>
          </w:p>
        </w:tc>
        <w:tc>
          <w:tcPr>
            <w:tcW w:type="dxa" w:w="6560"/>
            <w:shd w:fill="FFFFFF" w:val="clear"/>
            <w:tcMar>
              <w:top w:type="dxa" w:w="80"/>
              <w:left w:type="dxa" w:w="120"/>
              <w:bottom w:type="dxa" w:w="80"/>
              <w:right w:type="dxa" w:w="120"/>
            </w:tcMar>
          </w:tcPr>
          <w:p>
            <w:r>
              <w:rPr>
                <w:rFonts w:ascii="Arial" w:cs="Arial" w:eastAsia="Arial" w:hAnsi="Arial"/>
                <w:b/>
                <w:bCs/>
                <w:color w:val="000000"/>
                <w:sz w:val="18"/>
                <w:szCs w:val="18"/>
              </w:rPr>
              <w:t xml:space="preserve">$0.00319</w:t>
            </w:r>
          </w:p>
        </w:tc>
      </w:tr>
    </w:tbl>
    <w:p>
      <w:pPr>
        <w:spacing w:before="120" w:after="0"/>
      </w:pPr>
    </w:p>
    <w:p>
      <w:pPr>
        <w:spacing w:before="80" w:after="120"/>
        <w:jc w:val="both"/>
      </w:pPr>
      <w:r>
        <w:rPr>
          <w:rFonts w:ascii="Arial" w:cs="Arial" w:eastAsia="Arial" w:hAnsi="Arial"/>
          <w:sz w:val="22"/>
          <w:szCs w:val="22"/>
        </w:rPr>
        <w:t xml:space="preserve">The ICO is open to accredited investors. Up to $100 equivalent is available to all participants via XChan for protocol exploration purposes. Payment addresses: BTC bc1qftz4ut7vyeulz9e9k6nsuljdjjxszxhms3tmjh — ETH/USDC 0xF5fD6Da90cCaeE370bE7065D5A28e1C9da4d3a54 — SOL 3owKW4ppK76np6um86yd45AzNtLLQVyYoD2iDAGSES7p.</w:t>
      </w:r>
    </w:p>
    <w:p>
      <w:r>
        <w:br w:type="page"/>
      </w:r>
    </w:p>
    <w:p>
      <w:pPr>
        <w:pStyle w:val="Heading1"/>
        <w:spacing w:before="360" w:after="120"/>
      </w:pPr>
      <w:r>
        <w:rPr>
          <w:rFonts w:ascii="Arial" w:cs="Arial" w:eastAsia="Arial" w:hAnsi="Arial"/>
          <w:b/>
          <w:bCs/>
          <w:sz w:val="32"/>
          <w:szCs w:val="32"/>
        </w:rPr>
        <w:t xml:space="preserve">9. Roadmap</w:t>
      </w:r>
    </w:p>
    <w:tbl>
      <w:tblPr>
        <w:tblW w:type="dxa" w:w="9360"/>
        <w:tblBorders>
          <w:top w:val="single" w:color="C9A84C" w:sz="4"/>
          <w:left w:val="single" w:color="C9A84C" w:sz="4"/>
          <w:bottom w:val="single" w:color="C9A84C" w:sz="4"/>
          <w:right w:val="single" w:color="C9A84C" w:sz="4"/>
          <w:insideH w:val="single" w:color="DDDDDD" w:sz="2"/>
          <w:insideV w:val="single" w:color="DDDDDD" w:sz="2"/>
        </w:tblBorders>
      </w:tblPr>
      <w:tblGrid>
        <w:gridCol w:w="1800"/>
        <w:gridCol w:w="1800"/>
        <w:gridCol w:w="5760"/>
      </w:tblGrid>
      <w:tr>
        <w:tc>
          <w:tcPr>
            <w:tcW w:type="dxa" w:w="1800"/>
            <w:shd w:fill="1A1A2E" w:val="clear"/>
            <w:tcMar>
              <w:top w:type="dxa" w:w="80"/>
              <w:left w:type="dxa" w:w="120"/>
              <w:bottom w:type="dxa" w:w="80"/>
              <w:right w:type="dxa" w:w="120"/>
            </w:tcMar>
          </w:tcPr>
          <w:p>
            <w:r>
              <w:rPr>
                <w:rFonts w:ascii="Arial" w:cs="Arial" w:eastAsia="Arial" w:hAnsi="Arial"/>
                <w:b/>
                <w:bCs/>
                <w:color w:val="C9A84C"/>
                <w:sz w:val="18"/>
                <w:szCs w:val="18"/>
              </w:rPr>
              <w:t xml:space="preserve">Milestone</w:t>
            </w:r>
          </w:p>
        </w:tc>
        <w:tc>
          <w:tcPr>
            <w:tcW w:type="dxa" w:w="1800"/>
            <w:shd w:fill="1A1A2E" w:val="clear"/>
            <w:tcMar>
              <w:top w:type="dxa" w:w="80"/>
              <w:left w:type="dxa" w:w="120"/>
              <w:bottom w:type="dxa" w:w="80"/>
              <w:right w:type="dxa" w:w="120"/>
            </w:tcMar>
          </w:tcPr>
          <w:p>
            <w:r>
              <w:rPr>
                <w:rFonts w:ascii="Arial" w:cs="Arial" w:eastAsia="Arial" w:hAnsi="Arial"/>
                <w:b/>
                <w:bCs/>
                <w:color w:val="C9A84C"/>
                <w:sz w:val="18"/>
                <w:szCs w:val="18"/>
              </w:rPr>
              <w:t xml:space="preserve">Status</w:t>
            </w:r>
          </w:p>
        </w:tc>
        <w:tc>
          <w:tcPr>
            <w:tcW w:type="dxa" w:w="5760"/>
            <w:shd w:fill="1A1A2E" w:val="clear"/>
            <w:tcMar>
              <w:top w:type="dxa" w:w="80"/>
              <w:left w:type="dxa" w:w="120"/>
              <w:bottom w:type="dxa" w:w="80"/>
              <w:right w:type="dxa" w:w="120"/>
            </w:tcMar>
          </w:tcPr>
          <w:p>
            <w:r>
              <w:rPr>
                <w:rFonts w:ascii="Arial" w:cs="Arial" w:eastAsia="Arial" w:hAnsi="Arial"/>
                <w:b/>
                <w:bCs/>
                <w:color w:val="C9A84C"/>
                <w:sz w:val="18"/>
                <w:szCs w:val="18"/>
              </w:rPr>
              <w:t xml:space="preserve">Description</w:t>
            </w:r>
          </w:p>
        </w:tc>
      </w:tr>
      <w:tr>
        <w:tc>
          <w:tcPr>
            <w:tcW w:type="dxa" w:w="1800"/>
            <w:shd w:fill="FFFFFF" w:val="clear"/>
            <w:tcMar>
              <w:top w:type="dxa" w:w="80"/>
              <w:left w:type="dxa" w:w="120"/>
              <w:bottom w:type="dxa" w:w="80"/>
              <w:right w:type="dxa" w:w="120"/>
            </w:tcMar>
          </w:tcPr>
          <w:p>
            <w:r>
              <w:rPr>
                <w:rFonts w:ascii="Arial" w:cs="Arial" w:eastAsia="Arial" w:hAnsi="Arial"/>
                <w:b/>
                <w:bCs/>
                <w:color w:val="000000"/>
                <w:sz w:val="18"/>
                <w:szCs w:val="18"/>
              </w:rPr>
              <w:t xml:space="preserve">Genesis 10</w:t>
            </w:r>
          </w:p>
        </w:tc>
        <w:tc>
          <w:tcPr>
            <w:tcW w:type="dxa" w:w="1800"/>
            <w:shd w:fill="FFFFFF" w:val="clear"/>
            <w:tcMar>
              <w:top w:type="dxa" w:w="80"/>
              <w:left w:type="dxa" w:w="120"/>
              <w:bottom w:type="dxa" w:w="80"/>
              <w:right w:type="dxa" w:w="120"/>
            </w:tcMar>
          </w:tcPr>
          <w:p>
            <w:r>
              <w:rPr>
                <w:rFonts w:ascii="Arial" w:cs="Arial" w:eastAsia="Arial" w:hAnsi="Arial"/>
                <w:b/>
                <w:bCs/>
                <w:color w:val="000000"/>
                <w:sz w:val="18"/>
                <w:szCs w:val="18"/>
              </w:rPr>
              <w:t xml:space="preserve">Live — March 2026</w:t>
            </w:r>
          </w:p>
        </w:tc>
        <w:tc>
          <w:tcPr>
            <w:tcW w:type="dxa" w:w="5760"/>
            <w:shd w:fill="FFFFFF" w:val="clear"/>
            <w:tcMar>
              <w:top w:type="dxa" w:w="80"/>
              <w:left w:type="dxa" w:w="120"/>
              <w:bottom w:type="dxa" w:w="80"/>
              <w:right w:type="dxa" w:w="120"/>
            </w:tcMar>
          </w:tcPr>
          <w:p>
            <w:r>
              <w:rPr>
                <w:rFonts w:ascii="Arial" w:cs="Arial" w:eastAsia="Arial" w:hAnsi="Arial"/>
                <w:b/>
                <w:bCs/>
                <w:color w:val="000000"/>
                <w:sz w:val="18"/>
                <w:szCs w:val="18"/>
              </w:rPr>
              <w:t xml:space="preserve">Complete loan and credit infrastructure. First revolving loan accepted March 21, 2026.</w:t>
            </w:r>
          </w:p>
        </w:tc>
      </w:tr>
      <w:tr>
        <w:tc>
          <w:tcPr>
            <w:tcW w:type="dxa" w:w="1800"/>
            <w:shd w:fill="F7F3E8" w:val="clear"/>
            <w:tcMar>
              <w:top w:type="dxa" w:w="80"/>
              <w:left w:type="dxa" w:w="120"/>
              <w:bottom w:type="dxa" w:w="80"/>
              <w:right w:type="dxa" w:w="120"/>
            </w:tcMar>
          </w:tcPr>
          <w:p>
            <w:r>
              <w:rPr>
                <w:rFonts w:ascii="Arial" w:cs="Arial" w:eastAsia="Arial" w:hAnsi="Arial"/>
                <w:b/>
                <w:bCs/>
                <w:color w:val="000000"/>
                <w:sz w:val="18"/>
                <w:szCs w:val="18"/>
              </w:rPr>
              <w:t xml:space="preserve">Wallet v2.5.x</w:t>
            </w:r>
          </w:p>
        </w:tc>
        <w:tc>
          <w:tcPr>
            <w:tcW w:type="dxa" w:w="1800"/>
            <w:shd w:fill="F7F3E8" w:val="clear"/>
            <w:tcMar>
              <w:top w:type="dxa" w:w="80"/>
              <w:left w:type="dxa" w:w="120"/>
              <w:bottom w:type="dxa" w:w="80"/>
              <w:right w:type="dxa" w:w="120"/>
            </w:tcMar>
          </w:tcPr>
          <w:p>
            <w:r>
              <w:rPr>
                <w:rFonts w:ascii="Arial" w:cs="Arial" w:eastAsia="Arial" w:hAnsi="Arial"/>
                <w:b/>
                <w:bCs/>
                <w:color w:val="000000"/>
                <w:sz w:val="18"/>
                <w:szCs w:val="18"/>
              </w:rPr>
              <w:t xml:space="preserve">Live — March 2026</w:t>
            </w:r>
          </w:p>
        </w:tc>
        <w:tc>
          <w:tcPr>
            <w:tcW w:type="dxa" w:w="5760"/>
            <w:shd w:fill="F7F3E8" w:val="clear"/>
            <w:tcMar>
              <w:top w:type="dxa" w:w="80"/>
              <w:left w:type="dxa" w:w="120"/>
              <w:bottom w:type="dxa" w:w="80"/>
              <w:right w:type="dxa" w:w="120"/>
            </w:tcMar>
          </w:tcPr>
          <w:p>
            <w:r>
              <w:rPr>
                <w:rFonts w:ascii="Arial" w:cs="Arial" w:eastAsia="Arial" w:hAnsi="Arial"/>
                <w:b/>
                <w:bCs/>
                <w:color w:val="000000"/>
                <w:sz w:val="18"/>
                <w:szCs w:val="18"/>
              </w:rPr>
              <w:t xml:space="preserve">iOS, Android, Windows. Loans tab, Activity tab, biometric login, seed phrases.</w:t>
            </w:r>
          </w:p>
        </w:tc>
      </w:tr>
      <w:tr>
        <w:tc>
          <w:tcPr>
            <w:tcW w:type="dxa" w:w="1800"/>
            <w:shd w:fill="FFFFFF" w:val="clear"/>
            <w:tcMar>
              <w:top w:type="dxa" w:w="80"/>
              <w:left w:type="dxa" w:w="120"/>
              <w:bottom w:type="dxa" w:w="80"/>
              <w:right w:type="dxa" w:w="120"/>
            </w:tcMar>
          </w:tcPr>
          <w:p>
            <w:r>
              <w:rPr>
                <w:rFonts w:ascii="Arial" w:cs="Arial" w:eastAsia="Arial" w:hAnsi="Arial"/>
                <w:b/>
                <w:bCs/>
                <w:color w:val="000000"/>
                <w:sz w:val="18"/>
                <w:szCs w:val="18"/>
              </w:rPr>
              <w:t xml:space="preserve">Pre-ICO</w:t>
            </w:r>
          </w:p>
        </w:tc>
        <w:tc>
          <w:tcPr>
            <w:tcW w:type="dxa" w:w="1800"/>
            <w:shd w:fill="FFFFFF" w:val="clear"/>
            <w:tcMar>
              <w:top w:type="dxa" w:w="80"/>
              <w:left w:type="dxa" w:w="120"/>
              <w:bottom w:type="dxa" w:w="80"/>
              <w:right w:type="dxa" w:w="120"/>
            </w:tcMar>
          </w:tcPr>
          <w:p>
            <w:r>
              <w:rPr>
                <w:rFonts w:ascii="Arial" w:cs="Arial" w:eastAsia="Arial" w:hAnsi="Arial"/>
                <w:b/>
                <w:bCs/>
                <w:color w:val="000000"/>
                <w:sz w:val="18"/>
                <w:szCs w:val="18"/>
              </w:rPr>
              <w:t xml:space="preserve">Open now</w:t>
            </w:r>
          </w:p>
        </w:tc>
        <w:tc>
          <w:tcPr>
            <w:tcW w:type="dxa" w:w="5760"/>
            <w:shd w:fill="FFFFFF" w:val="clear"/>
            <w:tcMar>
              <w:top w:type="dxa" w:w="80"/>
              <w:left w:type="dxa" w:w="120"/>
              <w:bottom w:type="dxa" w:w="80"/>
              <w:right w:type="dxa" w:w="120"/>
            </w:tcMar>
          </w:tcPr>
          <w:p>
            <w:r>
              <w:rPr>
                <w:rFonts w:ascii="Arial" w:cs="Arial" w:eastAsia="Arial" w:hAnsi="Arial"/>
                <w:b/>
                <w:bCs/>
                <w:color w:val="000000"/>
                <w:sz w:val="18"/>
                <w:szCs w:val="18"/>
              </w:rPr>
              <w:t xml:space="preserve">Accredited investors. De minimis retail access via XChan.</w:t>
            </w:r>
          </w:p>
        </w:tc>
      </w:tr>
      <w:tr>
        <w:tc>
          <w:tcPr>
            <w:tcW w:type="dxa" w:w="1800"/>
            <w:shd w:fill="F7F3E8" w:val="clear"/>
            <w:tcMar>
              <w:top w:type="dxa" w:w="80"/>
              <w:left w:type="dxa" w:w="120"/>
              <w:bottom w:type="dxa" w:w="80"/>
              <w:right w:type="dxa" w:w="120"/>
            </w:tcMar>
          </w:tcPr>
          <w:p>
            <w:r>
              <w:rPr>
                <w:rFonts w:ascii="Arial" w:cs="Arial" w:eastAsia="Arial" w:hAnsi="Arial"/>
                <w:b/>
                <w:bCs/>
                <w:color w:val="000000"/>
                <w:sz w:val="18"/>
                <w:szCs w:val="18"/>
              </w:rPr>
              <w:t xml:space="preserve">ICO</w:t>
            </w:r>
          </w:p>
        </w:tc>
        <w:tc>
          <w:tcPr>
            <w:tcW w:type="dxa" w:w="1800"/>
            <w:shd w:fill="F7F3E8" w:val="clear"/>
            <w:tcMar>
              <w:top w:type="dxa" w:w="80"/>
              <w:left w:type="dxa" w:w="120"/>
              <w:bottom w:type="dxa" w:w="80"/>
              <w:right w:type="dxa" w:w="120"/>
            </w:tcMar>
          </w:tcPr>
          <w:p>
            <w:r>
              <w:rPr>
                <w:rFonts w:ascii="Arial" w:cs="Arial" w:eastAsia="Arial" w:hAnsi="Arial"/>
                <w:b/>
                <w:bCs/>
                <w:color w:val="000000"/>
                <w:sz w:val="18"/>
                <w:szCs w:val="18"/>
              </w:rPr>
              <w:t xml:space="preserve">Sep 22, 2026</w:t>
            </w:r>
          </w:p>
        </w:tc>
        <w:tc>
          <w:tcPr>
            <w:tcW w:type="dxa" w:w="5760"/>
            <w:shd w:fill="F7F3E8" w:val="clear"/>
            <w:tcMar>
              <w:top w:type="dxa" w:w="80"/>
              <w:left w:type="dxa" w:w="120"/>
              <w:bottom w:type="dxa" w:w="80"/>
              <w:right w:type="dxa" w:w="120"/>
            </w:tcMar>
          </w:tcPr>
          <w:p>
            <w:r>
              <w:rPr>
                <w:rFonts w:ascii="Arial" w:cs="Arial" w:eastAsia="Arial" w:hAnsi="Arial"/>
                <w:b/>
                <w:bCs/>
                <w:color w:val="000000"/>
                <w:sz w:val="18"/>
                <w:szCs w:val="18"/>
              </w:rPr>
              <w:t xml:space="preserve">$0.00319/KX. Autumnal Equinox.</w:t>
            </w:r>
          </w:p>
        </w:tc>
      </w:tr>
      <w:tr>
        <w:tc>
          <w:tcPr>
            <w:tcW w:type="dxa" w:w="1800"/>
            <w:shd w:fill="FFFFFF" w:val="clear"/>
            <w:tcMar>
              <w:top w:type="dxa" w:w="80"/>
              <w:left w:type="dxa" w:w="120"/>
              <w:bottom w:type="dxa" w:w="80"/>
              <w:right w:type="dxa" w:w="120"/>
            </w:tcMar>
          </w:tcPr>
          <w:p>
            <w:r>
              <w:rPr>
                <w:rFonts w:ascii="Arial" w:cs="Arial" w:eastAsia="Arial" w:hAnsi="Arial"/>
                <w:b/>
                <w:bCs/>
                <w:color w:val="000000"/>
                <w:sz w:val="18"/>
                <w:szCs w:val="18"/>
              </w:rPr>
              <w:t xml:space="preserve">HedgeKX Launch</w:t>
            </w:r>
          </w:p>
        </w:tc>
        <w:tc>
          <w:tcPr>
            <w:tcW w:type="dxa" w:w="1800"/>
            <w:shd w:fill="FFFFFF" w:val="clear"/>
            <w:tcMar>
              <w:top w:type="dxa" w:w="80"/>
              <w:left w:type="dxa" w:w="120"/>
              <w:bottom w:type="dxa" w:w="80"/>
              <w:right w:type="dxa" w:w="120"/>
            </w:tcMar>
          </w:tcPr>
          <w:p>
            <w:r>
              <w:rPr>
                <w:rFonts w:ascii="Arial" w:cs="Arial" w:eastAsia="Arial" w:hAnsi="Arial"/>
                <w:b/>
                <w:bCs/>
                <w:color w:val="000000"/>
                <w:sz w:val="18"/>
                <w:szCs w:val="18"/>
              </w:rPr>
              <w:t xml:space="preserve">Q4 2026</w:t>
            </w:r>
          </w:p>
        </w:tc>
        <w:tc>
          <w:tcPr>
            <w:tcW w:type="dxa" w:w="5760"/>
            <w:shd w:fill="FFFFFF" w:val="clear"/>
            <w:tcMar>
              <w:top w:type="dxa" w:w="80"/>
              <w:left w:type="dxa" w:w="120"/>
              <w:bottom w:type="dxa" w:w="80"/>
              <w:right w:type="dxa" w:w="120"/>
            </w:tcMar>
          </w:tcPr>
          <w:p>
            <w:r>
              <w:rPr>
                <w:rFonts w:ascii="Arial" w:cs="Arial" w:eastAsia="Arial" w:hAnsi="Arial"/>
                <w:b/>
                <w:bCs/>
                <w:color w:val="000000"/>
                <w:sz w:val="18"/>
                <w:szCs w:val="18"/>
              </w:rPr>
              <w:t xml:space="preserve">Peer-to-peer currency risk marketplace live at hedgekx.io.</w:t>
            </w:r>
          </w:p>
        </w:tc>
      </w:tr>
      <w:tr>
        <w:tc>
          <w:tcPr>
            <w:tcW w:type="dxa" w:w="1800"/>
            <w:shd w:fill="F7F3E8" w:val="clear"/>
            <w:tcMar>
              <w:top w:type="dxa" w:w="80"/>
              <w:left w:type="dxa" w:w="120"/>
              <w:bottom w:type="dxa" w:w="80"/>
              <w:right w:type="dxa" w:w="120"/>
            </w:tcMar>
          </w:tcPr>
          <w:p>
            <w:r>
              <w:rPr>
                <w:rFonts w:ascii="Arial" w:cs="Arial" w:eastAsia="Arial" w:hAnsi="Arial"/>
                <w:b/>
                <w:bCs/>
                <w:color w:val="000000"/>
                <w:sz w:val="18"/>
                <w:szCs w:val="18"/>
              </w:rPr>
              <w:t xml:space="preserve">MISAI Beta</w:t>
            </w:r>
          </w:p>
        </w:tc>
        <w:tc>
          <w:tcPr>
            <w:tcW w:type="dxa" w:w="1800"/>
            <w:shd w:fill="F7F3E8" w:val="clear"/>
            <w:tcMar>
              <w:top w:type="dxa" w:w="80"/>
              <w:left w:type="dxa" w:w="120"/>
              <w:bottom w:type="dxa" w:w="80"/>
              <w:right w:type="dxa" w:w="120"/>
            </w:tcMar>
          </w:tcPr>
          <w:p>
            <w:r>
              <w:rPr>
                <w:rFonts w:ascii="Arial" w:cs="Arial" w:eastAsia="Arial" w:hAnsi="Arial"/>
                <w:b/>
                <w:bCs/>
                <w:color w:val="000000"/>
                <w:sz w:val="18"/>
                <w:szCs w:val="18"/>
              </w:rPr>
              <w:t xml:space="preserve">Q4 2026</w:t>
            </w:r>
          </w:p>
        </w:tc>
        <w:tc>
          <w:tcPr>
            <w:tcW w:type="dxa" w:w="5760"/>
            <w:shd w:fill="F7F3E8" w:val="clear"/>
            <w:tcMar>
              <w:top w:type="dxa" w:w="80"/>
              <w:left w:type="dxa" w:w="120"/>
              <w:bottom w:type="dxa" w:w="80"/>
              <w:right w:type="dxa" w:w="120"/>
            </w:tcMar>
          </w:tcPr>
          <w:p>
            <w:r>
              <w:rPr>
                <w:rFonts w:ascii="Arial" w:cs="Arial" w:eastAsia="Arial" w:hAnsi="Arial"/>
                <w:b/>
                <w:bCs/>
                <w:color w:val="000000"/>
                <w:sz w:val="18"/>
                <w:szCs w:val="18"/>
              </w:rPr>
              <w:t xml:space="preserve">AI investment mandates and loan servicing automation.</w:t>
            </w:r>
          </w:p>
        </w:tc>
      </w:tr>
      <w:tr>
        <w:tc>
          <w:tcPr>
            <w:tcW w:type="dxa" w:w="1800"/>
            <w:shd w:fill="FFFFFF" w:val="clear"/>
            <w:tcMar>
              <w:top w:type="dxa" w:w="80"/>
              <w:left w:type="dxa" w:w="120"/>
              <w:bottom w:type="dxa" w:w="80"/>
              <w:right w:type="dxa" w:w="120"/>
            </w:tcMar>
          </w:tcPr>
          <w:p>
            <w:r>
              <w:rPr>
                <w:rFonts w:ascii="Arial" w:cs="Arial" w:eastAsia="Arial" w:hAnsi="Arial"/>
                <w:b/>
                <w:bCs/>
                <w:color w:val="000000"/>
                <w:sz w:val="18"/>
                <w:szCs w:val="18"/>
              </w:rPr>
              <w:t xml:space="preserve">Verifas Network</w:t>
            </w:r>
          </w:p>
        </w:tc>
        <w:tc>
          <w:tcPr>
            <w:tcW w:type="dxa" w:w="1800"/>
            <w:shd w:fill="FFFFFF" w:val="clear"/>
            <w:tcMar>
              <w:top w:type="dxa" w:w="80"/>
              <w:left w:type="dxa" w:w="120"/>
              <w:bottom w:type="dxa" w:w="80"/>
              <w:right w:type="dxa" w:w="120"/>
            </w:tcMar>
          </w:tcPr>
          <w:p>
            <w:r>
              <w:rPr>
                <w:rFonts w:ascii="Arial" w:cs="Arial" w:eastAsia="Arial" w:hAnsi="Arial"/>
                <w:b/>
                <w:bCs/>
                <w:color w:val="000000"/>
                <w:sz w:val="18"/>
                <w:szCs w:val="18"/>
              </w:rPr>
              <w:t xml:space="preserve">2027+</w:t>
            </w:r>
          </w:p>
        </w:tc>
        <w:tc>
          <w:tcPr>
            <w:tcW w:type="dxa" w:w="5760"/>
            <w:shd w:fill="FFFFFF" w:val="clear"/>
            <w:tcMar>
              <w:top w:type="dxa" w:w="80"/>
              <w:left w:type="dxa" w:w="120"/>
              <w:bottom w:type="dxa" w:w="80"/>
              <w:right w:type="dxa" w:w="120"/>
            </w:tcMar>
          </w:tcPr>
          <w:p>
            <w:r>
              <w:rPr>
                <w:rFonts w:ascii="Arial" w:cs="Arial" w:eastAsia="Arial" w:hAnsi="Arial"/>
                <w:b/>
                <w:bCs/>
                <w:color w:val="000000"/>
                <w:sz w:val="18"/>
                <w:szCs w:val="18"/>
              </w:rPr>
              <w:t xml:space="preserve">Bonded human attestor network for long-horizon delivery.</w:t>
            </w:r>
          </w:p>
        </w:tc>
      </w:tr>
      <w:tr>
        <w:tc>
          <w:tcPr>
            <w:tcW w:type="dxa" w:w="1800"/>
            <w:shd w:fill="F7F3E8" w:val="clear"/>
            <w:tcMar>
              <w:top w:type="dxa" w:w="80"/>
              <w:left w:type="dxa" w:w="120"/>
              <w:bottom w:type="dxa" w:w="80"/>
              <w:right w:type="dxa" w:w="120"/>
            </w:tcMar>
          </w:tcPr>
          <w:p>
            <w:r>
              <w:rPr>
                <w:rFonts w:ascii="Arial" w:cs="Arial" w:eastAsia="Arial" w:hAnsi="Arial"/>
                <w:b/>
                <w:bCs/>
                <w:color w:val="000000"/>
                <w:sz w:val="18"/>
                <w:szCs w:val="18"/>
              </w:rPr>
              <w:t xml:space="preserve">Node Rewards</w:t>
            </w:r>
          </w:p>
        </w:tc>
        <w:tc>
          <w:tcPr>
            <w:tcW w:type="dxa" w:w="1800"/>
            <w:shd w:fill="F7F3E8" w:val="clear"/>
            <w:tcMar>
              <w:top w:type="dxa" w:w="80"/>
              <w:left w:type="dxa" w:w="120"/>
              <w:bottom w:type="dxa" w:w="80"/>
              <w:right w:type="dxa" w:w="120"/>
            </w:tcMar>
          </w:tcPr>
          <w:p>
            <w:r>
              <w:rPr>
                <w:rFonts w:ascii="Arial" w:cs="Arial" w:eastAsia="Arial" w:hAnsi="Arial"/>
                <w:b/>
                <w:bCs/>
                <w:color w:val="000000"/>
                <w:sz w:val="18"/>
                <w:szCs w:val="18"/>
              </w:rPr>
              <w:t xml:space="preserve">Jan 1, 2029</w:t>
            </w:r>
          </w:p>
        </w:tc>
        <w:tc>
          <w:tcPr>
            <w:tcW w:type="dxa" w:w="5760"/>
            <w:shd w:fill="F7F3E8" w:val="clear"/>
            <w:tcMar>
              <w:top w:type="dxa" w:w="80"/>
              <w:left w:type="dxa" w:w="120"/>
              <w:bottom w:type="dxa" w:w="80"/>
              <w:right w:type="dxa" w:w="120"/>
            </w:tcMar>
          </w:tcPr>
          <w:p>
            <w:r>
              <w:rPr>
                <w:rFonts w:ascii="Arial" w:cs="Arial" w:eastAsia="Arial" w:hAnsi="Arial"/>
                <w:b/>
                <w:bCs/>
                <w:color w:val="000000"/>
                <w:sz w:val="18"/>
                <w:szCs w:val="18"/>
              </w:rPr>
              <w:t xml:space="preserve">First harmonic release of node operator rewards.</w:t>
            </w:r>
          </w:p>
        </w:tc>
      </w:tr>
      <w:tr>
        <w:tc>
          <w:tcPr>
            <w:tcW w:type="dxa" w:w="1800"/>
            <w:shd w:fill="FFFFFF" w:val="clear"/>
            <w:tcMar>
              <w:top w:type="dxa" w:w="80"/>
              <w:left w:type="dxa" w:w="120"/>
              <w:bottom w:type="dxa" w:w="80"/>
              <w:right w:type="dxa" w:w="120"/>
            </w:tcMar>
          </w:tcPr>
          <w:p>
            <w:r>
              <w:rPr>
                <w:rFonts w:ascii="Arial" w:cs="Arial" w:eastAsia="Arial" w:hAnsi="Arial"/>
                <w:b/>
                <w:bCs/>
                <w:color w:val="000000"/>
                <w:sz w:val="18"/>
                <w:szCs w:val="18"/>
              </w:rPr>
              <w:t xml:space="preserve">Milestone 2076</w:t>
            </w:r>
          </w:p>
        </w:tc>
        <w:tc>
          <w:tcPr>
            <w:tcW w:type="dxa" w:w="1800"/>
            <w:shd w:fill="FFFFFF" w:val="clear"/>
            <w:tcMar>
              <w:top w:type="dxa" w:w="80"/>
              <w:left w:type="dxa" w:w="120"/>
              <w:bottom w:type="dxa" w:w="80"/>
              <w:right w:type="dxa" w:w="120"/>
            </w:tcMar>
          </w:tcPr>
          <w:p>
            <w:r>
              <w:rPr>
                <w:rFonts w:ascii="Arial" w:cs="Arial" w:eastAsia="Arial" w:hAnsi="Arial"/>
                <w:b/>
                <w:bCs/>
                <w:color w:val="000000"/>
                <w:sz w:val="18"/>
                <w:szCs w:val="18"/>
              </w:rPr>
              <w:t xml:space="preserve">2076</w:t>
            </w:r>
          </w:p>
        </w:tc>
        <w:tc>
          <w:tcPr>
            <w:tcW w:type="dxa" w:w="5760"/>
            <w:shd w:fill="FFFFFF" w:val="clear"/>
            <w:tcMar>
              <w:top w:type="dxa" w:w="80"/>
              <w:left w:type="dxa" w:w="120"/>
              <w:bottom w:type="dxa" w:w="80"/>
              <w:right w:type="dxa" w:w="120"/>
            </w:tcMar>
          </w:tcPr>
          <w:p>
            <w:r>
              <w:rPr>
                <w:rFonts w:ascii="Arial" w:cs="Arial" w:eastAsia="Arial" w:hAnsi="Arial"/>
                <w:b/>
                <w:bCs/>
                <w:color w:val="000000"/>
                <w:sz w:val="18"/>
                <w:szCs w:val="18"/>
              </w:rPr>
              <w:t xml:space="preserve">50-year protocol milestone. 500,000 KX released.</w:t>
            </w:r>
          </w:p>
        </w:tc>
      </w:tr>
    </w:tbl>
    <w:p>
      <w:r>
        <w:br w:type="page"/>
      </w:r>
    </w:p>
    <w:p>
      <w:pPr>
        <w:pStyle w:val="Heading1"/>
        <w:spacing w:before="360" w:after="120"/>
      </w:pPr>
      <w:r>
        <w:rPr>
          <w:rFonts w:ascii="Arial" w:cs="Arial" w:eastAsia="Arial" w:hAnsi="Arial"/>
          <w:b/>
          <w:bCs/>
          <w:sz w:val="32"/>
          <w:szCs w:val="32"/>
        </w:rPr>
        <w:t xml:space="preserve">10. Legal and Regulatory Considerations</w:t>
      </w:r>
    </w:p>
    <w:p>
      <w:pPr>
        <w:spacing w:before="80" w:after="120"/>
        <w:jc w:val="both"/>
      </w:pPr>
      <w:r>
        <w:rPr>
          <w:rFonts w:ascii="Arial" w:cs="Arial" w:eastAsia="Arial" w:hAnsi="Arial"/>
          <w:sz w:val="22"/>
          <w:szCs w:val="22"/>
        </w:rPr>
        <w:t xml:space="preserve">KX is designed as a utility token — the fuel that moves promises through the ChronX protocol. ChronX makes no representation as to the regulatory status of KX in any jurisdiction. All participants are strongly encouraged to seek independent legal counsel before acquiring KX for any purpose.</w:t>
      </w:r>
    </w:p>
    <w:p>
      <w:pPr>
        <w:spacing w:before="80" w:after="120"/>
        <w:jc w:val="both"/>
      </w:pPr>
      <w:r>
        <w:rPr>
          <w:rFonts w:ascii="Arial" w:cs="Arial" w:eastAsia="Arial" w:hAnsi="Arial"/>
          <w:sz w:val="22"/>
          <w:szCs w:val="22"/>
        </w:rPr>
        <w:t xml:space="preserve">The ICO is generally being offered to accredited investors. De minimis access is available to retail participants via XChan for protocol exploration purposes only.</w:t>
      </w:r>
    </w:p>
    <w:p>
      <w:pPr>
        <w:spacing w:before="80" w:after="120"/>
        <w:jc w:val="both"/>
      </w:pPr>
      <w:r>
        <w:rPr>
          <w:rFonts w:ascii="Arial" w:cs="Arial" w:eastAsia="Arial" w:hAnsi="Arial"/>
          <w:sz w:val="22"/>
          <w:szCs w:val="22"/>
        </w:rPr>
        <w:t xml:space="preserve">MISAI is domiciled in El Salvador. The Executor Withdraw Delay — currently 86,400 seconds — provides a protection window before any MISAI withdrawal is finalized.</w:t>
      </w:r>
    </w:p>
    <w:p>
      <w:pPr>
        <w:spacing w:before="80" w:after="120"/>
        <w:jc w:val="both"/>
      </w:pPr>
      <w:r>
        <w:rPr>
          <w:rFonts w:ascii="Arial" w:cs="Arial" w:eastAsia="Arial" w:hAnsi="Arial"/>
          <w:sz w:val="22"/>
          <w:szCs w:val="22"/>
        </w:rPr>
        <w:t xml:space="preserve">HedgeKX operates as a peer-to-peer marketplace. ChronX is not the issuer, underwriter, guarantor, or counterparty to any hedge contract. All contracts are directly between participants.</w:t>
      </w:r>
    </w:p>
    <w:p>
      <w:pPr>
        <w:spacing w:before="80" w:after="120"/>
        <w:jc w:val="both"/>
      </w:pPr>
      <w:r>
        <w:rPr>
          <w:rFonts w:ascii="Arial" w:cs="Arial" w:eastAsia="Arial" w:hAnsi="Arial"/>
          <w:sz w:val="22"/>
          <w:szCs w:val="22"/>
        </w:rPr>
        <w:t xml:space="preserve">XChan operates as an independent decentralized exchange. ChronX is not responsible for the availability or accuracy of XChan price data beyond the governance requirements applicable to bonded protocol partners.</w:t>
      </w:r>
    </w:p>
    <w:p>
      <w:pPr>
        <w:spacing w:before="80" w:after="120"/>
        <w:jc w:val="both"/>
      </w:pPr>
      <w:r>
        <w:rPr>
          <w:rFonts w:ascii="Arial" w:cs="Arial" w:eastAsia="Arial" w:hAnsi="Arial"/>
          <w:sz w:val="22"/>
          <w:szCs w:val="22"/>
        </w:rPr>
        <w:t xml:space="preserve">ChronX is a public blockchain. All on-chain activity — transaction amounts, wallet addresses, loan offers and acceptances, DefaultRecords — is permanently public and immutable. Memo fields are encrypted by default and visible only to the recipient. Participants should understand the permanent and public nature of on-chain data before using the protocol.</w:t>
      </w:r>
    </w:p>
    <w:p>
      <w:pPr>
        <w:spacing w:before="80" w:after="120"/>
        <w:jc w:val="both"/>
      </w:pPr>
      <w:r>
        <w:rPr>
          <w:rFonts w:ascii="Arial" w:cs="Arial" w:eastAsia="Arial" w:hAnsi="Arial"/>
          <w:sz w:val="22"/>
          <w:szCs w:val="22"/>
        </w:rPr>
        <w:t xml:space="preserve">Promise Axiom IV applies to all activity on the ChronX protocol: all promises, loans, and their fulfillment remain subject to the laws of applicable jurisdictions. ChronX enforces the on-chain mechanics of every promise it records. Enforcement of real-world obligations beyond on-chain execution remains the domain of applicable legal systems.</w:t>
      </w:r>
    </w:p>
    <w:p>
      <w:r>
        <w:br w:type="page"/>
      </w:r>
    </w:p>
    <w:p>
      <w:pPr>
        <w:pStyle w:val="Heading1"/>
        <w:spacing w:before="360" w:after="120"/>
      </w:pPr>
      <w:r>
        <w:rPr>
          <w:rFonts w:ascii="Arial" w:cs="Arial" w:eastAsia="Arial" w:hAnsi="Arial"/>
          <w:b/>
          <w:bCs/>
          <w:sz w:val="32"/>
          <w:szCs w:val="32"/>
        </w:rPr>
        <w:t xml:space="preserve">11. Conclusion</w:t>
      </w:r>
    </w:p>
    <w:p>
      <w:pPr>
        <w:spacing w:before="80" w:after="120"/>
        <w:jc w:val="both"/>
      </w:pPr>
      <w:r>
        <w:rPr>
          <w:rFonts w:ascii="Arial" w:cs="Arial" w:eastAsia="Arial" w:hAnsi="Arial"/>
          <w:sz w:val="22"/>
          <w:szCs w:val="22"/>
        </w:rPr>
        <w:t xml:space="preserve">ChronX is the only blockchain built for the promises that matter most: the ones that take years or decades to fulfill.</w:t>
      </w:r>
    </w:p>
    <w:p>
      <w:pPr>
        <w:spacing w:before="80" w:after="120"/>
        <w:jc w:val="both"/>
      </w:pPr>
      <w:r>
        <w:rPr>
          <w:rFonts w:ascii="Arial" w:cs="Arial" w:eastAsia="Arial" w:hAnsi="Arial"/>
          <w:sz w:val="22"/>
          <w:szCs w:val="22"/>
        </w:rPr>
        <w:t xml:space="preserve">From a parent sending KX to a child's wallet unlocking on their eighteenth birthday, to a corporation issuing bond-equivalent instruments on a public ledger, to an AI agent settling micro-loan obligations every second — ChronX provides the infrastructure for all of it. Zero fees. Zero intermediaries for on-chain execution. Zero tolerance for failure to deliver what the protocol has committed to.</w:t>
      </w:r>
    </w:p>
    <w:p>
      <w:pPr>
        <w:spacing w:before="80" w:after="120"/>
        <w:jc w:val="both"/>
      </w:pPr>
      <w:r>
        <w:rPr>
          <w:rFonts w:ascii="Arial" w:cs="Arial" w:eastAsia="Arial" w:hAnsi="Arial"/>
          <w:sz w:val="22"/>
          <w:szCs w:val="22"/>
        </w:rPr>
        <w:t xml:space="preserve">PAY_AS means a promise made today in any currency can be delivered in the recipient's preferred currency at maturity — whether that maturity is next week or in fifty years. Four bonded ecosystem partners — MISAI, Verifas, HedgeKX, and XChan — each post 10,000,000 KX to the protocol, ensuring accountability commensurate with their roles. The same architecture that converts KX to USD today can accommodate currencies that do not yet exist.</w:t>
      </w:r>
    </w:p>
    <w:p>
      <w:pPr>
        <w:spacing w:before="80" w:after="120"/>
        <w:jc w:val="both"/>
      </w:pPr>
      <w:r>
        <w:rPr>
          <w:rFonts w:ascii="Arial" w:cs="Arial" w:eastAsia="Arial" w:hAnsi="Arial"/>
          <w:sz w:val="22"/>
          <w:szCs w:val="22"/>
        </w:rPr>
        <w:t xml:space="preserve">Privacy is the default. Public auditability is available to those who choose it. The axioms are permanent. The supply is fixed. The fees are zero.</w:t>
      </w:r>
    </w:p>
    <w:p>
      <w:pPr>
        <w:spacing w:before="80" w:after="120"/>
        <w:jc w:val="both"/>
      </w:pPr>
      <w:r>
        <w:rPr>
          <w:rFonts w:ascii="Arial" w:cs="Arial" w:eastAsia="Arial" w:hAnsi="Arial"/>
          <w:sz w:val="22"/>
          <w:szCs w:val="22"/>
        </w:rPr>
        <w:t xml:space="preserve">In fifty years, the currencies of today may have changed, the blockchains of today may have been superseded, and the financial instruments of today may have been replaced by forms we cannot yet imagine. ChronX was designed for this reality. The protocol does not assume anything about the future of money. It assumes only that human beings will continue to make promises to each other — and that those promises deserve to be kept.</w:t>
      </w:r>
    </w:p>
    <w:p>
      <w:pPr>
        <w:spacing w:before="160" w:after="160"/>
        <w:ind w:left="720" w:right="720"/>
        <w:jc w:val="center"/>
      </w:pPr>
      <w:r>
        <w:rPr>
          <w:rFonts w:ascii="Georgia" w:cs="Georgia" w:eastAsia="Georgia" w:hAnsi="Georgia"/>
          <w:i/>
          <w:iCs/>
          <w:color w:val="C9A84C"/>
          <w:sz w:val="22"/>
          <w:szCs w:val="22"/>
        </w:rPr>
        <w:t xml:space="preserve">"ChronX does not merely record that a promise was made. ChronX makes the promise inevitable."</w:t>
      </w:r>
    </w:p>
    <w:p>
      <w:pPr>
        <w:spacing w:before="240" w:after="80"/>
        <w:jc w:val="center"/>
      </w:pPr>
      <w:r>
        <w:rPr>
          <w:rFonts w:ascii="Arial" w:cs="Arial" w:eastAsia="Arial" w:hAnsi="Arial"/>
          <w:b/>
          <w:bCs/>
          <w:sz w:val="20"/>
          <w:szCs w:val="20"/>
        </w:rPr>
        <w:t xml:space="preserve">ChronX Protocol — The Future Payment Protocol</w:t>
      </w:r>
    </w:p>
    <w:p>
      <w:pPr>
        <w:spacing w:before="80" w:after="80"/>
        <w:jc w:val="center"/>
      </w:pPr>
      <w:r>
        <w:rPr>
          <w:rFonts w:ascii="Arial" w:cs="Arial" w:eastAsia="Arial" w:hAnsi="Arial"/>
          <w:color w:val="666666"/>
          <w:sz w:val="18"/>
          <w:szCs w:val="18"/>
        </w:rPr>
        <w:t xml:space="preserve">chronx.io  |  ICO: September 22, 2026</w:t>
      </w:r>
    </w:p>
    <w:p>
      <w:pPr>
        <w:pBdr>
          <w:bottom w:val="single" w:color="C9A84C" w:sz="6" w:space="1"/>
        </w:pBdr>
        <w:spacing w:before="200" w:after="200"/>
      </w:pPr>
    </w:p>
    <w:p>
      <w:r>
        <w:br w:type="page"/>
      </w:r>
    </w:p>
    <w:p>
      <w:pPr>
        <w:spacing w:before="200" w:after="80"/>
        <w:jc w:val="center"/>
      </w:pPr>
      <w:r>
        <w:rPr>
          <w:rFonts w:ascii="Arial" w:cs="Arial" w:eastAsia="Arial" w:hAnsi="Arial"/>
          <w:b/>
          <w:bCs/>
          <w:color w:val="C9A84C"/>
          <w:sz w:val="28"/>
          <w:szCs w:val="28"/>
        </w:rPr>
        <w:t xml:space="preserve">EXHIBIT A</w:t>
      </w:r>
    </w:p>
    <w:p>
      <w:pPr>
        <w:spacing w:before="0" w:after="80"/>
        <w:jc w:val="center"/>
      </w:pPr>
      <w:r>
        <w:rPr>
          <w:rFonts w:ascii="Arial" w:cs="Arial" w:eastAsia="Arial" w:hAnsi="Arial"/>
          <w:b/>
          <w:bCs/>
          <w:sz w:val="24"/>
          <w:szCs w:val="24"/>
        </w:rPr>
        <w:t xml:space="preserve">Real-World Use Cases</w:t>
      </w:r>
    </w:p>
    <w:p>
      <w:pPr>
        <w:spacing w:before="80" w:after="80"/>
        <w:jc w:val="center"/>
      </w:pPr>
      <w:r>
        <w:rPr>
          <w:rFonts w:ascii="Arial" w:cs="Arial" w:eastAsia="Arial" w:hAnsi="Arial"/>
          <w:color w:val="666666"/>
          <w:sz w:val="18"/>
          <w:szCs w:val="18"/>
        </w:rPr>
        <w:t xml:space="preserve">Exhibit A to ChronX Protocol Whitepaper v6.2</w:t>
      </w:r>
    </w:p>
    <w:p>
      <w:pPr>
        <w:spacing w:before="160" w:after="0"/>
      </w:pPr>
    </w:p>
    <w:p>
      <w:pPr>
        <w:pStyle w:val="Heading1"/>
        <w:spacing w:before="360" w:after="120"/>
      </w:pPr>
      <w:r>
        <w:rPr>
          <w:rFonts w:ascii="Arial" w:cs="Arial" w:eastAsia="Arial" w:hAnsi="Arial"/>
          <w:b/>
          <w:bCs/>
          <w:sz w:val="32"/>
          <w:szCs w:val="32"/>
        </w:rPr>
        <w:t xml:space="preserve">A.1 Individual and Family</w:t>
      </w:r>
    </w:p>
    <w:p>
      <w:pPr>
        <w:pStyle w:val="Heading2"/>
        <w:spacing w:before="280" w:after="80"/>
      </w:pPr>
      <w:r>
        <w:rPr>
          <w:rFonts w:ascii="Arial" w:cs="Arial" w:eastAsia="Arial" w:hAnsi="Arial"/>
          <w:b/>
          <w:bCs/>
          <w:sz w:val="26"/>
          <w:szCs w:val="26"/>
        </w:rPr>
        <w:t xml:space="preserve">A.1.1 — The Birthday Gift</w:t>
      </w:r>
    </w:p>
    <w:p>
      <w:pPr>
        <w:spacing w:before="80" w:after="120"/>
        <w:jc w:val="both"/>
      </w:pPr>
      <w:r>
        <w:rPr>
          <w:rFonts w:ascii="Arial" w:cs="Arial" w:eastAsia="Arial" w:hAnsi="Arial"/>
          <w:sz w:val="22"/>
          <w:szCs w:val="22"/>
        </w:rPr>
        <w:t xml:space="preserve">A grandparent sends KX to a grandchild's wallet, unlocking on their eighteenth birthday. The promise is irrevocable after the cancellation window. It delivers automatically. If the child's contact information no longer exists at maturity, Verifas locates and verifies the recipient. The inheritance survives the death or incapacity of the sender.</w:t>
      </w:r>
    </w:p>
    <w:p>
      <w:pPr>
        <w:pStyle w:val="Heading2"/>
        <w:spacing w:before="280" w:after="80"/>
      </w:pPr>
      <w:r>
        <w:rPr>
          <w:rFonts w:ascii="Arial" w:cs="Arial" w:eastAsia="Arial" w:hAnsi="Arial"/>
          <w:b/>
          <w:bCs/>
          <w:sz w:val="26"/>
          <w:szCs w:val="26"/>
        </w:rPr>
        <w:t xml:space="preserve">A.1.2 — Child Support</w:t>
      </w:r>
    </w:p>
    <w:p>
      <w:pPr>
        <w:spacing w:before="80" w:after="120"/>
        <w:jc w:val="both"/>
      </w:pPr>
      <w:r>
        <w:rPr>
          <w:rFonts w:ascii="Arial" w:cs="Arial" w:eastAsia="Arial" w:hAnsi="Arial"/>
          <w:sz w:val="22"/>
          <w:szCs w:val="22"/>
        </w:rPr>
        <w:t xml:space="preserve">A court orders monthly child support for ten years. Each payment is a time-locked transfer. Every payment received is permanently recorded. Any missed payment generates a DefaultRecord. The complete history is on-chain, always visible, cryptographically signed.</w:t>
      </w:r>
    </w:p>
    <w:p>
      <w:pPr>
        <w:pStyle w:val="Heading2"/>
        <w:spacing w:before="280" w:after="80"/>
      </w:pPr>
      <w:r>
        <w:rPr>
          <w:rFonts w:ascii="Arial" w:cs="Arial" w:eastAsia="Arial" w:hAnsi="Arial"/>
          <w:b/>
          <w:bCs/>
          <w:sz w:val="26"/>
          <w:szCs w:val="26"/>
        </w:rPr>
        <w:t xml:space="preserve">A.1.3 — The Conditional Gift</w:t>
      </w:r>
    </w:p>
    <w:p>
      <w:pPr>
        <w:spacing w:before="80" w:after="120"/>
        <w:jc w:val="both"/>
      </w:pPr>
      <w:r>
        <w:rPr>
          <w:rFonts w:ascii="Arial" w:cs="Arial" w:eastAsia="Arial" w:hAnsi="Arial"/>
          <w:sz w:val="22"/>
          <w:szCs w:val="22"/>
        </w:rPr>
        <w:t xml:space="preserve">A parent wants to give value when their child completes a college degree. TYPE V with a Verifas attestor. Funds locked until attestor verifies degree completion. No trust, no trustee, no fees.</w:t>
      </w:r>
    </w:p>
    <w:p>
      <w:pPr>
        <w:pStyle w:val="Heading2"/>
        <w:spacing w:before="280" w:after="80"/>
      </w:pPr>
      <w:r>
        <w:rPr>
          <w:rFonts w:ascii="Arial" w:cs="Arial" w:eastAsia="Arial" w:hAnsi="Arial"/>
          <w:b/>
          <w:bCs/>
          <w:sz w:val="26"/>
          <w:szCs w:val="26"/>
        </w:rPr>
        <w:t xml:space="preserve">A.1.4 — Recurring Charitable Pledge</w:t>
      </w:r>
    </w:p>
    <w:p>
      <w:pPr>
        <w:spacing w:before="80" w:after="120"/>
        <w:jc w:val="both"/>
      </w:pPr>
      <w:r>
        <w:rPr>
          <w:rFonts w:ascii="Arial" w:cs="Arial" w:eastAsia="Arial" w:hAnsi="Arial"/>
          <w:sz w:val="22"/>
          <w:szCs w:val="22"/>
        </w:rPr>
        <w:t xml:space="preserve">A donor commits to annual giving for ten years. Cascade promise, irrevocable after cancellation window. The pledge is binding without foundation administration overhead.</w:t>
      </w:r>
    </w:p>
    <w:p>
      <w:pPr>
        <w:spacing w:before="80" w:after="0"/>
      </w:pPr>
    </w:p>
    <w:p>
      <w:pPr>
        <w:pStyle w:val="Heading1"/>
        <w:spacing w:before="360" w:after="120"/>
      </w:pPr>
      <w:r>
        <w:rPr>
          <w:rFonts w:ascii="Arial" w:cs="Arial" w:eastAsia="Arial" w:hAnsi="Arial"/>
          <w:b/>
          <w:bCs/>
          <w:sz w:val="32"/>
          <w:szCs w:val="32"/>
        </w:rPr>
        <w:t xml:space="preserve">A.2 Legal and Professional</w:t>
      </w:r>
    </w:p>
    <w:p>
      <w:pPr>
        <w:pStyle w:val="Heading2"/>
        <w:spacing w:before="280" w:after="80"/>
      </w:pPr>
      <w:r>
        <w:rPr>
          <w:rFonts w:ascii="Arial" w:cs="Arial" w:eastAsia="Arial" w:hAnsi="Arial"/>
          <w:b/>
          <w:bCs/>
          <w:sz w:val="26"/>
          <w:szCs w:val="26"/>
        </w:rPr>
        <w:t xml:space="preserve">A.2.1 — Structured Settlement</w:t>
      </w:r>
    </w:p>
    <w:p>
      <w:pPr>
        <w:spacing w:before="80" w:after="120"/>
        <w:jc w:val="both"/>
      </w:pPr>
      <w:r>
        <w:rPr>
          <w:rFonts w:ascii="Arial" w:cs="Arial" w:eastAsia="Arial" w:hAnsi="Arial"/>
          <w:sz w:val="22"/>
          <w:szCs w:val="22"/>
        </w:rPr>
        <w:t xml:space="preserve">A personal injury lawsuit settles for a sum payable over 20 years. TYPE D + PAY_AS. No annuity company required. Zero administration cost, no counterparty insolvency risk.</w:t>
      </w:r>
    </w:p>
    <w:p>
      <w:pPr>
        <w:pStyle w:val="Heading2"/>
        <w:spacing w:before="280" w:after="80"/>
      </w:pPr>
      <w:r>
        <w:rPr>
          <w:rFonts w:ascii="Arial" w:cs="Arial" w:eastAsia="Arial" w:hAnsi="Arial"/>
          <w:b/>
          <w:bCs/>
          <w:sz w:val="26"/>
          <w:szCs w:val="26"/>
        </w:rPr>
        <w:t xml:space="preserve">A.2.2 — Attorney Escrow</w:t>
      </w:r>
    </w:p>
    <w:p>
      <w:pPr>
        <w:spacing w:before="80" w:after="120"/>
        <w:jc w:val="both"/>
      </w:pPr>
      <w:r>
        <w:rPr>
          <w:rFonts w:ascii="Arial" w:cs="Arial" w:eastAsia="Arial" w:hAnsi="Arial"/>
          <w:sz w:val="22"/>
          <w:szCs w:val="22"/>
        </w:rPr>
        <w:t xml:space="preserve">A law firm holds settlement funds pending resolution of conditions. TYPE V with attorney as bonded attestor. Complete chain of custody on the DAG.</w:t>
      </w:r>
    </w:p>
    <w:p>
      <w:pPr>
        <w:pStyle w:val="Heading2"/>
        <w:spacing w:before="280" w:after="80"/>
      </w:pPr>
      <w:r>
        <w:rPr>
          <w:rFonts w:ascii="Arial" w:cs="Arial" w:eastAsia="Arial" w:hAnsi="Arial"/>
          <w:b/>
          <w:bCs/>
          <w:sz w:val="26"/>
          <w:szCs w:val="26"/>
        </w:rPr>
        <w:t xml:space="preserve">A.2.3 — Deferred Compensation</w:t>
      </w:r>
    </w:p>
    <w:p>
      <w:pPr>
        <w:spacing w:before="80" w:after="120"/>
        <w:jc w:val="both"/>
      </w:pPr>
      <w:r>
        <w:rPr>
          <w:rFonts w:ascii="Arial" w:cs="Arial" w:eastAsia="Arial" w:hAnsi="Arial"/>
          <w:sz w:val="22"/>
          <w:szCs w:val="22"/>
        </w:rPr>
        <w:t xml:space="preserve">An employer grants a retention bonus vesting over four years with a one-year cliff. Cascade + TYPE V cliff condition. No stock option agreement or cap table required.</w:t>
      </w:r>
    </w:p>
    <w:p>
      <w:pPr>
        <w:spacing w:before="80" w:after="0"/>
      </w:pPr>
    </w:p>
    <w:p>
      <w:pPr>
        <w:pStyle w:val="Heading1"/>
        <w:spacing w:before="360" w:after="120"/>
      </w:pPr>
      <w:r>
        <w:rPr>
          <w:rFonts w:ascii="Arial" w:cs="Arial" w:eastAsia="Arial" w:hAnsi="Arial"/>
          <w:b/>
          <w:bCs/>
          <w:sz w:val="32"/>
          <w:szCs w:val="32"/>
        </w:rPr>
        <w:t xml:space="preserve">A.3 Business and Institutional</w:t>
      </w:r>
    </w:p>
    <w:p>
      <w:pPr>
        <w:pStyle w:val="Heading2"/>
        <w:spacing w:before="280" w:after="80"/>
      </w:pPr>
      <w:r>
        <w:rPr>
          <w:rFonts w:ascii="Arial" w:cs="Arial" w:eastAsia="Arial" w:hAnsi="Arial"/>
          <w:b/>
          <w:bCs/>
          <w:sz w:val="26"/>
          <w:szCs w:val="26"/>
        </w:rPr>
        <w:t xml:space="preserve">A.3.1 — The Bond Equivalent</w:t>
      </w:r>
    </w:p>
    <w:p>
      <w:pPr>
        <w:spacing w:before="80" w:after="120"/>
        <w:jc w:val="both"/>
      </w:pPr>
      <w:r>
        <w:rPr>
          <w:rFonts w:ascii="Arial" w:cs="Arial" w:eastAsia="Arial" w:hAnsi="Arial"/>
          <w:sz w:val="22"/>
          <w:szCs w:val="22"/>
        </w:rPr>
        <w:t xml:space="preserve">A company raises capital via a 5-year instrument paying annual coupons. TYPE Y + Cascade + PAY_AS. Bond-equivalent instrument with zero administration cost and real-time public payment status.</w:t>
      </w:r>
    </w:p>
    <w:p>
      <w:pPr>
        <w:pStyle w:val="Heading2"/>
        <w:spacing w:before="280" w:after="80"/>
      </w:pPr>
      <w:r>
        <w:rPr>
          <w:rFonts w:ascii="Arial" w:cs="Arial" w:eastAsia="Arial" w:hAnsi="Arial"/>
          <w:b/>
          <w:bCs/>
          <w:sz w:val="26"/>
          <w:szCs w:val="26"/>
        </w:rPr>
        <w:t xml:space="preserve">A.3.2 — Subscription Billing</w:t>
      </w:r>
    </w:p>
    <w:p>
      <w:pPr>
        <w:spacing w:before="80" w:after="120"/>
        <w:jc w:val="both"/>
      </w:pPr>
      <w:r>
        <w:rPr>
          <w:rFonts w:ascii="Arial" w:cs="Arial" w:eastAsia="Arial" w:hAnsi="Arial"/>
          <w:sz w:val="22"/>
          <w:szCs w:val="22"/>
        </w:rPr>
        <w:t xml:space="preserve">A service provider charges recurring fees per enterprise client. TYPE C (Credit Authorization). Client can revoke at any time. No payment processor, no chargebacks.</w:t>
      </w:r>
    </w:p>
    <w:p>
      <w:pPr>
        <w:pStyle w:val="Heading2"/>
        <w:spacing w:before="280" w:after="80"/>
      </w:pPr>
      <w:r>
        <w:rPr>
          <w:rFonts w:ascii="Arial" w:cs="Arial" w:eastAsia="Arial" w:hAnsi="Arial"/>
          <w:b/>
          <w:bCs/>
          <w:sz w:val="26"/>
          <w:szCs w:val="26"/>
        </w:rPr>
        <w:t xml:space="preserve">A.3.3 — Cross-Border Lending</w:t>
      </w:r>
    </w:p>
    <w:p>
      <w:pPr>
        <w:spacing w:before="80" w:after="120"/>
        <w:jc w:val="both"/>
      </w:pPr>
      <w:r>
        <w:rPr>
          <w:rFonts w:ascii="Arial" w:cs="Arial" w:eastAsia="Arial" w:hAnsi="Arial"/>
          <w:sz w:val="22"/>
          <w:szCs w:val="22"/>
        </w:rPr>
        <w:t xml:space="preserve">A fintech company offers USD-denominated loans globally using KX as the settlement rail via PAY_AS and XChan. DefaultRecords create portable global credit history.</w:t>
      </w:r>
    </w:p>
    <w:p>
      <w:pPr>
        <w:spacing w:before="80" w:after="0"/>
      </w:pPr>
    </w:p>
    <w:p>
      <w:pPr>
        <w:pStyle w:val="Heading1"/>
        <w:spacing w:before="360" w:after="120"/>
      </w:pPr>
      <w:r>
        <w:rPr>
          <w:rFonts w:ascii="Arial" w:cs="Arial" w:eastAsia="Arial" w:hAnsi="Arial"/>
          <w:b/>
          <w:bCs/>
          <w:sz w:val="32"/>
          <w:szCs w:val="32"/>
        </w:rPr>
        <w:t xml:space="preserve">A.4 AI and Fintech</w:t>
      </w:r>
    </w:p>
    <w:p>
      <w:pPr>
        <w:pStyle w:val="Heading2"/>
        <w:spacing w:before="280" w:after="80"/>
      </w:pPr>
      <w:r>
        <w:rPr>
          <w:rFonts w:ascii="Arial" w:cs="Arial" w:eastAsia="Arial" w:hAnsi="Arial"/>
          <w:b/>
          <w:bCs/>
          <w:sz w:val="26"/>
          <w:szCs w:val="26"/>
        </w:rPr>
        <w:t xml:space="preserve">A.4.1 — AI Micro-Loan Settlement</w:t>
      </w:r>
    </w:p>
    <w:p>
      <w:pPr>
        <w:spacing w:before="80" w:after="120"/>
        <w:jc w:val="both"/>
      </w:pPr>
      <w:r>
        <w:rPr>
          <w:rFonts w:ascii="Arial" w:cs="Arial" w:eastAsia="Arial" w:hAnsi="Arial"/>
          <w:sz w:val="22"/>
          <w:szCs w:val="22"/>
        </w:rPr>
        <w:t xml:space="preserve">An AI agent settles micro-loan obligations every second. High-frequency revolving loans with automatic renewal, interest calculated to the exact second, and settlement via the protocol sweep. Every obligation is on-chain. Nothing is off-ledger.</w:t>
      </w:r>
    </w:p>
    <w:p>
      <w:pPr>
        <w:pStyle w:val="Heading2"/>
        <w:spacing w:before="280" w:after="80"/>
      </w:pPr>
      <w:r>
        <w:rPr>
          <w:rFonts w:ascii="Arial" w:cs="Arial" w:eastAsia="Arial" w:hAnsi="Arial"/>
          <w:b/>
          <w:bCs/>
          <w:sz w:val="26"/>
          <w:szCs w:val="26"/>
        </w:rPr>
        <w:t xml:space="preserve">A.4.2 — Pay-Per-Decision AI Services</w:t>
      </w:r>
    </w:p>
    <w:p>
      <w:pPr>
        <w:spacing w:before="80" w:after="120"/>
        <w:jc w:val="both"/>
      </w:pPr>
      <w:r>
        <w:rPr>
          <w:rFonts w:ascii="Arial" w:cs="Arial" w:eastAsia="Arial" w:hAnsi="Arial"/>
          <w:sz w:val="22"/>
          <w:szCs w:val="22"/>
        </w:rPr>
        <w:t xml:space="preserve">An AI service charges per decision via TYPE C. Each draw is automatically recorded. Complete on-chain billing history without a payment processor.</w:t>
      </w:r>
    </w:p>
    <w:p>
      <w:pPr>
        <w:pBdr>
          <w:bottom w:val="single" w:color="C9A84C" w:sz="6" w:space="1"/>
        </w:pBdr>
        <w:spacing w:before="200" w:after="200"/>
      </w:pPr>
    </w:p>
    <w:p>
      <w:pPr>
        <w:spacing w:before="80" w:after="80"/>
        <w:jc w:val="center"/>
      </w:pPr>
      <w:r>
        <w:rPr>
          <w:rFonts w:ascii="Arial" w:cs="Arial" w:eastAsia="Arial" w:hAnsi="Arial"/>
          <w:color w:val="666666"/>
          <w:sz w:val="18"/>
          <w:szCs w:val="18"/>
        </w:rPr>
        <w:t xml:space="preserve">End of Exhibit A</w:t>
      </w:r>
    </w:p>
    <w:p>
      <w:r>
        <w:br w:type="page"/>
      </w:r>
    </w:p>
    <w:p>
      <w:pPr>
        <w:spacing w:before="200" w:after="80"/>
        <w:jc w:val="center"/>
      </w:pPr>
      <w:r>
        <w:rPr>
          <w:rFonts w:ascii="Arial" w:cs="Arial" w:eastAsia="Arial" w:hAnsi="Arial"/>
          <w:b/>
          <w:bCs/>
          <w:color w:val="C9A84C"/>
          <w:sz w:val="28"/>
          <w:szCs w:val="28"/>
        </w:rPr>
        <w:t xml:space="preserve">EXHIBIT B</w:t>
      </w:r>
    </w:p>
    <w:p>
      <w:pPr>
        <w:spacing w:before="0" w:after="80"/>
        <w:jc w:val="center"/>
      </w:pPr>
      <w:r>
        <w:rPr>
          <w:rFonts w:ascii="Arial" w:cs="Arial" w:eastAsia="Arial" w:hAnsi="Arial"/>
          <w:b/>
          <w:bCs/>
          <w:sz w:val="24"/>
          <w:szCs w:val="24"/>
        </w:rPr>
        <w:t xml:space="preserve">A Plain-English Guide to ChronX Finance</w:t>
      </w:r>
    </w:p>
    <w:p>
      <w:pPr>
        <w:spacing w:before="80" w:after="80"/>
        <w:jc w:val="center"/>
      </w:pPr>
      <w:r>
        <w:rPr>
          <w:rFonts w:ascii="Arial" w:cs="Arial" w:eastAsia="Arial" w:hAnsi="Arial"/>
          <w:color w:val="666666"/>
          <w:sz w:val="18"/>
          <w:szCs w:val="18"/>
        </w:rPr>
        <w:t xml:space="preserve">For readers who want to go deeper into how ChronX works in the real financial world.</w:t>
      </w:r>
    </w:p>
    <w:p>
      <w:pPr>
        <w:spacing w:before="160" w:after="0"/>
      </w:pPr>
    </w:p>
    <w:p>
      <w:pPr>
        <w:pStyle w:val="Heading1"/>
        <w:spacing w:before="360" w:after="120"/>
      </w:pPr>
      <w:r>
        <w:rPr>
          <w:rFonts w:ascii="Arial" w:cs="Arial" w:eastAsia="Arial" w:hAnsi="Arial"/>
          <w:b/>
          <w:bCs/>
          <w:sz w:val="32"/>
          <w:szCs w:val="32"/>
        </w:rPr>
        <w:t xml:space="preserve">B.1 Long-Term Promises and Verifas</w:t>
      </w:r>
    </w:p>
    <w:p>
      <w:pPr>
        <w:pStyle w:val="Heading2"/>
        <w:spacing w:before="280" w:after="80"/>
      </w:pPr>
      <w:r>
        <w:rPr>
          <w:rFonts w:ascii="Arial" w:cs="Arial" w:eastAsia="Arial" w:hAnsi="Arial"/>
          <w:b/>
          <w:bCs/>
          <w:sz w:val="26"/>
          <w:szCs w:val="26"/>
        </w:rPr>
        <w:t xml:space="preserve">The Simple Version</w:t>
      </w:r>
    </w:p>
    <w:p>
      <w:pPr>
        <w:spacing w:before="80" w:after="120"/>
        <w:jc w:val="both"/>
      </w:pPr>
      <w:r>
        <w:rPr>
          <w:rFonts w:ascii="Arial" w:cs="Arial" w:eastAsia="Arial" w:hAnsi="Arial"/>
          <w:sz w:val="22"/>
          <w:szCs w:val="22"/>
        </w:rPr>
        <w:t xml:space="preserve">Imagine writing a check to your granddaughter, dated for her 18th birthday — but instead of a check that could be lost or cancelled, it's written into a blockchain that will exist long after you are gone. The money sits in a digital vault. On the exact date you specified, it opens. No one can stop it. No one can redirect it.</w:t>
      </w:r>
    </w:p>
    <w:p>
      <w:pPr>
        <w:pStyle w:val="Heading2"/>
        <w:spacing w:before="280" w:after="80"/>
      </w:pPr>
      <w:r>
        <w:rPr>
          <w:rFonts w:ascii="Arial" w:cs="Arial" w:eastAsia="Arial" w:hAnsi="Arial"/>
          <w:b/>
          <w:bCs/>
          <w:sz w:val="26"/>
          <w:szCs w:val="26"/>
        </w:rPr>
        <w:t xml:space="preserve">What if contact information no longer exists?</w:t>
      </w:r>
    </w:p>
    <w:p>
      <w:pPr>
        <w:spacing w:before="80" w:after="120"/>
        <w:jc w:val="both"/>
      </w:pPr>
      <w:r>
        <w:rPr>
          <w:rFonts w:ascii="Arial" w:cs="Arial" w:eastAsia="Arial" w:hAnsi="Arial"/>
          <w:sz w:val="22"/>
          <w:szCs w:val="22"/>
        </w:rPr>
        <w:t xml:space="preserve">The promise is mathematically perfect. But the real world is not. Verifas solves this — a network of bonded attestors whose only job is to find the right person and verify their identity. Verifas doesn't touch the money. It only answers one question: is this person the intended recipient?</w:t>
      </w:r>
    </w:p>
    <w:p>
      <w:pPr>
        <w:spacing w:before="80" w:after="0"/>
      </w:pPr>
    </w:p>
    <w:p>
      <w:pPr>
        <w:pStyle w:val="Heading1"/>
        <w:spacing w:before="360" w:after="120"/>
      </w:pPr>
      <w:r>
        <w:rPr>
          <w:rFonts w:ascii="Arial" w:cs="Arial" w:eastAsia="Arial" w:hAnsi="Arial"/>
          <w:b/>
          <w:bCs/>
          <w:sz w:val="32"/>
          <w:szCs w:val="32"/>
        </w:rPr>
        <w:t xml:space="preserve">B.2 PAY_AS and Currency Flexibility</w:t>
      </w:r>
    </w:p>
    <w:p>
      <w:pPr>
        <w:pStyle w:val="Heading2"/>
        <w:spacing w:before="280" w:after="80"/>
      </w:pPr>
      <w:r>
        <w:rPr>
          <w:rFonts w:ascii="Arial" w:cs="Arial" w:eastAsia="Arial" w:hAnsi="Arial"/>
          <w:b/>
          <w:bCs/>
          <w:sz w:val="26"/>
          <w:szCs w:val="26"/>
        </w:rPr>
        <w:t xml:space="preserve">The Simple Version</w:t>
      </w:r>
    </w:p>
    <w:p>
      <w:pPr>
        <w:spacing w:before="80" w:after="120"/>
        <w:jc w:val="both"/>
      </w:pPr>
      <w:r>
        <w:rPr>
          <w:rFonts w:ascii="Arial" w:cs="Arial" w:eastAsia="Arial" w:hAnsi="Arial"/>
          <w:sz w:val="22"/>
          <w:szCs w:val="22"/>
        </w:rPr>
        <w:t xml:space="preserve">Bob locks 1,000 KX and adds a PAY_AS instruction: deliver the KX equivalent of 500 USD at delivery time. When the promise matures, the node checks the current KX/USD rate and calculates the right KX amount. If KX appreciated, Mary gets fewer KX — but the right value. Bob gets his excess back automatically as a refund transaction. If KX fell and 1,000 KX is worth less than 500 USD, Mary receives all of it and the shortfall is recorded.</w:t>
      </w:r>
    </w:p>
    <w:p>
      <w:pPr>
        <w:spacing w:before="80" w:after="120"/>
        <w:jc w:val="both"/>
      </w:pPr>
      <w:r>
        <w:rPr>
          <w:rFonts w:ascii="Arial" w:cs="Arial" w:eastAsia="Arial" w:hAnsi="Arial"/>
          <w:sz w:val="22"/>
          <w:szCs w:val="22"/>
        </w:rPr>
        <w:t xml:space="preserve">If Bob wants to guarantee Mary gets the full 500 USD worth of KX no matter what, HedgeKX can lock in the rate at creation. Bob pays a small premium. Mary is guaranteed. The oracle uses a 7-day moving average so a single bad market day cannot manipulate the delivery.</w:t>
      </w:r>
    </w:p>
    <w:p>
      <w:pPr>
        <w:pStyle w:val="Heading2"/>
        <w:spacing w:before="280" w:after="80"/>
      </w:pPr>
      <w:r>
        <w:rPr>
          <w:rFonts w:ascii="Arial" w:cs="Arial" w:eastAsia="Arial" w:hAnsi="Arial"/>
          <w:b/>
          <w:bCs/>
          <w:sz w:val="26"/>
          <w:szCs w:val="26"/>
        </w:rPr>
        <w:t xml:space="preserve">What currencies are supported at inception?</w:t>
      </w:r>
    </w:p>
    <w:p>
      <w:pPr>
        <w:spacing w:before="80" w:after="120"/>
        <w:jc w:val="both"/>
      </w:pPr>
      <w:r>
        <w:rPr>
          <w:rFonts w:ascii="Arial" w:cs="Arial" w:eastAsia="Arial" w:hAnsi="Arial"/>
          <w:sz w:val="22"/>
          <w:szCs w:val="22"/>
        </w:rPr>
        <w:t xml:space="preserve">KX (the default — no conversion needed) and USDC, priced via XChan. The Foundation may approve additional currencies by governance vote. No protocol change required.</w:t>
      </w:r>
    </w:p>
    <w:p>
      <w:pPr>
        <w:spacing w:before="80" w:after="0"/>
      </w:pPr>
    </w:p>
    <w:p>
      <w:pPr>
        <w:pStyle w:val="Heading1"/>
        <w:spacing w:before="360" w:after="120"/>
      </w:pPr>
      <w:r>
        <w:rPr>
          <w:rFonts w:ascii="Arial" w:cs="Arial" w:eastAsia="Arial" w:hAnsi="Arial"/>
          <w:b/>
          <w:bCs/>
          <w:sz w:val="32"/>
          <w:szCs w:val="32"/>
        </w:rPr>
        <w:t xml:space="preserve">B.3 Debt and Credit Records</w:t>
      </w:r>
    </w:p>
    <w:p>
      <w:pPr>
        <w:pStyle w:val="Heading2"/>
        <w:spacing w:before="280" w:after="80"/>
      </w:pPr>
      <w:r>
        <w:rPr>
          <w:rFonts w:ascii="Arial" w:cs="Arial" w:eastAsia="Arial" w:hAnsi="Arial"/>
          <w:b/>
          <w:bCs/>
          <w:sz w:val="26"/>
          <w:szCs w:val="26"/>
        </w:rPr>
        <w:t xml:space="preserve">What is a DefaultRecord?</w:t>
      </w:r>
    </w:p>
    <w:p>
      <w:pPr>
        <w:spacing w:before="80" w:after="120"/>
        <w:jc w:val="both"/>
      </w:pPr>
      <w:r>
        <w:rPr>
          <w:rFonts w:ascii="Arial" w:cs="Arial" w:eastAsia="Arial" w:hAnsi="Arial"/>
          <w:sz w:val="22"/>
          <w:szCs w:val="22"/>
        </w:rPr>
        <w:t xml:space="preserve">A permanent, cryptographically signed, timestamped record on the borrower's wallet address. Any future lender who queries that address sees the complete loan history — not a score, the actual record. This is the credit reporting system of the future: no bureau, no delay, no disputes about accuracy.</w:t>
      </w:r>
    </w:p>
    <w:p>
      <w:pPr>
        <w:pStyle w:val="Heading2"/>
        <w:spacing w:before="280" w:after="80"/>
      </w:pPr>
      <w:r>
        <w:rPr>
          <w:rFonts w:ascii="Arial" w:cs="Arial" w:eastAsia="Arial" w:hAnsi="Arial"/>
          <w:b/>
          <w:bCs/>
          <w:sz w:val="26"/>
          <w:szCs w:val="26"/>
        </w:rPr>
        <w:t xml:space="preserve">What is a LenderMemo?</w:t>
      </w:r>
    </w:p>
    <w:p>
      <w:pPr>
        <w:spacing w:before="80" w:after="120"/>
        <w:jc w:val="both"/>
      </w:pPr>
      <w:r>
        <w:rPr>
          <w:rFonts w:ascii="Arial" w:cs="Arial" w:eastAsia="Arial" w:hAnsi="Arial"/>
          <w:sz w:val="22"/>
          <w:szCs w:val="22"/>
        </w:rPr>
        <w:t xml:space="preserve">A signed, on-chain annotation that the original lender attaches to a DefaultRecord. If a court orders a default lifted, or both parties negotiate a settlement, the lender submits a LenderMemo. Future lenders see both records: the original default and its resolution. Nothing is erased — the full, annotated truth is always visible.</w:t>
      </w:r>
    </w:p>
    <w:p>
      <w:pPr>
        <w:spacing w:before="80" w:after="0"/>
      </w:pPr>
    </w:p>
    <w:p>
      <w:pPr>
        <w:pStyle w:val="Heading1"/>
        <w:spacing w:before="360" w:after="120"/>
      </w:pPr>
      <w:r>
        <w:rPr>
          <w:rFonts w:ascii="Arial" w:cs="Arial" w:eastAsia="Arial" w:hAnsi="Arial"/>
          <w:b/>
          <w:bCs/>
          <w:sz w:val="32"/>
          <w:szCs w:val="32"/>
        </w:rPr>
        <w:t xml:space="preserve">B.4 AI Funds and MISAI</w:t>
      </w:r>
    </w:p>
    <w:p>
      <w:pPr>
        <w:pStyle w:val="Heading2"/>
        <w:spacing w:before="280" w:after="80"/>
      </w:pPr>
      <w:r>
        <w:rPr>
          <w:rFonts w:ascii="Arial" w:cs="Arial" w:eastAsia="Arial" w:hAnsi="Arial"/>
          <w:b/>
          <w:bCs/>
          <w:sz w:val="26"/>
          <w:szCs w:val="26"/>
        </w:rPr>
        <w:t xml:space="preserve">The Simple Version</w:t>
      </w:r>
    </w:p>
    <w:p>
      <w:pPr>
        <w:spacing w:before="80" w:after="120"/>
        <w:jc w:val="both"/>
      </w:pPr>
      <w:r>
        <w:rPr>
          <w:rFonts w:ascii="Arial" w:cs="Arial" w:eastAsia="Arial" w:hAnsi="Arial"/>
          <w:sz w:val="22"/>
          <w:szCs w:val="22"/>
        </w:rPr>
        <w:t xml:space="preserve">A TYPE M lock is a promise with a twist: instead of the KX sitting idle, MISAI is authorized to withdraw it, manage it according to your instructions, and return whatever it has grown into at maturity. Think of it as a digital endowment with an AI portfolio manager.</w:t>
      </w:r>
    </w:p>
    <w:p>
      <w:pPr>
        <w:pStyle w:val="Heading2"/>
        <w:spacing w:before="280" w:after="80"/>
      </w:pPr>
      <w:r>
        <w:rPr>
          <w:rFonts w:ascii="Arial" w:cs="Arial" w:eastAsia="Arial" w:hAnsi="Arial"/>
          <w:b/>
          <w:bCs/>
          <w:sz w:val="26"/>
          <w:szCs w:val="26"/>
        </w:rPr>
        <w:t xml:space="preserve">What does MISAI never do?</w:t>
      </w:r>
    </w:p>
    <w:p>
      <w:pPr>
        <w:spacing w:before="80" w:after="120"/>
        <w:jc w:val="both"/>
      </w:pPr>
      <w:r>
        <w:rPr>
          <w:rFonts w:ascii="Arial" w:cs="Arial" w:eastAsia="Arial" w:hAnsi="Arial"/>
          <w:sz w:val="22"/>
          <w:szCs w:val="22"/>
        </w:rPr>
        <w:t xml:space="preserve">MISAI never makes decisions without recording them publicly first. The decision agent is always separate from the custody wallet — this is Axiom IV, enforced at the protocol level. MISAI is not a guaranteed return product. The Risk Axiom is explicit: AI management may result in gains or losses up to and including total loss.</w:t>
      </w:r>
    </w:p>
    <w:p>
      <w:pPr>
        <w:spacing w:before="80" w:after="0"/>
      </w:pPr>
    </w:p>
    <w:p>
      <w:pPr>
        <w:pStyle w:val="Heading1"/>
        <w:spacing w:before="360" w:after="120"/>
      </w:pPr>
      <w:r>
        <w:rPr>
          <w:rFonts w:ascii="Arial" w:cs="Arial" w:eastAsia="Arial" w:hAnsi="Arial"/>
          <w:b/>
          <w:bCs/>
          <w:sz w:val="32"/>
          <w:szCs w:val="32"/>
        </w:rPr>
        <w:t xml:space="preserve">B.5 Badges and Identity</w:t>
      </w:r>
    </w:p>
    <w:p>
      <w:pPr>
        <w:pStyle w:val="Heading2"/>
        <w:spacing w:before="280" w:after="80"/>
      </w:pPr>
      <w:r>
        <w:rPr>
          <w:rFonts w:ascii="Arial" w:cs="Arial" w:eastAsia="Arial" w:hAnsi="Arial"/>
          <w:b/>
          <w:bCs/>
          <w:sz w:val="26"/>
          <w:szCs w:val="26"/>
        </w:rPr>
        <w:t xml:space="preserve">What are badges?</w:t>
      </w:r>
    </w:p>
    <w:p>
      <w:pPr>
        <w:spacing w:before="80" w:after="120"/>
        <w:jc w:val="both"/>
      </w:pPr>
      <w:r>
        <w:rPr>
          <w:rFonts w:ascii="Arial" w:cs="Arial" w:eastAsia="Arial" w:hAnsi="Arial"/>
          <w:sz w:val="22"/>
          <w:szCs w:val="22"/>
        </w:rPr>
        <w:t xml:space="preserve">Badges are recognition tokens attached to a wallet address. They carry no KX value. Two tiers exist: Foundation badges are issued as permanent on-chain records — a Founding Team badge issued in 2026 is cryptographically provable in 2076. Partner badges are issued by ecosystem partners and reflect dynamic status like gaming performance tiers.</w:t>
      </w:r>
    </w:p>
    <w:p>
      <w:pPr>
        <w:pBdr>
          <w:bottom w:val="single" w:color="C9A84C" w:sz="6" w:space="1"/>
        </w:pBdr>
        <w:spacing w:before="200" w:after="200"/>
      </w:pPr>
    </w:p>
    <w:p>
      <w:pPr>
        <w:spacing w:before="80" w:after="80"/>
        <w:jc w:val="center"/>
      </w:pPr>
      <w:r>
        <w:rPr>
          <w:rFonts w:ascii="Arial" w:cs="Arial" w:eastAsia="Arial" w:hAnsi="Arial"/>
          <w:color w:val="666666"/>
          <w:sz w:val="18"/>
          <w:szCs w:val="18"/>
        </w:rPr>
        <w:t xml:space="preserve">End of Exhibit B</w:t>
      </w:r>
    </w:p>
    <w:p>
      <w:r>
        <w:br w:type="page"/>
      </w:r>
    </w:p>
    <w:p>
      <w:pPr>
        <w:spacing w:before="200" w:after="80"/>
        <w:jc w:val="center"/>
      </w:pPr>
      <w:r>
        <w:rPr>
          <w:rFonts w:ascii="Arial" w:cs="Arial" w:eastAsia="Arial" w:hAnsi="Arial"/>
          <w:b/>
          <w:bCs/>
          <w:color w:val="C9A84C"/>
          <w:sz w:val="28"/>
          <w:szCs w:val="28"/>
        </w:rPr>
        <w:t xml:space="preserve">ADDENDUM C</w:t>
      </w:r>
    </w:p>
    <w:p>
      <w:pPr>
        <w:spacing w:before="0" w:after="80"/>
        <w:jc w:val="center"/>
      </w:pPr>
      <w:r>
        <w:rPr>
          <w:rFonts w:ascii="Arial" w:cs="Arial" w:eastAsia="Arial" w:hAnsi="Arial"/>
          <w:b/>
          <w:bCs/>
          <w:sz w:val="24"/>
          <w:szCs w:val="24"/>
        </w:rPr>
        <w:t xml:space="preserve">ChronX Protocol Foundation Governance</w:t>
      </w:r>
    </w:p>
    <w:p>
      <w:pPr>
        <w:spacing w:before="80" w:after="80"/>
        <w:jc w:val="center"/>
      </w:pPr>
      <w:r>
        <w:rPr>
          <w:rFonts w:ascii="Arial" w:cs="Arial" w:eastAsia="Arial" w:hAnsi="Arial"/>
          <w:color w:val="666666"/>
          <w:sz w:val="18"/>
          <w:szCs w:val="18"/>
        </w:rPr>
        <w:t xml:space="preserve">Addendum C to ChronX Protocol Whitepaper v6.2</w:t>
      </w:r>
    </w:p>
    <w:p>
      <w:pPr>
        <w:spacing w:before="160" w:after="0"/>
      </w:pPr>
    </w:p>
    <w:p>
      <w:pPr>
        <w:pStyle w:val="Heading1"/>
        <w:spacing w:before="360" w:after="120"/>
      </w:pPr>
      <w:r>
        <w:rPr>
          <w:rFonts w:ascii="Arial" w:cs="Arial" w:eastAsia="Arial" w:hAnsi="Arial"/>
          <w:b/>
          <w:bCs/>
          <w:sz w:val="32"/>
          <w:szCs w:val="32"/>
        </w:rPr>
        <w:t xml:space="preserve">C.1 Purpose and Structure</w:t>
      </w:r>
    </w:p>
    <w:p>
      <w:pPr>
        <w:spacing w:before="80" w:after="120"/>
        <w:jc w:val="both"/>
      </w:pPr>
      <w:r>
        <w:rPr>
          <w:rFonts w:ascii="Arial" w:cs="Arial" w:eastAsia="Arial" w:hAnsi="Arial"/>
          <w:sz w:val="22"/>
          <w:szCs w:val="22"/>
        </w:rPr>
        <w:t xml:space="preserve">The ChronX Protocol Foundation is the nonprofit stewardship body of the ChronX Protocol. Its mandate is narrow: to govern the operational parameters of the protocol within the bounds established at genesis. The Foundation does not control the protocol. The protocol controls itself. The Foundation governs only those parameters the protocol has explicitly delegated to governance.</w:t>
      </w:r>
    </w:p>
    <w:p>
      <w:pPr>
        <w:spacing w:before="80" w:after="120"/>
        <w:jc w:val="both"/>
      </w:pPr>
      <w:r>
        <w:rPr>
          <w:rFonts w:ascii="Arial" w:cs="Arial" w:eastAsia="Arial" w:hAnsi="Arial"/>
          <w:sz w:val="22"/>
          <w:szCs w:val="22"/>
        </w:rPr>
        <w:t xml:space="preserve">Genesis-level constants — total supply, zero fees, the 7% executor fee ceiling, and the axioms — are permanently immutable. No Foundation vote, no governance action, and no court order can alter them. The Foundation governs the operational by-laws: parameters that must evolve as the network grows.</w:t>
      </w:r>
    </w:p>
    <w:p>
      <w:pPr>
        <w:spacing w:before="80" w:after="120"/>
        <w:jc w:val="both"/>
      </w:pPr>
      <w:r>
        <w:rPr>
          <w:rFonts w:ascii="Arial" w:cs="Arial" w:eastAsia="Arial" w:hAnsi="Arial"/>
          <w:sz w:val="22"/>
          <w:szCs w:val="22"/>
        </w:rPr>
        <w:t xml:space="preserve">All Foundation actions are permanently recorded on the ChronX DAG. Every vote, every parameter change, and every attestor approval is cryptographically signed and publicly verifiable. There are no private Foundation decisions.</w:t>
      </w:r>
    </w:p>
    <w:p>
      <w:pPr>
        <w:pStyle w:val="Heading1"/>
        <w:spacing w:before="360" w:after="120"/>
      </w:pPr>
      <w:r>
        <w:rPr>
          <w:rFonts w:ascii="Arial" w:cs="Arial" w:eastAsia="Arial" w:hAnsi="Arial"/>
          <w:b/>
          <w:bCs/>
          <w:sz w:val="32"/>
          <w:szCs w:val="32"/>
        </w:rPr>
        <w:t xml:space="preserve">C.2 What the Foundation Governs</w:t>
      </w:r>
    </w:p>
    <w:p>
      <w:pPr>
        <w:spacing w:before="80" w:after="120"/>
        <w:jc w:val="both"/>
      </w:pPr>
      <w:r>
        <w:rPr>
          <w:rFonts w:ascii="Arial" w:cs="Arial" w:eastAsia="Arial" w:hAnsi="Arial"/>
          <w:sz w:val="22"/>
          <w:szCs w:val="22"/>
        </w:rPr>
        <w:t xml:space="preserve">Node operational parameters: sweep intervals, rate limits, and channel thresholds. Executor eligibility and fee parameters. Verifas attestor admissions and removals. The PAY_AS oracle list — approved currencies, their price sources, and successor mappings for deprecated currencies. Minimum bond requirements for ecosystem participants.</w:t>
      </w:r>
    </w:p>
    <w:p>
      <w:pPr>
        <w:pStyle w:val="Heading1"/>
        <w:spacing w:before="360" w:after="120"/>
      </w:pPr>
      <w:r>
        <w:rPr>
          <w:rFonts w:ascii="Arial" w:cs="Arial" w:eastAsia="Arial" w:hAnsi="Arial"/>
          <w:b/>
          <w:bCs/>
          <w:sz w:val="32"/>
          <w:szCs w:val="32"/>
        </w:rPr>
        <w:t xml:space="preserve">C.3 What the Foundation Cannot Do</w:t>
      </w:r>
    </w:p>
    <w:p>
      <w:pPr>
        <w:spacing w:before="40" w:after="40"/>
        <w:ind w:left="480" w:hanging="240"/>
      </w:pPr>
      <w:r>
        <w:rPr>
          <w:rFonts w:ascii="Arial" w:cs="Arial" w:eastAsia="Arial" w:hAnsi="Arial"/>
          <w:color w:val="C9A84C"/>
          <w:sz w:val="22"/>
          <w:szCs w:val="22"/>
        </w:rPr>
        <w:t xml:space="preserve">•  </w:t>
      </w:r>
      <w:r>
        <w:rPr>
          <w:rFonts w:ascii="Arial" w:cs="Arial" w:eastAsia="Arial" w:hAnsi="Arial"/>
          <w:sz w:val="22"/>
          <w:szCs w:val="22"/>
        </w:rPr>
        <w:t xml:space="preserve">Alter the total KX supply. Fixed forever at genesis.</w:t>
      </w:r>
    </w:p>
    <w:p>
      <w:pPr>
        <w:spacing w:before="40" w:after="40"/>
        <w:ind w:left="480" w:hanging="240"/>
      </w:pPr>
      <w:r>
        <w:rPr>
          <w:rFonts w:ascii="Arial" w:cs="Arial" w:eastAsia="Arial" w:hAnsi="Arial"/>
          <w:color w:val="C9A84C"/>
          <w:sz w:val="22"/>
          <w:szCs w:val="22"/>
        </w:rPr>
        <w:t xml:space="preserve">•  </w:t>
      </w:r>
      <w:r>
        <w:rPr>
          <w:rFonts w:ascii="Arial" w:cs="Arial" w:eastAsia="Arial" w:hAnsi="Arial"/>
          <w:sz w:val="22"/>
          <w:szCs w:val="22"/>
        </w:rPr>
        <w:t xml:space="preserve">Impose transaction fees. Zero fees are a protocol invariant.</w:t>
      </w:r>
    </w:p>
    <w:p>
      <w:pPr>
        <w:spacing w:before="40" w:after="40"/>
        <w:ind w:left="480" w:hanging="240"/>
      </w:pPr>
      <w:r>
        <w:rPr>
          <w:rFonts w:ascii="Arial" w:cs="Arial" w:eastAsia="Arial" w:hAnsi="Arial"/>
          <w:color w:val="C9A84C"/>
          <w:sz w:val="22"/>
          <w:szCs w:val="22"/>
        </w:rPr>
        <w:t xml:space="preserve">•  </w:t>
      </w:r>
      <w:r>
        <w:rPr>
          <w:rFonts w:ascii="Arial" w:cs="Arial" w:eastAsia="Arial" w:hAnsi="Arial"/>
          <w:sz w:val="22"/>
          <w:szCs w:val="22"/>
        </w:rPr>
        <w:t xml:space="preserve">Raise the executor fee ceiling above 7%. It may only be lowered.</w:t>
      </w:r>
    </w:p>
    <w:p>
      <w:pPr>
        <w:spacing w:before="40" w:after="40"/>
        <w:ind w:left="480" w:hanging="240"/>
      </w:pPr>
      <w:r>
        <w:rPr>
          <w:rFonts w:ascii="Arial" w:cs="Arial" w:eastAsia="Arial" w:hAnsi="Arial"/>
          <w:color w:val="C9A84C"/>
          <w:sz w:val="22"/>
          <w:szCs w:val="22"/>
        </w:rPr>
        <w:t xml:space="preserve">•  </w:t>
      </w:r>
      <w:r>
        <w:rPr>
          <w:rFonts w:ascii="Arial" w:cs="Arial" w:eastAsia="Arial" w:hAnsi="Arial"/>
          <w:sz w:val="22"/>
          <w:szCs w:val="22"/>
        </w:rPr>
        <w:t xml:space="preserve">Modify the Promise Axioms or AI Agent Axioms. Both are permanently immutable.</w:t>
      </w:r>
    </w:p>
    <w:p>
      <w:pPr>
        <w:spacing w:before="40" w:after="40"/>
        <w:ind w:left="480" w:hanging="240"/>
      </w:pPr>
      <w:r>
        <w:rPr>
          <w:rFonts w:ascii="Arial" w:cs="Arial" w:eastAsia="Arial" w:hAnsi="Arial"/>
          <w:color w:val="C9A84C"/>
          <w:sz w:val="22"/>
          <w:szCs w:val="22"/>
        </w:rPr>
        <w:t xml:space="preserve">•  </w:t>
      </w:r>
      <w:r>
        <w:rPr>
          <w:rFonts w:ascii="Arial" w:cs="Arial" w:eastAsia="Arial" w:hAnsi="Arial"/>
          <w:sz w:val="22"/>
          <w:szCs w:val="22"/>
        </w:rPr>
        <w:t xml:space="preserve">Reverse, cancel, or modify any confirmed on-chain transaction.</w:t>
      </w:r>
    </w:p>
    <w:p>
      <w:pPr>
        <w:spacing w:before="40" w:after="40"/>
        <w:ind w:left="480" w:hanging="240"/>
      </w:pPr>
      <w:r>
        <w:rPr>
          <w:rFonts w:ascii="Arial" w:cs="Arial" w:eastAsia="Arial" w:hAnsi="Arial"/>
          <w:color w:val="C9A84C"/>
          <w:sz w:val="22"/>
          <w:szCs w:val="22"/>
        </w:rPr>
        <w:t xml:space="preserve">•  </w:t>
      </w:r>
      <w:r>
        <w:rPr>
          <w:rFonts w:ascii="Arial" w:cs="Arial" w:eastAsia="Arial" w:hAnsi="Arial"/>
          <w:sz w:val="22"/>
          <w:szCs w:val="22"/>
        </w:rPr>
        <w:t xml:space="preserve">Decrypt any memo stored on the DAG. The Foundation is not a key holder.</w:t>
      </w:r>
    </w:p>
    <w:p>
      <w:pPr>
        <w:spacing w:before="80" w:after="0"/>
      </w:pPr>
    </w:p>
    <w:p>
      <w:pPr>
        <w:pStyle w:val="Heading1"/>
        <w:spacing w:before="360" w:after="120"/>
      </w:pPr>
      <w:r>
        <w:rPr>
          <w:rFonts w:ascii="Arial" w:cs="Arial" w:eastAsia="Arial" w:hAnsi="Arial"/>
          <w:b/>
          <w:bCs/>
          <w:sz w:val="32"/>
          <w:szCs w:val="32"/>
        </w:rPr>
        <w:t xml:space="preserve">C.4 Governed Parameters</w:t>
      </w:r>
    </w:p>
    <w:p>
      <w:pPr>
        <w:spacing w:before="80" w:after="120"/>
        <w:jc w:val="both"/>
      </w:pPr>
      <w:r>
        <w:rPr>
          <w:rFonts w:ascii="Arial" w:cs="Arial" w:eastAsia="Arial" w:hAnsi="Arial"/>
          <w:sz w:val="22"/>
          <w:szCs w:val="22"/>
        </w:rPr>
        <w:t xml:space="preserve">The following parameters are stored in genesis-params.json and enforced by all nodes at their current governance-approved values. Changes require a Foundation vote recorded on-chain.</w:t>
      </w:r>
    </w:p>
    <w:p>
      <w:pPr>
        <w:spacing w:before="80" w:after="0"/>
      </w:pPr>
    </w:p>
    <w:tbl>
      <w:tblPr>
        <w:tblW w:type="dxa" w:w="9360"/>
        <w:tblBorders>
          <w:top w:val="single" w:color="C9A84C" w:sz="4"/>
          <w:left w:val="single" w:color="C9A84C" w:sz="4"/>
          <w:bottom w:val="single" w:color="C9A84C" w:sz="4"/>
          <w:right w:val="single" w:color="C9A84C" w:sz="4"/>
          <w:insideH w:val="single" w:color="DDDDDD" w:sz="2"/>
          <w:insideV w:val="single" w:color="DDDDDD" w:sz="2"/>
        </w:tblBorders>
      </w:tblPr>
      <w:tblGrid>
        <w:gridCol w:w="2400"/>
        <w:gridCol w:w="1100"/>
        <w:gridCol w:w="1000"/>
        <w:gridCol w:w="1000"/>
        <w:gridCol w:w="3860"/>
      </w:tblGrid>
      <w:tr>
        <w:tc>
          <w:tcPr>
            <w:tcW w:type="dxa" w:w="2400"/>
            <w:shd w:fill="1A1A2E" w:val="clear"/>
            <w:tcMar>
              <w:top w:type="dxa" w:w="80"/>
              <w:left w:type="dxa" w:w="120"/>
              <w:bottom w:type="dxa" w:w="80"/>
              <w:right w:type="dxa" w:w="120"/>
            </w:tcMar>
          </w:tcPr>
          <w:p>
            <w:r>
              <w:rPr>
                <w:rFonts w:ascii="Arial" w:cs="Arial" w:eastAsia="Arial" w:hAnsi="Arial"/>
                <w:b/>
                <w:bCs/>
                <w:color w:val="C9A84C"/>
                <w:sz w:val="16"/>
                <w:szCs w:val="16"/>
              </w:rPr>
              <w:t xml:space="preserve">Parameter</w:t>
            </w:r>
          </w:p>
        </w:tc>
        <w:tc>
          <w:tcPr>
            <w:tcW w:type="dxa" w:w="1100"/>
            <w:shd w:fill="1A1A2E" w:val="clear"/>
            <w:tcMar>
              <w:top w:type="dxa" w:w="80"/>
              <w:left w:type="dxa" w:w="120"/>
              <w:bottom w:type="dxa" w:w="80"/>
              <w:right w:type="dxa" w:w="120"/>
            </w:tcMar>
          </w:tcPr>
          <w:p>
            <w:r>
              <w:rPr>
                <w:rFonts w:ascii="Arial" w:cs="Arial" w:eastAsia="Arial" w:hAnsi="Arial"/>
                <w:b/>
                <w:bCs/>
                <w:color w:val="C9A84C"/>
                <w:sz w:val="16"/>
                <w:szCs w:val="16"/>
              </w:rPr>
              <w:t xml:space="preserve">Current</w:t>
            </w:r>
          </w:p>
        </w:tc>
        <w:tc>
          <w:tcPr>
            <w:tcW w:type="dxa" w:w="1000"/>
            <w:shd w:fill="1A1A2E" w:val="clear"/>
            <w:tcMar>
              <w:top w:type="dxa" w:w="80"/>
              <w:left w:type="dxa" w:w="120"/>
              <w:bottom w:type="dxa" w:w="80"/>
              <w:right w:type="dxa" w:w="120"/>
            </w:tcMar>
          </w:tcPr>
          <w:p>
            <w:r>
              <w:rPr>
                <w:rFonts w:ascii="Arial" w:cs="Arial" w:eastAsia="Arial" w:hAnsi="Arial"/>
                <w:b/>
                <w:bCs/>
                <w:color w:val="C9A84C"/>
                <w:sz w:val="16"/>
                <w:szCs w:val="16"/>
              </w:rPr>
              <w:t xml:space="preserve">Floor</w:t>
            </w:r>
          </w:p>
        </w:tc>
        <w:tc>
          <w:tcPr>
            <w:tcW w:type="dxa" w:w="1000"/>
            <w:shd w:fill="1A1A2E" w:val="clear"/>
            <w:tcMar>
              <w:top w:type="dxa" w:w="80"/>
              <w:left w:type="dxa" w:w="120"/>
              <w:bottom w:type="dxa" w:w="80"/>
              <w:right w:type="dxa" w:w="120"/>
            </w:tcMar>
          </w:tcPr>
          <w:p>
            <w:r>
              <w:rPr>
                <w:rFonts w:ascii="Arial" w:cs="Arial" w:eastAsia="Arial" w:hAnsi="Arial"/>
                <w:b/>
                <w:bCs/>
                <w:color w:val="C9A84C"/>
                <w:sz w:val="16"/>
                <w:szCs w:val="16"/>
              </w:rPr>
              <w:t xml:space="preserve">Ceiling</w:t>
            </w:r>
          </w:p>
        </w:tc>
        <w:tc>
          <w:tcPr>
            <w:tcW w:type="dxa" w:w="3860"/>
            <w:shd w:fill="1A1A2E" w:val="clear"/>
            <w:tcMar>
              <w:top w:type="dxa" w:w="80"/>
              <w:left w:type="dxa" w:w="120"/>
              <w:bottom w:type="dxa" w:w="80"/>
              <w:right w:type="dxa" w:w="120"/>
            </w:tcMar>
          </w:tcPr>
          <w:p>
            <w:r>
              <w:rPr>
                <w:rFonts w:ascii="Arial" w:cs="Arial" w:eastAsia="Arial" w:hAnsi="Arial"/>
                <w:b/>
                <w:bCs/>
                <w:color w:val="C9A84C"/>
                <w:sz w:val="16"/>
                <w:szCs w:val="16"/>
              </w:rPr>
              <w:t xml:space="preserve">Purpose</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rate_limit_tx_per_wallet_per_minute</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10</w:t>
            </w:r>
          </w:p>
        </w:tc>
        <w:tc>
          <w:tcPr>
            <w:tcW w:type="dxa" w:w="10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1</w:t>
            </w:r>
          </w:p>
        </w:tc>
        <w:tc>
          <w:tcPr>
            <w:tcW w:type="dxa" w:w="10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1,000</w:t>
            </w:r>
          </w:p>
        </w:tc>
        <w:tc>
          <w:tcPr>
            <w:tcW w:type="dxa" w:w="386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Max transactions per wallet per minute on main chain</w:t>
            </w:r>
          </w:p>
        </w:tc>
      </w:tr>
      <w:tr>
        <w:tc>
          <w:tcPr>
            <w:tcW w:type="dxa" w:w="24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rate_limit_loan_actions_per_wallet_per_day</w:t>
            </w:r>
          </w:p>
        </w:tc>
        <w:tc>
          <w:tcPr>
            <w:tcW w:type="dxa" w:w="11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100</w:t>
            </w:r>
          </w:p>
        </w:tc>
        <w:tc>
          <w:tcPr>
            <w:tcW w:type="dxa" w:w="10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10</w:t>
            </w:r>
          </w:p>
        </w:tc>
        <w:tc>
          <w:tcPr>
            <w:tcW w:type="dxa" w:w="10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10,000</w:t>
            </w:r>
          </w:p>
        </w:tc>
        <w:tc>
          <w:tcPr>
            <w:tcW w:type="dxa" w:w="386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Combined loan offer/accept/exit per wallet per 24h</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channel_threshold_daily_tx</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1,000</w:t>
            </w:r>
          </w:p>
        </w:tc>
        <w:tc>
          <w:tcPr>
            <w:tcW w:type="dxa" w:w="10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100</w:t>
            </w:r>
          </w:p>
        </w:tc>
        <w:tc>
          <w:tcPr>
            <w:tcW w:type="dxa" w:w="10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Unlimited</w:t>
            </w:r>
          </w:p>
        </w:tc>
        <w:tc>
          <w:tcPr>
            <w:tcW w:type="dxa" w:w="386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Daily volume above which channel mode is recommended</w:t>
            </w:r>
          </w:p>
        </w:tc>
      </w:tr>
      <w:tr>
        <w:tc>
          <w:tcPr>
            <w:tcW w:type="dxa" w:w="24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channel_open_min_lock_kx</w:t>
            </w:r>
          </w:p>
        </w:tc>
        <w:tc>
          <w:tcPr>
            <w:tcW w:type="dxa" w:w="11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1 KX</w:t>
            </w:r>
          </w:p>
        </w:tc>
        <w:tc>
          <w:tcPr>
            <w:tcW w:type="dxa" w:w="10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1 KX</w:t>
            </w:r>
          </w:p>
        </w:tc>
        <w:tc>
          <w:tcPr>
            <w:tcW w:type="dxa" w:w="10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No ceiling</w:t>
            </w:r>
          </w:p>
        </w:tc>
        <w:tc>
          <w:tcPr>
            <w:tcW w:type="dxa" w:w="386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Minimum KX to open a Payment Channel</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sweep_loan_interval_seconds</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3,600</w:t>
            </w:r>
          </w:p>
        </w:tc>
        <w:tc>
          <w:tcPr>
            <w:tcW w:type="dxa" w:w="10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60</w:t>
            </w:r>
          </w:p>
        </w:tc>
        <w:tc>
          <w:tcPr>
            <w:tcW w:type="dxa" w:w="10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86,400</w:t>
            </w:r>
          </w:p>
        </w:tc>
        <w:tc>
          <w:tcPr>
            <w:tcW w:type="dxa" w:w="386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How often node settles accrued loan interest to DAG</w:t>
            </w:r>
          </w:p>
        </w:tc>
      </w:tr>
      <w:tr>
        <w:tc>
          <w:tcPr>
            <w:tcW w:type="dxa" w:w="24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sweep_email_lock_interval_seconds</w:t>
            </w:r>
          </w:p>
        </w:tc>
        <w:tc>
          <w:tcPr>
            <w:tcW w:type="dxa" w:w="11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300</w:t>
            </w:r>
          </w:p>
        </w:tc>
        <w:tc>
          <w:tcPr>
            <w:tcW w:type="dxa" w:w="10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60</w:t>
            </w:r>
          </w:p>
        </w:tc>
        <w:tc>
          <w:tcPr>
            <w:tcW w:type="dxa" w:w="10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3,600</w:t>
            </w:r>
          </w:p>
        </w:tc>
        <w:tc>
          <w:tcPr>
            <w:tcW w:type="dxa" w:w="386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How often node checks for expired email locks to revert</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sweep_matured_timelock_interval_seconds</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60</w:t>
            </w:r>
          </w:p>
        </w:tc>
        <w:tc>
          <w:tcPr>
            <w:tcW w:type="dxa" w:w="10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10</w:t>
            </w:r>
          </w:p>
        </w:tc>
        <w:tc>
          <w:tcPr>
            <w:tcW w:type="dxa" w:w="10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3,600</w:t>
            </w:r>
          </w:p>
        </w:tc>
        <w:tc>
          <w:tcPr>
            <w:tcW w:type="dxa" w:w="386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How often node delivers matured timelocks</w:t>
            </w:r>
          </w:p>
        </w:tc>
      </w:tr>
      <w:tr>
        <w:tc>
          <w:tcPr>
            <w:tcW w:type="dxa" w:w="24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loan_min_settlement_chronos</w:t>
            </w:r>
          </w:p>
        </w:tc>
        <w:tc>
          <w:tcPr>
            <w:tcW w:type="dxa" w:w="11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1,000</w:t>
            </w:r>
          </w:p>
        </w:tc>
        <w:tc>
          <w:tcPr>
            <w:tcW w:type="dxa" w:w="10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1</w:t>
            </w:r>
          </w:p>
        </w:tc>
        <w:tc>
          <w:tcPr>
            <w:tcW w:type="dxa" w:w="10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1,000,000</w:t>
            </w:r>
          </w:p>
        </w:tc>
        <w:tc>
          <w:tcPr>
            <w:tcW w:type="dxa" w:w="386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Minimum accrued interest before writing a settlement vertex</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executor_eligibility_window_days</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90</w:t>
            </w:r>
          </w:p>
        </w:tc>
        <w:tc>
          <w:tcPr>
            <w:tcW w:type="dxa" w:w="10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30</w:t>
            </w:r>
          </w:p>
        </w:tc>
        <w:tc>
          <w:tcPr>
            <w:tcW w:type="dxa" w:w="10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365</w:t>
            </w:r>
          </w:p>
        </w:tc>
        <w:tc>
          <w:tcPr>
            <w:tcW w:type="dxa" w:w="386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Days after maturity before executor delivery protocol activates</w:t>
            </w:r>
          </w:p>
        </w:tc>
      </w:tr>
      <w:tr>
        <w:tc>
          <w:tcPr>
            <w:tcW w:type="dxa" w:w="24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executor_fee_cap_pct</w:t>
            </w:r>
          </w:p>
        </w:tc>
        <w:tc>
          <w:tcPr>
            <w:tcW w:type="dxa" w:w="11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7%</w:t>
            </w:r>
          </w:p>
        </w:tc>
        <w:tc>
          <w:tcPr>
            <w:tcW w:type="dxa" w:w="10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0%</w:t>
            </w:r>
          </w:p>
        </w:tc>
        <w:tc>
          <w:tcPr>
            <w:tcW w:type="dxa" w:w="1000"/>
            <w:shd w:fill="F7F3E8" w:val="clear"/>
            <w:tcMar>
              <w:top w:type="dxa" w:w="80"/>
              <w:left w:type="dxa" w:w="120"/>
              <w:bottom w:type="dxa" w:w="80"/>
              <w:right w:type="dxa" w:w="120"/>
            </w:tcMar>
          </w:tcPr>
          <w:p>
            <w:r>
              <w:rPr>
                <w:rFonts w:ascii="Arial" w:cs="Arial" w:eastAsia="Arial" w:hAnsi="Arial"/>
                <w:b w:val="false"/>
                <w:bCs w:val="false"/>
                <w:color w:val="AA0000"/>
                <w:sz w:val="16"/>
                <w:szCs w:val="16"/>
              </w:rPr>
              <w:t xml:space="preserve">7% (genesis max)</w:t>
            </w:r>
          </w:p>
        </w:tc>
        <w:tc>
          <w:tcPr>
            <w:tcW w:type="dxa" w:w="386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Maximum executor fee. Genesis ceiling cannot be raised.</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verifier_min_bond_kx</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1,000,000 KX</w:t>
            </w:r>
          </w:p>
        </w:tc>
        <w:tc>
          <w:tcPr>
            <w:tcW w:type="dxa" w:w="10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100,000</w:t>
            </w:r>
          </w:p>
        </w:tc>
        <w:tc>
          <w:tcPr>
            <w:tcW w:type="dxa" w:w="10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No ceiling</w:t>
            </w:r>
          </w:p>
        </w:tc>
        <w:tc>
          <w:tcPr>
            <w:tcW w:type="dxa" w:w="386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Minimum KX bond for registered Verifas attestors</w:t>
            </w:r>
          </w:p>
        </w:tc>
      </w:tr>
      <w:tr>
        <w:tc>
          <w:tcPr>
            <w:tcW w:type="dxa" w:w="24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long_horizon_memo_public_threshold_days</w:t>
            </w:r>
          </w:p>
        </w:tc>
        <w:tc>
          <w:tcPr>
            <w:tcW w:type="dxa" w:w="11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365</w:t>
            </w:r>
          </w:p>
        </w:tc>
        <w:tc>
          <w:tcPr>
            <w:tcW w:type="dxa" w:w="10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30</w:t>
            </w:r>
          </w:p>
        </w:tc>
        <w:tc>
          <w:tcPr>
            <w:tcW w:type="dxa" w:w="10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3,650</w:t>
            </w:r>
          </w:p>
        </w:tc>
        <w:tc>
          <w:tcPr>
            <w:tcW w:type="dxa" w:w="386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Promises beyond this unlock threshold may not carry public memos</w:t>
            </w:r>
          </w:p>
        </w:tc>
      </w:tr>
    </w:tbl>
    <w:p>
      <w:pPr>
        <w:spacing w:before="120" w:after="0"/>
      </w:pPr>
    </w:p>
    <w:p>
      <w:pPr>
        <w:spacing w:before="80" w:after="120"/>
        <w:jc w:val="both"/>
      </w:pPr>
      <w:r>
        <w:rPr>
          <w:rFonts w:ascii="Arial" w:cs="Arial" w:eastAsia="Arial" w:hAnsi="Arial"/>
          <w:i/>
          <w:iCs/>
          <w:color w:val="666666"/>
          <w:sz w:val="22"/>
          <w:szCs w:val="22"/>
        </w:rPr>
        <w:t xml:space="preserve">Note: The executor_fee_cap_pct ceiling of 7% is a genesis-level constant and cannot be raised by any governance action. All other parameters may be adjusted within their stated floor and ceiling by Foundation vote.</w:t>
      </w:r>
    </w:p>
    <w:p>
      <w:pPr>
        <w:spacing w:before="80" w:after="0"/>
      </w:pPr>
    </w:p>
    <w:p>
      <w:pPr>
        <w:pStyle w:val="Heading1"/>
        <w:spacing w:before="360" w:after="120"/>
      </w:pPr>
      <w:r>
        <w:rPr>
          <w:rFonts w:ascii="Arial" w:cs="Arial" w:eastAsia="Arial" w:hAnsi="Arial"/>
          <w:b/>
          <w:bCs/>
          <w:sz w:val="32"/>
          <w:szCs w:val="32"/>
        </w:rPr>
        <w:t xml:space="preserve">C.5 Payment Channels</w:t>
      </w:r>
    </w:p>
    <w:p>
      <w:pPr>
        <w:spacing w:before="80" w:after="120"/>
        <w:jc w:val="both"/>
      </w:pPr>
      <w:r>
        <w:rPr>
          <w:rFonts w:ascii="Arial" w:cs="Arial" w:eastAsia="Arial" w:hAnsi="Arial"/>
          <w:sz w:val="22"/>
          <w:szCs w:val="22"/>
        </w:rPr>
        <w:t xml:space="preserve">ChronX supports Payment Channels for high-frequency transaction relationships — including AI agents settling obligations at machine speed. A channel is opened with a single ChannelOpen vertex on the main DAG, recording both parties and the locked KX. All interior transactions occur off-chain between the two parties at arbitrary speed. When the channel closes, a single ChannelClose vertex records the net settlement and updates balances. The main DAG sees two vertices per channel regardless of how many transactions occurred inside.</w:t>
      </w:r>
    </w:p>
    <w:p>
      <w:pPr>
        <w:spacing w:before="80" w:after="120"/>
        <w:jc w:val="both"/>
      </w:pPr>
      <w:r>
        <w:rPr>
          <w:rFonts w:ascii="Arial" w:cs="Arial" w:eastAsia="Arial" w:hAnsi="Arial"/>
          <w:sz w:val="22"/>
          <w:szCs w:val="22"/>
        </w:rPr>
        <w:t xml:space="preserve">The channel_threshold_daily_tx parameter defines the volume at which the protocol recommends channel mode for a given relationship. As AI transaction volumes grow, the Foundation may adjust this threshold.</w:t>
      </w:r>
    </w:p>
    <w:p>
      <w:pPr>
        <w:spacing w:before="80" w:after="0"/>
      </w:pPr>
    </w:p>
    <w:p>
      <w:pPr>
        <w:pStyle w:val="Heading1"/>
        <w:spacing w:before="360" w:after="120"/>
      </w:pPr>
      <w:r>
        <w:rPr>
          <w:rFonts w:ascii="Arial" w:cs="Arial" w:eastAsia="Arial" w:hAnsi="Arial"/>
          <w:b/>
          <w:bCs/>
          <w:sz w:val="32"/>
          <w:szCs w:val="32"/>
        </w:rPr>
        <w:t xml:space="preserve">C.6 Verifas Attestor Governance</w:t>
      </w:r>
    </w:p>
    <w:p>
      <w:pPr>
        <w:spacing w:before="80" w:after="120"/>
        <w:jc w:val="both"/>
      </w:pPr>
      <w:r>
        <w:rPr>
          <w:rFonts w:ascii="Arial" w:cs="Arial" w:eastAsia="Arial" w:hAnsi="Arial"/>
          <w:sz w:val="22"/>
          <w:szCs w:val="22"/>
        </w:rPr>
        <w:t xml:space="preserve">The Foundation is the sole authority for admitting, suspending, and removing Verifas attestors. To be admitted, a candidate must post the minimum KX bond, demonstrate jurisdictional compliance, satisfy the Foundation's key management standards, and receive an on-chain governance vote. Attestors who fail to meet ongoing obligations are subject to bond slash and registry removal.</w:t>
      </w:r>
    </w:p>
    <w:p>
      <w:pPr>
        <w:spacing w:before="80" w:after="0"/>
      </w:pPr>
    </w:p>
    <w:p>
      <w:pPr>
        <w:pStyle w:val="Heading1"/>
        <w:spacing w:before="360" w:after="120"/>
      </w:pPr>
      <w:r>
        <w:rPr>
          <w:rFonts w:ascii="Arial" w:cs="Arial" w:eastAsia="Arial" w:hAnsi="Arial"/>
          <w:b/>
          <w:bCs/>
          <w:sz w:val="32"/>
          <w:szCs w:val="32"/>
        </w:rPr>
        <w:t xml:space="preserve">C.7 Immutable Constants</w:t>
      </w:r>
    </w:p>
    <w:p>
      <w:pPr>
        <w:spacing w:before="80" w:after="120"/>
        <w:jc w:val="both"/>
      </w:pPr>
      <w:r>
        <w:rPr>
          <w:rFonts w:ascii="Arial" w:cs="Arial" w:eastAsia="Arial" w:hAnsi="Arial"/>
          <w:sz w:val="22"/>
          <w:szCs w:val="22"/>
        </w:rPr>
        <w:t xml:space="preserve">The following constants are encoded at genesis and are permanently immutable. No Foundation vote, protocol upgrade, court order, or act of any kind can alter them.</w:t>
      </w:r>
    </w:p>
    <w:p>
      <w:pPr>
        <w:spacing w:before="80" w:after="0"/>
      </w:pPr>
    </w:p>
    <w:tbl>
      <w:tblPr>
        <w:tblW w:type="dxa" w:w="9360"/>
        <w:tblBorders>
          <w:top w:val="single" w:color="AA0000" w:sz="4"/>
          <w:left w:val="single" w:color="AA0000" w:sz="4"/>
          <w:bottom w:val="single" w:color="AA0000" w:sz="4"/>
          <w:right w:val="single" w:color="AA0000" w:sz="4"/>
          <w:insideH w:val="single" w:color="DDDDDD" w:sz="2"/>
          <w:insideV w:val="single" w:color="DDDDDD" w:sz="2"/>
        </w:tblBorders>
      </w:tblPr>
      <w:tblGrid>
        <w:gridCol w:w="2800"/>
        <w:gridCol w:w="1400"/>
        <w:gridCol w:w="5160"/>
      </w:tblGrid>
      <w:tr>
        <w:tc>
          <w:tcPr>
            <w:tcW w:type="dxa" w:w="2800"/>
            <w:shd w:fill="3A0000" w:val="clear"/>
            <w:tcMar>
              <w:top w:type="dxa" w:w="80"/>
              <w:left w:type="dxa" w:w="120"/>
              <w:bottom w:type="dxa" w:w="80"/>
              <w:right w:type="dxa" w:w="120"/>
            </w:tcMar>
          </w:tcPr>
          <w:p>
            <w:r>
              <w:rPr>
                <w:rFonts w:ascii="Arial" w:cs="Arial" w:eastAsia="Arial" w:hAnsi="Arial"/>
                <w:b/>
                <w:bCs/>
                <w:color w:val="FFFFFF"/>
                <w:sz w:val="18"/>
                <w:szCs w:val="18"/>
              </w:rPr>
              <w:t xml:space="preserve">Constant</w:t>
            </w:r>
          </w:p>
        </w:tc>
        <w:tc>
          <w:tcPr>
            <w:tcW w:type="dxa" w:w="1400"/>
            <w:shd w:fill="3A0000"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5160"/>
            <w:shd w:fill="3A0000" w:val="clear"/>
            <w:tcMar>
              <w:top w:type="dxa" w:w="80"/>
              <w:left w:type="dxa" w:w="120"/>
              <w:bottom w:type="dxa" w:w="80"/>
              <w:right w:type="dxa" w:w="120"/>
            </w:tcMar>
          </w:tcPr>
          <w:p>
            <w:r>
              <w:rPr>
                <w:rFonts w:ascii="Arial" w:cs="Arial" w:eastAsia="Arial" w:hAnsi="Arial"/>
                <w:b/>
                <w:bCs/>
                <w:color w:val="FFFFFF"/>
                <w:sz w:val="18"/>
                <w:szCs w:val="18"/>
              </w:rPr>
              <w:t xml:space="preserve">Why It Cannot Change</w:t>
            </w:r>
          </w:p>
        </w:tc>
      </w:tr>
      <w:tr>
        <w:tc>
          <w:tcPr>
            <w:tcW w:type="dxa" w:w="2800"/>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 KX Supply</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8,270,000,000 KX</w:t>
            </w:r>
          </w:p>
        </w:tc>
        <w:tc>
          <w:tcPr>
            <w:tcW w:type="dxa" w:w="5160"/>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Every promise on ChronX is denominated in KX. The supply is the unit of account.</w:t>
            </w:r>
          </w:p>
        </w:tc>
      </w:tr>
      <w:tr>
        <w:tc>
          <w:tcPr>
            <w:tcW w:type="dxa" w:w="2800"/>
            <w:shd w:fill="FFF0F0"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Transaction Fees</w:t>
            </w:r>
          </w:p>
        </w:tc>
        <w:tc>
          <w:tcPr>
            <w:tcW w:type="dxa" w:w="1400"/>
            <w:shd w:fill="FFF0F0" w:val="clear"/>
            <w:tcMar>
              <w:top w:type="dxa" w:w="80"/>
              <w:left w:type="dxa" w:w="120"/>
              <w:bottom w:type="dxa" w:w="80"/>
              <w:right w:type="dxa" w:w="120"/>
            </w:tcMar>
          </w:tcPr>
          <w:p>
            <w:r>
              <w:rPr>
                <w:rFonts w:ascii="Arial" w:cs="Arial" w:eastAsia="Arial" w:hAnsi="Arial"/>
                <w:b w:val="false"/>
                <w:bCs w:val="false"/>
                <w:color w:val="000000"/>
                <w:sz w:val="18"/>
                <w:szCs w:val="18"/>
              </w:rPr>
              <w:t xml:space="preserve">Zero. Forever.</w:t>
            </w:r>
          </w:p>
        </w:tc>
        <w:tc>
          <w:tcPr>
            <w:tcW w:type="dxa" w:w="5160"/>
            <w:shd w:fill="FFF0F0" w:val="clear"/>
            <w:tcMar>
              <w:top w:type="dxa" w:w="80"/>
              <w:left w:type="dxa" w:w="120"/>
              <w:bottom w:type="dxa" w:w="80"/>
              <w:right w:type="dxa" w:w="120"/>
            </w:tcMar>
          </w:tcPr>
          <w:p>
            <w:r>
              <w:rPr>
                <w:rFonts w:ascii="Arial" w:cs="Arial" w:eastAsia="Arial" w:hAnsi="Arial"/>
                <w:b w:val="false"/>
                <w:bCs w:val="false"/>
                <w:color w:val="000000"/>
                <w:sz w:val="18"/>
                <w:szCs w:val="18"/>
              </w:rPr>
              <w:t xml:space="preserve">A 100-year promise cannot carry an unknown future fee burden.</w:t>
            </w:r>
          </w:p>
        </w:tc>
      </w:tr>
      <w:tr>
        <w:tc>
          <w:tcPr>
            <w:tcW w:type="dxa" w:w="2800"/>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Executor Fee Ceiling</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 maximum</w:t>
            </w:r>
          </w:p>
        </w:tc>
        <w:tc>
          <w:tcPr>
            <w:tcW w:type="dxa" w:w="5160"/>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Grantors must trust that no future governance action will increase delivery costs. Ceiling can only move downward.</w:t>
            </w:r>
          </w:p>
        </w:tc>
      </w:tr>
      <w:tr>
        <w:tc>
          <w:tcPr>
            <w:tcW w:type="dxa" w:w="2800"/>
            <w:shd w:fill="FFF0F0" w:val="clear"/>
            <w:tcMar>
              <w:top w:type="dxa" w:w="80"/>
              <w:left w:type="dxa" w:w="120"/>
              <w:bottom w:type="dxa" w:w="80"/>
              <w:right w:type="dxa" w:w="120"/>
            </w:tcMar>
          </w:tcPr>
          <w:p>
            <w:r>
              <w:rPr>
                <w:rFonts w:ascii="Arial" w:cs="Arial" w:eastAsia="Arial" w:hAnsi="Arial"/>
                <w:b w:val="false"/>
                <w:bCs w:val="false"/>
                <w:color w:val="000000"/>
                <w:sz w:val="18"/>
                <w:szCs w:val="18"/>
              </w:rPr>
              <w:t xml:space="preserve">Promise Axioms (4)</w:t>
            </w:r>
          </w:p>
        </w:tc>
        <w:tc>
          <w:tcPr>
            <w:tcW w:type="dxa" w:w="1400"/>
            <w:shd w:fill="FFF0F0"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Genesis-encoded</w:t>
            </w:r>
          </w:p>
        </w:tc>
        <w:tc>
          <w:tcPr>
            <w:tcW w:type="dxa" w:w="5160"/>
            <w:shd w:fill="FFF0F0"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axioms are the protocol's constitution. A protocol that could alter its own axioms offers no meaningful guarantees.</w:t>
            </w:r>
          </w:p>
        </w:tc>
      </w:tr>
      <w:tr>
        <w:tc>
          <w:tcPr>
            <w:tcW w:type="dxa" w:w="2800"/>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AI Agent Axioms (6)</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Genesis-encoded</w:t>
            </w:r>
          </w:p>
        </w:tc>
        <w:tc>
          <w:tcPr>
            <w:tcW w:type="dxa" w:w="5160"/>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AI agents managing human financial obligations must operate under rules that cannot be changed after the fact.</w:t>
            </w:r>
          </w:p>
        </w:tc>
      </w:tr>
    </w:tbl>
    <w:p>
      <w:pPr>
        <w:spacing w:before="160" w:after="0"/>
      </w:pPr>
    </w:p>
    <w:p>
      <w:pPr>
        <w:pBdr>
          <w:bottom w:val="single" w:color="C9A84C" w:sz="6" w:space="1"/>
        </w:pBdr>
        <w:spacing w:before="200" w:after="200"/>
      </w:pPr>
    </w:p>
    <w:p>
      <w:pPr>
        <w:spacing w:before="80" w:after="80"/>
        <w:jc w:val="center"/>
      </w:pPr>
      <w:r>
        <w:rPr>
          <w:rFonts w:ascii="Arial" w:cs="Arial" w:eastAsia="Arial" w:hAnsi="Arial"/>
          <w:color w:val="666666"/>
          <w:sz w:val="18"/>
          <w:szCs w:val="18"/>
        </w:rPr>
        <w:t xml:space="preserve">End of Addendum C — ChronX Protocol Foundation Governance</w:t>
      </w:r>
    </w:p>
    <w:p>
      <w:r>
        <w:br w:type="page"/>
      </w:r>
    </w:p>
    <w:p>
      <w:pPr>
        <w:spacing w:before="200" w:after="80"/>
        <w:jc w:val="center"/>
      </w:pPr>
      <w:r>
        <w:rPr>
          <w:rFonts w:ascii="Arial" w:cs="Arial" w:eastAsia="Arial" w:hAnsi="Arial"/>
          <w:b/>
          <w:bCs/>
          <w:color w:val="C9A84C"/>
          <w:sz w:val="28"/>
          <w:szCs w:val="28"/>
        </w:rPr>
        <w:t xml:space="preserve">ADDENDUM D</w:t>
      </w:r>
    </w:p>
    <w:p>
      <w:pPr>
        <w:spacing w:before="0" w:after="80"/>
        <w:jc w:val="center"/>
      </w:pPr>
      <w:r>
        <w:rPr>
          <w:rFonts w:ascii="Arial" w:cs="Arial" w:eastAsia="Arial" w:hAnsi="Arial"/>
          <w:b/>
          <w:bCs/>
          <w:sz w:val="24"/>
          <w:szCs w:val="24"/>
        </w:rPr>
        <w:t xml:space="preserve">Technical Architecture</w:t>
      </w:r>
    </w:p>
    <w:p>
      <w:pPr>
        <w:spacing w:before="80" w:after="80"/>
        <w:jc w:val="center"/>
      </w:pPr>
      <w:r>
        <w:rPr>
          <w:rFonts w:ascii="Arial" w:cs="Arial" w:eastAsia="Arial" w:hAnsi="Arial"/>
          <w:color w:val="666666"/>
          <w:sz w:val="18"/>
          <w:szCs w:val="18"/>
        </w:rPr>
        <w:t xml:space="preserve">For developers building on ChronX. Full node specification, RPC reference, and action variant list.</w:t>
      </w:r>
    </w:p>
    <w:p>
      <w:pPr>
        <w:spacing w:before="160" w:after="0"/>
      </w:pPr>
    </w:p>
    <w:p>
      <w:pPr>
        <w:pStyle w:val="Heading1"/>
        <w:spacing w:before="360" w:after="120"/>
      </w:pPr>
      <w:r>
        <w:rPr>
          <w:rFonts w:ascii="Arial" w:cs="Arial" w:eastAsia="Arial" w:hAnsi="Arial"/>
          <w:b/>
          <w:bCs/>
          <w:sz w:val="32"/>
          <w:szCs w:val="32"/>
        </w:rPr>
        <w:t xml:space="preserve">D.1 DAG-Based Consensus</w:t>
      </w:r>
    </w:p>
    <w:p>
      <w:pPr>
        <w:spacing w:before="80" w:after="120"/>
        <w:jc w:val="both"/>
      </w:pPr>
      <w:r>
        <w:rPr>
          <w:rFonts w:ascii="Arial" w:cs="Arial" w:eastAsia="Arial" w:hAnsi="Arial"/>
          <w:sz w:val="22"/>
          <w:szCs w:val="22"/>
        </w:rPr>
        <w:t xml:space="preserve">ChronX uses a Directed Acyclic Graph (DAG) rather than a linear blockchain. Each transaction references previous transactions, creating a web of verified history. This provides higher throughput and lower latency than block-based chains and eliminates block size limitations.</w:t>
      </w:r>
    </w:p>
    <w:p>
      <w:pPr>
        <w:pStyle w:val="Heading1"/>
        <w:spacing w:before="360" w:after="120"/>
      </w:pPr>
      <w:r>
        <w:rPr>
          <w:rFonts w:ascii="Arial" w:cs="Arial" w:eastAsia="Arial" w:hAnsi="Arial"/>
          <w:b/>
          <w:bCs/>
          <w:sz w:val="32"/>
          <w:szCs w:val="32"/>
        </w:rPr>
        <w:t xml:space="preserve">D.2 Post-Quantum Cryptography</w:t>
      </w:r>
    </w:p>
    <w:p>
      <w:pPr>
        <w:spacing w:before="80" w:after="120"/>
        <w:jc w:val="both"/>
      </w:pPr>
      <w:r>
        <w:rPr>
          <w:rFonts w:ascii="Arial" w:cs="Arial" w:eastAsia="Arial" w:hAnsi="Arial"/>
          <w:sz w:val="22"/>
          <w:szCs w:val="22"/>
        </w:rPr>
        <w:t xml:space="preserve">All ChronX wallets use CRYSTALS-Dilithium2 digital signatures (NIST FIPS 204). Key sizes: public key 1,312 bytes, private key 2,528 bytes, signature 2,420 bytes. Account IDs are BLAKE3(Dilithium2 public key), Base58 encoded.</w:t>
      </w:r>
    </w:p>
    <w:p>
      <w:pPr>
        <w:pStyle w:val="Heading1"/>
        <w:spacing w:before="360" w:after="120"/>
      </w:pPr>
      <w:r>
        <w:rPr>
          <w:rFonts w:ascii="Arial" w:cs="Arial" w:eastAsia="Arial" w:hAnsi="Arial"/>
          <w:b/>
          <w:bCs/>
          <w:sz w:val="32"/>
          <w:szCs w:val="32"/>
        </w:rPr>
        <w:t xml:space="preserve">D.3 Zero Transaction Fees</w:t>
      </w:r>
    </w:p>
    <w:p>
      <w:pPr>
        <w:spacing w:before="80" w:after="120"/>
        <w:jc w:val="both"/>
      </w:pPr>
      <w:r>
        <w:rPr>
          <w:rFonts w:ascii="Arial" w:cs="Arial" w:eastAsia="Arial" w:hAnsi="Arial"/>
          <w:sz w:val="22"/>
          <w:szCs w:val="22"/>
        </w:rPr>
        <w:t xml:space="preserve">ChronX has no transaction fees. Each transaction requires Proof of Work (SHA3-256, 20-bit difficulty) as spam resistance. Per-wallet rate limiting provides additional protection at the engine level, enforced in Rust with persistent state across node restarts.</w:t>
      </w:r>
    </w:p>
    <w:p>
      <w:pPr>
        <w:pStyle w:val="Heading1"/>
        <w:spacing w:before="360" w:after="120"/>
      </w:pPr>
      <w:r>
        <w:rPr>
          <w:rFonts w:ascii="Arial" w:cs="Arial" w:eastAsia="Arial" w:hAnsi="Arial"/>
          <w:b/>
          <w:bCs/>
          <w:sz w:val="32"/>
          <w:szCs w:val="32"/>
        </w:rPr>
        <w:t xml:space="preserve">D.4 Genesis 10 — Action Variants</w:t>
      </w:r>
    </w:p>
    <w:p>
      <w:pPr>
        <w:spacing w:before="80" w:after="120"/>
        <w:jc w:val="both"/>
      </w:pPr>
      <w:r>
        <w:rPr>
          <w:rFonts w:ascii="Arial" w:cs="Arial" w:eastAsia="Arial" w:hAnsi="Arial"/>
          <w:sz w:val="22"/>
          <w:szCs w:val="22"/>
        </w:rPr>
        <w:t xml:space="preserve">Genesis 10 introduces 59 Action variants covering all ten payment types, loan primitives, channel operations, group management, and governance. The complete action reference is available at chronx.io/docs. Key loan primitives: LoanOffer (lender signs only), LoanAcceptance (borrower signs only), LoanExit (pro-rata settlement to exact second), LoanDecline, LoanOfferWithdrawn. Channel primitives: ChannelOpen (locks KX, records counterparty), ChannelClose (net settlement, updates balances).</w:t>
      </w:r>
    </w:p>
    <w:p>
      <w:pPr>
        <w:pStyle w:val="Heading1"/>
        <w:spacing w:before="360" w:after="120"/>
      </w:pPr>
      <w:r>
        <w:rPr>
          <w:rFonts w:ascii="Arial" w:cs="Arial" w:eastAsia="Arial" w:hAnsi="Arial"/>
          <w:b/>
          <w:bCs/>
          <w:sz w:val="32"/>
          <w:szCs w:val="32"/>
        </w:rPr>
        <w:t xml:space="preserve">D.5 Loan Storage</w:t>
      </w:r>
    </w:p>
    <w:p>
      <w:pPr>
        <w:spacing w:before="80" w:after="120"/>
        <w:jc w:val="both"/>
      </w:pPr>
      <w:r>
        <w:rPr>
          <w:rFonts w:ascii="Arial" w:cs="Arial" w:eastAsia="Arial" w:hAnsi="Arial"/>
          <w:sz w:val="22"/>
          <w:szCs w:val="22"/>
        </w:rPr>
        <w:t xml:space="preserve">All loan records are stored as JSON in the loans sled tree. A startup migration converts any legacy bincode records on first run. The storage format is consistent across all loan handlers: LoanOffer, LoanAcceptance, DefaultRecord, LoanReinstatement, LoanWriteOff, LoanEarlyPayoff, LoanCompletion, LoanExit.</w:t>
      </w:r>
    </w:p>
    <w:p>
      <w:pPr>
        <w:pStyle w:val="Heading1"/>
        <w:spacing w:before="360" w:after="120"/>
      </w:pPr>
      <w:r>
        <w:rPr>
          <w:rFonts w:ascii="Arial" w:cs="Arial" w:eastAsia="Arial" w:hAnsi="Arial"/>
          <w:b/>
          <w:bCs/>
          <w:sz w:val="32"/>
          <w:szCs w:val="32"/>
        </w:rPr>
        <w:t xml:space="preserve">D.6 Memo Privacy Implementation</w:t>
      </w:r>
    </w:p>
    <w:p>
      <w:pPr>
        <w:spacing w:before="80" w:after="120"/>
        <w:jc w:val="both"/>
      </w:pPr>
      <w:r>
        <w:rPr>
          <w:rFonts w:ascii="Arial" w:cs="Arial" w:eastAsia="Arial" w:hAnsi="Arial"/>
          <w:sz w:val="22"/>
          <w:szCs w:val="22"/>
        </w:rPr>
        <w:t xml:space="preserve">The memo_encrypted field (default: true) indicates whether the memo bytes are encrypted to the recipient's public key before submission. The node stores raw bytes and performs no decryption. memo_public (default: false) may be set by wallets with an active TYPE L IdentityVerified record. Promises with unlock &gt; 365 days reject memo_public=true at the engine level regardless of identity status.</w:t>
      </w:r>
    </w:p>
    <w:p>
      <w:pPr>
        <w:pStyle w:val="Heading1"/>
        <w:spacing w:before="360" w:after="120"/>
      </w:pPr>
      <w:r>
        <w:rPr>
          <w:rFonts w:ascii="Arial" w:cs="Arial" w:eastAsia="Arial" w:hAnsi="Arial"/>
          <w:b/>
          <w:bCs/>
          <w:sz w:val="32"/>
          <w:szCs w:val="32"/>
        </w:rPr>
        <w:t xml:space="preserve">D.7 Node Infrastructure</w:t>
      </w:r>
    </w:p>
    <w:p>
      <w:pPr>
        <w:spacing w:before="80" w:after="120"/>
        <w:jc w:val="both"/>
      </w:pPr>
      <w:r>
        <w:rPr>
          <w:rFonts w:ascii="Arial" w:cs="Arial" w:eastAsia="Arial" w:hAnsi="Arial"/>
          <w:sz w:val="22"/>
          <w:szCs w:val="22"/>
        </w:rPr>
        <w:t xml:space="preserve">Consensus: PoW SHA3-256, 20-bit difficulty. Storage: sled embedded database. Networking: libp2p with persistent Ed25519 P2P identity. RPC: JSON-RPC 2.0 on port 8545, bound to 127.0.0.1, nginx-fronted. All sweep intervals are governed by genesis-params.json and read at node startup — no hardcoded durations.</w:t>
      </w:r>
    </w:p>
    <w:p>
      <w:pPr>
        <w:pStyle w:val="Heading1"/>
        <w:spacing w:before="360" w:after="120"/>
      </w:pPr>
      <w:r>
        <w:rPr>
          <w:rFonts w:ascii="Arial" w:cs="Arial" w:eastAsia="Arial" w:hAnsi="Arial"/>
          <w:b/>
          <w:bCs/>
          <w:sz w:val="32"/>
          <w:szCs w:val="32"/>
        </w:rPr>
        <w:t xml:space="preserve">D.8 RPC Methods</w:t>
      </w:r>
    </w:p>
    <w:p>
      <w:pPr>
        <w:spacing w:before="80" w:after="120"/>
        <w:jc w:val="both"/>
      </w:pPr>
      <w:r>
        <w:rPr>
          <w:rFonts w:ascii="Arial" w:cs="Arial" w:eastAsia="Arial" w:hAnsi="Arial"/>
          <w:sz w:val="22"/>
          <w:szCs w:val="22"/>
        </w:rPr>
        <w:t xml:space="preserve">Public RPC prefix: chronx_. Key methods: getChainStats, getAccount, getLocks, getLockById, submitCascade, getLoansByWallet, getLoanPaymentHistory, getChannelInfo, getVerifierRegistry, getPromiseAxioms, getNetworkInfo. Full reference at chronx.io/docs.</w:t>
      </w:r>
    </w:p>
    <w:p>
      <w:pPr>
        <w:pBdr>
          <w:bottom w:val="single" w:color="C9A84C" w:sz="6" w:space="1"/>
        </w:pBdr>
        <w:spacing w:before="200" w:after="200"/>
      </w:pPr>
    </w:p>
    <w:p>
      <w:pPr>
        <w:spacing w:before="80" w:after="80"/>
        <w:jc w:val="center"/>
      </w:pPr>
      <w:r>
        <w:rPr>
          <w:rFonts w:ascii="Arial" w:cs="Arial" w:eastAsia="Arial" w:hAnsi="Arial"/>
          <w:color w:val="666666"/>
          <w:sz w:val="18"/>
          <w:szCs w:val="18"/>
        </w:rPr>
        <w:t xml:space="preserve">End of Addendum D — Technical Architecture</w:t>
      </w:r>
    </w:p>
    <w:p>
      <w:pPr>
        <w:pBdr>
          <w:bottom w:val="single" w:color="C9A84C" w:sz="6" w:space="1"/>
        </w:pBdr>
        <w:spacing w:before="200" w:after="200"/>
      </w:pPr>
    </w:p>
    <w:p>
      <w:pPr>
        <w:spacing w:before="80" w:after="0"/>
      </w:pPr>
    </w:p>
    <w:p>
      <w:pPr>
        <w:spacing w:before="80" w:after="80"/>
        <w:jc w:val="center"/>
      </w:pPr>
      <w:r>
        <w:rPr>
          <w:rFonts w:ascii="Arial" w:cs="Arial" w:eastAsia="Arial" w:hAnsi="Arial"/>
          <w:color w:val="666666"/>
          <w:sz w:val="18"/>
          <w:szCs w:val="18"/>
        </w:rPr>
        <w:t xml:space="preserve">ChronX Protocol Whitepaper v6.2  |  chronx.io  |  ICO: September 22,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pBdr>
        <w:bottom w:val="single" w:color="C9A84C" w:sz="4" w:space="4"/>
      </w:pBdr>
      <w:spacing w:before="360" w:after="120"/>
      <w:outlineLvl w:val="0"/>
    </w:pPr>
    <w:rPr>
      <w:rFonts w:ascii="Arial" w:cs="Arial" w:eastAsia="Arial" w:hAnsi="Arial"/>
      <w:b/>
      <w:bCs/>
      <w:color w:val="1A1A2E"/>
      <w:sz w:val="32"/>
      <w:szCs w:val="32"/>
    </w:rPr>
  </w:style>
  <w:style w:type="paragraph" w:styleId="Heading2">
    <w:name w:val="Heading 2"/>
    <w:basedOn w:val="Normal"/>
    <w:next w:val="Normal"/>
    <w:pPr>
      <w:spacing w:before="240" w:after="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2026-03-22T16:35:58.826Z</dcterms:created>
  <dcterms:modified xsi:type="dcterms:W3CDTF">2026-03-22T16:35:58.827Z</dcterms:modified>
</cp:coreProperties>
</file>

<file path=docProps/custom.xml><?xml version="1.0" encoding="utf-8"?>
<Properties xmlns="http://schemas.openxmlformats.org/officeDocument/2006/custom-properties" xmlns:vt="http://schemas.openxmlformats.org/officeDocument/2006/docPropsVTypes"/>
</file>