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240"/>
        <w:jc w:val="center"/>
      </w:pPr>
      <w:r>
        <w:drawing>
          <wp:inline distT="0" distB="0" distL="0" distR="0">
            <wp:extent cx="3429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29000" cy="685800"/>
                    </a:xfrm>
                    <a:prstGeom prst="rect">
                      <a:avLst/>
                    </a:prstGeom>
                  </pic:spPr>
                </pic:pic>
              </a:graphicData>
            </a:graphic>
          </wp:inline>
        </w:drawing>
      </w:r>
    </w:p>
    <w:p>
      <w:pPr>
        <w:spacing w:before="0" w:after="80"/>
        <w:jc w:val="center"/>
      </w:pPr>
      <w:r>
        <w:rPr>
          <w:rFonts w:ascii="Arial" w:cs="Arial" w:eastAsia="Arial" w:hAnsi="Arial"/>
          <w:b/>
          <w:bCs/>
          <w:color w:val="C9A84C"/>
          <w:sz w:val="64"/>
          <w:szCs w:val="64"/>
        </w:rPr>
        <w:t xml:space="preserve">CHRONX PROTOCOL</w:t>
      </w:r>
    </w:p>
    <w:p>
      <w:pPr>
        <w:spacing w:before="0" w:after="80"/>
        <w:jc w:val="center"/>
      </w:pPr>
      <w:r>
        <w:rPr>
          <w:rFonts w:ascii="Arial" w:cs="Arial" w:eastAsia="Arial" w:hAnsi="Arial"/>
          <w:color w:val="2E3A5C"/>
          <w:sz w:val="32"/>
          <w:szCs w:val="32"/>
        </w:rPr>
        <w:t xml:space="preserve">Whitepaper v5.3</w:t>
      </w:r>
    </w:p>
    <w:p>
      <w:pPr>
        <w:spacing w:before="0" w:after="160"/>
        <w:jc w:val="center"/>
      </w:pPr>
      <w:r>
        <w:rPr>
          <w:rFonts w:ascii="Arial" w:cs="Arial" w:eastAsia="Arial" w:hAnsi="Arial"/>
          <w:i/>
          <w:iCs/>
          <w:color w:val="666666"/>
          <w:sz w:val="28"/>
          <w:szCs w:val="28"/>
        </w:rPr>
        <w:t xml:space="preserve">The Future Payment Protocol</w:t>
      </w:r>
    </w:p>
    <w:p>
      <w:pPr>
        <w:pBdr>
          <w:bottom w:val="single" w:color="C9A84C" w:sz="4" w:space="1"/>
        </w:pBdr>
        <w:spacing w:before="200" w:after="200"/>
      </w:pPr>
      <w:r>
        <w:t xml:space="preserve"/>
      </w:r>
    </w:p>
    <w:p>
      <w:pPr>
        <w:spacing w:before="160" w:after="80"/>
        <w:jc w:val="center"/>
      </w:pPr>
      <w:r>
        <w:rPr>
          <w:rFonts w:ascii="Arial" w:cs="Arial" w:eastAsia="Arial" w:hAnsi="Arial"/>
          <w:b/>
          <w:bCs/>
          <w:color w:val="000000"/>
          <w:sz w:val="28"/>
          <w:szCs w:val="28"/>
        </w:rPr>
        <w:t xml:space="preserve">The Ledger for Long-Horizon Human Promises</w:t>
      </w:r>
    </w:p>
    <w:p>
      <w:pPr>
        <w:spacing w:before="0" w:after="240"/>
        <w:jc w:val="center"/>
      </w:pPr>
      <w:r>
        <w:rPr>
          <w:rFonts w:ascii="Arial" w:cs="Arial" w:eastAsia="Arial" w:hAnsi="Arial"/>
          <w:color w:val="666666"/>
          <w:sz w:val="22"/>
          <w:szCs w:val="22"/>
        </w:rPr>
        <w:t xml:space="preserve">Genesis 9  •  Post-Quantum Cryptography  •  Zero Fees</w:t>
      </w:r>
    </w:p>
    <w:p>
      <w:r>
        <w:t xml:space="preserve"/>
      </w:r>
    </w:p>
    <w:p>
      <w:r>
        <w:t xml:space="preserve"/>
      </w:r>
    </w:p>
    <w:p>
      <w:pPr>
        <w:spacing w:before="0" w:after="80"/>
        <w:jc w:val="center"/>
      </w:pPr>
      <w:r>
        <w:rPr>
          <w:rFonts w:ascii="Arial" w:cs="Arial" w:eastAsia="Arial" w:hAnsi="Arial"/>
          <w:b/>
          <w:bCs/>
          <w:color w:val="C9A84C"/>
          <w:sz w:val="24"/>
          <w:szCs w:val="24"/>
        </w:rPr>
        <w:t xml:space="preserve">ICO: September 22, 2026  •  $0.00319 per KX</w:t>
      </w:r>
    </w:p>
    <w:p>
      <w:pPr>
        <w:spacing w:before="0" w:after="0"/>
        <w:jc w:val="center"/>
      </w:pPr>
      <w:r>
        <w:rPr>
          <w:rFonts w:ascii="Arial" w:cs="Arial" w:eastAsia="Arial" w:hAnsi="Arial"/>
          <w:color w:val="2E3A5C"/>
          <w:sz w:val="24"/>
          <w:szCs w:val="24"/>
        </w:rPr>
        <w:t xml:space="preserve">chronx.io</w:t>
      </w:r>
    </w:p>
    <w:p>
      <w:r>
        <w:t xml:space="preserve"/>
      </w:r>
    </w:p>
    <w:p>
      <w:r>
        <w:t xml:space="preserve"/>
      </w:r>
    </w:p>
    <w:p>
      <w:r>
        <w:t xml:space="preserve"/>
      </w:r>
    </w:p>
    <w:p>
      <w:r>
        <w:t xml:space="preserve"/>
      </w:r>
    </w:p>
    <w:p>
      <w:r>
        <w:br w:type="page"/>
      </w:r>
    </w:p>
    <w:p>
      <w:pPr>
        <w:pStyle w:val="Heading1"/>
        <w:spacing w:before="400" w:after="120"/>
      </w:pPr>
      <w:r>
        <w:rPr>
          <w:rFonts w:ascii="Arial" w:cs="Arial" w:eastAsia="Arial" w:hAnsi="Arial"/>
          <w:b/>
          <w:bCs/>
          <w:color w:val="C9A84C"/>
          <w:sz w:val="36"/>
          <w:szCs w:val="36"/>
        </w:rPr>
        <w:t xml:space="preserve">1. Executive Summary</w:t>
      </w:r>
    </w:p>
    <w:p>
      <w:pPr>
        <w:spacing w:before="60" w:after="120"/>
        <w:jc w:val="both"/>
      </w:pPr>
      <w:r>
        <w:rPr>
          <w:rFonts w:ascii="Arial" w:cs="Arial" w:eastAsia="Arial" w:hAnsi="Arial"/>
          <w:b w:val="false"/>
          <w:bCs w:val="false"/>
          <w:i w:val="false"/>
          <w:iCs w:val="false"/>
          <w:color w:val="000000"/>
          <w:sz w:val="22"/>
          <w:szCs w:val="22"/>
        </w:rPr>
        <w:t xml:space="preserve">ChronX is a purpose-built blockchain protocol designed for one thing: making financial promises that are enforced by the protocol itself. Whether a payment is due tomorrow or in one hundred years, ChronX ensures it arrives automatically, securely, and without fees.</w:t>
      </w:r>
    </w:p>
    <w:p>
      <w:pPr>
        <w:spacing w:before="60" w:after="120"/>
        <w:jc w:val="both"/>
      </w:pPr>
      <w:r>
        <w:rPr>
          <w:rFonts w:ascii="Arial" w:cs="Arial" w:eastAsia="Arial" w:hAnsi="Arial"/>
          <w:b w:val="false"/>
          <w:bCs w:val="false"/>
          <w:i w:val="false"/>
          <w:iCs w:val="false"/>
          <w:color w:val="000000"/>
          <w:sz w:val="22"/>
          <w:szCs w:val="22"/>
        </w:rPr>
        <w:t xml:space="preserve">Unlike general-purpose blockchains retrofitted for payments, ChronX was built from the ground up for long-horizon financial obligations. Every element of the protocol — from post-quantum cryptography to the MISAI artificial intelligence layer — serves this single purpose.</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merely record that a promise was made. ChronX makes the promise inevitable."</w:t>
      </w:r>
    </w:p>
    <w:p>
      <w:pPr>
        <w:spacing w:before="60" w:after="120"/>
        <w:jc w:val="both"/>
      </w:pPr>
      <w:r>
        <w:rPr>
          <w:rFonts w:ascii="Arial" w:cs="Arial" w:eastAsia="Arial" w:hAnsi="Arial"/>
          <w:b/>
          <w:bCs/>
          <w:i w:val="false"/>
          <w:iCs w:val="false"/>
          <w:color w:val="000000"/>
          <w:sz w:val="22"/>
          <w:szCs w:val="22"/>
        </w:rPr>
        <w:t xml:space="preserve">Key facts:</w:t>
      </w:r>
    </w:p>
    <w:p>
      <w:pPr>
        <w:pStyle w:val="ListParagraph"/>
        <w:numPr>
          <w:ilvl w:val="0"/>
          <w:numId w:val="2"/>
        </w:numPr>
        <w:spacing w:before="40" w:after="40"/>
      </w:pPr>
      <w:r>
        <w:rPr>
          <w:rFonts w:ascii="Arial" w:cs="Arial" w:eastAsia="Arial" w:hAnsi="Arial"/>
          <w:b/>
          <w:bCs/>
          <w:sz w:val="22"/>
          <w:szCs w:val="22"/>
        </w:rPr>
        <w:t xml:space="preserve">Fixed supply</w:t>
      </w:r>
      <w:r>
        <w:rPr>
          <w:rFonts w:ascii="Arial" w:cs="Arial" w:eastAsia="Arial" w:hAnsi="Arial"/>
          <w:sz w:val="22"/>
          <w:szCs w:val="22"/>
        </w:rPr>
        <w:t xml:space="preserve">: 8,270,000,000 KX tokens. No inflation. Ever.</w:t>
      </w:r>
    </w:p>
    <w:p>
      <w:pPr>
        <w:pStyle w:val="ListParagraph"/>
        <w:numPr>
          <w:ilvl w:val="0"/>
          <w:numId w:val="2"/>
        </w:numPr>
        <w:spacing w:before="40" w:after="40"/>
      </w:pPr>
      <w:r>
        <w:rPr>
          <w:rFonts w:ascii="Arial" w:cs="Arial" w:eastAsia="Arial" w:hAnsi="Arial"/>
          <w:b/>
          <w:bCs/>
          <w:sz w:val="22"/>
          <w:szCs w:val="22"/>
        </w:rPr>
        <w:t xml:space="preserve">Zero fees</w:t>
      </w:r>
      <w:r>
        <w:rPr>
          <w:rFonts w:ascii="Arial" w:cs="Arial" w:eastAsia="Arial" w:hAnsi="Arial"/>
          <w:sz w:val="22"/>
          <w:szCs w:val="22"/>
        </w:rPr>
        <w:t xml:space="preserve">: Zero transaction fees on all transfers, promises, and loans.</w:t>
      </w:r>
    </w:p>
    <w:p>
      <w:pPr>
        <w:pStyle w:val="ListParagraph"/>
        <w:numPr>
          <w:ilvl w:val="0"/>
          <w:numId w:val="2"/>
        </w:numPr>
        <w:spacing w:before="40" w:after="40"/>
      </w:pPr>
      <w:r>
        <w:rPr>
          <w:rFonts w:ascii="Arial" w:cs="Arial" w:eastAsia="Arial" w:hAnsi="Arial"/>
          <w:b/>
          <w:bCs/>
          <w:sz w:val="22"/>
          <w:szCs w:val="22"/>
        </w:rPr>
        <w:t xml:space="preserve">Post-quantum cryptography</w:t>
      </w:r>
      <w:r>
        <w:rPr>
          <w:rFonts w:ascii="Arial" w:cs="Arial" w:eastAsia="Arial" w:hAnsi="Arial"/>
          <w:sz w:val="22"/>
          <w:szCs w:val="22"/>
        </w:rPr>
        <w:t xml:space="preserve">: CRYSTALS-Dilithium2 — secure against future quantum computers.</w:t>
      </w:r>
    </w:p>
    <w:p>
      <w:pPr>
        <w:pStyle w:val="ListParagraph"/>
        <w:numPr>
          <w:ilvl w:val="0"/>
          <w:numId w:val="2"/>
        </w:numPr>
        <w:spacing w:before="40" w:after="40"/>
      </w:pPr>
      <w:r>
        <w:rPr>
          <w:rFonts w:ascii="Arial" w:cs="Arial" w:eastAsia="Arial" w:hAnsi="Arial"/>
          <w:b/>
          <w:bCs/>
          <w:sz w:val="22"/>
          <w:szCs w:val="22"/>
        </w:rPr>
        <w:t xml:space="preserve">Time-locked payments</w:t>
      </w:r>
      <w:r>
        <w:rPr>
          <w:rFonts w:ascii="Arial" w:cs="Arial" w:eastAsia="Arial" w:hAnsi="Arial"/>
          <w:sz w:val="22"/>
          <w:szCs w:val="22"/>
        </w:rPr>
        <w:t xml:space="preserve">: Schedule any payment from one second to one hundred years in the future.</w:t>
      </w:r>
    </w:p>
    <w:p>
      <w:pPr>
        <w:pStyle w:val="ListParagraph"/>
        <w:numPr>
          <w:ilvl w:val="0"/>
          <w:numId w:val="2"/>
        </w:numPr>
        <w:spacing w:before="40" w:after="40"/>
      </w:pPr>
      <w:r>
        <w:rPr>
          <w:rFonts w:ascii="Arial" w:cs="Arial" w:eastAsia="Arial" w:hAnsi="Arial"/>
          <w:b/>
          <w:bCs/>
          <w:sz w:val="22"/>
          <w:szCs w:val="22"/>
        </w:rPr>
        <w:t xml:space="preserve">MISAI</w:t>
      </w:r>
      <w:r>
        <w:rPr>
          <w:rFonts w:ascii="Arial" w:cs="Arial" w:eastAsia="Arial" w:hAnsi="Arial"/>
          <w:sz w:val="22"/>
          <w:szCs w:val="22"/>
        </w:rPr>
        <w:t xml:space="preserve">: The first AI loan servicer and investment mandate executor built into a blockchain protocol.</w:t>
      </w:r>
    </w:p>
    <w:p>
      <w:pPr>
        <w:pStyle w:val="ListParagraph"/>
        <w:numPr>
          <w:ilvl w:val="0"/>
          <w:numId w:val="2"/>
        </w:numPr>
        <w:spacing w:before="40" w:after="40"/>
      </w:pPr>
      <w:r>
        <w:rPr>
          <w:rFonts w:ascii="Arial" w:cs="Arial" w:eastAsia="Arial" w:hAnsi="Arial"/>
          <w:b/>
          <w:bCs/>
          <w:sz w:val="22"/>
          <w:szCs w:val="22"/>
        </w:rPr>
        <w:t xml:space="preserve">Verifas</w:t>
      </w:r>
      <w:r>
        <w:rPr>
          <w:rFonts w:ascii="Arial" w:cs="Arial" w:eastAsia="Arial" w:hAnsi="Arial"/>
          <w:sz w:val="22"/>
          <w:szCs w:val="22"/>
        </w:rPr>
        <w:t xml:space="preserve">: A human attestation layer for long-horizon delivery when original contact information is no longer valid.</w:t>
      </w:r>
    </w:p>
    <w:p>
      <w:pPr>
        <w:pStyle w:val="ListParagraph"/>
        <w:numPr>
          <w:ilvl w:val="0"/>
          <w:numId w:val="2"/>
        </w:numPr>
        <w:spacing w:before="40" w:after="40"/>
      </w:pPr>
      <w:r>
        <w:rPr>
          <w:rFonts w:ascii="Arial" w:cs="Arial" w:eastAsia="Arial" w:hAnsi="Arial"/>
          <w:b/>
          <w:bCs/>
          <w:sz w:val="22"/>
          <w:szCs w:val="22"/>
        </w:rPr>
        <w:t xml:space="preserve">HedgeX</w:t>
      </w:r>
      <w:r>
        <w:rPr>
          <w:rFonts w:ascii="Arial" w:cs="Arial" w:eastAsia="Arial" w:hAnsi="Arial"/>
          <w:sz w:val="22"/>
          <w:szCs w:val="22"/>
        </w:rPr>
        <w:t xml:space="preserve">: A peer-to-peer currency risk marketplace connecting borrowers and KX holders.</w:t>
      </w:r>
    </w:p>
    <w:p>
      <w:pPr>
        <w:pStyle w:val="ListParagraph"/>
        <w:numPr>
          <w:ilvl w:val="0"/>
          <w:numId w:val="2"/>
        </w:numPr>
        <w:spacing w:before="40" w:after="40"/>
      </w:pPr>
      <w:r>
        <w:rPr>
          <w:rFonts w:ascii="Arial" w:cs="Arial" w:eastAsia="Arial" w:hAnsi="Arial"/>
          <w:b/>
          <w:bCs/>
          <w:sz w:val="22"/>
          <w:szCs w:val="22"/>
        </w:rPr>
        <w:t xml:space="preserve">ICO</w:t>
      </w:r>
      <w:r>
        <w:rPr>
          <w:rFonts w:ascii="Arial" w:cs="Arial" w:eastAsia="Arial" w:hAnsi="Arial"/>
          <w:sz w:val="22"/>
          <w:szCs w:val="22"/>
        </w:rPr>
        <w:t xml:space="preserve">: September 22, 2026 at $0.00319 per KX.</w:t>
      </w:r>
    </w:p>
    <w:p>
      <w:r>
        <w:br w:type="page"/>
      </w:r>
    </w:p>
    <w:p>
      <w:pPr>
        <w:pStyle w:val="Heading1"/>
        <w:spacing w:before="400" w:after="120"/>
      </w:pPr>
      <w:r>
        <w:rPr>
          <w:rFonts w:ascii="Arial" w:cs="Arial" w:eastAsia="Arial" w:hAnsi="Arial"/>
          <w:b/>
          <w:bCs/>
          <w:color w:val="C9A84C"/>
          <w:sz w:val="36"/>
          <w:szCs w:val="36"/>
        </w:rPr>
        <w:t xml:space="preserve">2. The Problem ChronX Solves</w:t>
      </w:r>
    </w:p>
    <w:p>
      <w:pPr>
        <w:spacing w:before="60" w:after="120"/>
        <w:jc w:val="both"/>
      </w:pPr>
      <w:r>
        <w:rPr>
          <w:rFonts w:ascii="Arial" w:cs="Arial" w:eastAsia="Arial" w:hAnsi="Arial"/>
          <w:b w:val="false"/>
          <w:bCs w:val="false"/>
          <w:i w:val="false"/>
          <w:iCs w:val="false"/>
          <w:color w:val="000000"/>
          <w:sz w:val="22"/>
          <w:szCs w:val="22"/>
        </w:rPr>
        <w:t xml:space="preserve">Every financial system in the world relies on promises. A mortgage is a promise to pay monthly for thirty years. A bond is a promise to pay coupons annually and return principal at maturity. Child support is a promise enforced by a court. A charitable pledge is a promise to give when conditions are met.</w:t>
      </w:r>
    </w:p>
    <w:p>
      <w:pPr>
        <w:spacing w:before="60" w:after="120"/>
        <w:jc w:val="both"/>
      </w:pPr>
      <w:r>
        <w:rPr>
          <w:rFonts w:ascii="Arial" w:cs="Arial" w:eastAsia="Arial" w:hAnsi="Arial"/>
          <w:b w:val="false"/>
          <w:bCs w:val="false"/>
          <w:i w:val="false"/>
          <w:iCs w:val="false"/>
          <w:color w:val="000000"/>
          <w:sz w:val="22"/>
          <w:szCs w:val="22"/>
        </w:rPr>
        <w:t xml:space="preserve">These promises share one vulnerability: they depend entirely on human institutions — banks, courts, lawyers, collection agencies — to enforce them. When those institutions fail, the promises fail.</w:t>
      </w:r>
    </w:p>
    <w:p>
      <w:pPr>
        <w:pStyle w:val="Heading2"/>
        <w:spacing w:before="280" w:after="120"/>
      </w:pPr>
      <w:r>
        <w:rPr>
          <w:rFonts w:ascii="Arial" w:cs="Arial" w:eastAsia="Arial" w:hAnsi="Arial"/>
          <w:b/>
          <w:bCs/>
          <w:color w:val="000000"/>
          <w:sz w:val="28"/>
          <w:szCs w:val="28"/>
        </w:rPr>
        <w:t xml:space="preserve">2.1 The Enforcement Gap</w:t>
      </w:r>
    </w:p>
    <w:p>
      <w:pPr>
        <w:spacing w:before="60" w:after="120"/>
        <w:jc w:val="both"/>
      </w:pPr>
      <w:r>
        <w:rPr>
          <w:rFonts w:ascii="Arial" w:cs="Arial" w:eastAsia="Arial" w:hAnsi="Arial"/>
          <w:b w:val="false"/>
          <w:bCs w:val="false"/>
          <w:i w:val="false"/>
          <w:iCs w:val="false"/>
          <w:color w:val="000000"/>
          <w:sz w:val="22"/>
          <w:szCs w:val="22"/>
        </w:rPr>
        <w:t xml:space="preserve">Traditional finance enforces promises through intermediaries. Each intermediary adds cost, delay, and the possibility of failure. ChronX removes every intermediary for the on-chain mechanics of a promise. A promise made on ChronX executes itself. The protocol is the contract, the bank, and the enforcement layer — simultaneously. What happens in the world off-chain remains subject to applicable law, as stated in Promise Axiom IV.</w:t>
      </w:r>
    </w:p>
    <w:p>
      <w:pPr>
        <w:pStyle w:val="Heading2"/>
        <w:spacing w:before="280" w:after="120"/>
      </w:pPr>
      <w:r>
        <w:rPr>
          <w:rFonts w:ascii="Arial" w:cs="Arial" w:eastAsia="Arial" w:hAnsi="Arial"/>
          <w:b/>
          <w:bCs/>
          <w:color w:val="000000"/>
          <w:sz w:val="28"/>
          <w:szCs w:val="28"/>
        </w:rPr>
        <w:t xml:space="preserve">2.2 The Time Horizon Problem</w:t>
      </w:r>
    </w:p>
    <w:p>
      <w:pPr>
        <w:spacing w:before="60" w:after="120"/>
        <w:jc w:val="both"/>
      </w:pPr>
      <w:r>
        <w:rPr>
          <w:rFonts w:ascii="Arial" w:cs="Arial" w:eastAsia="Arial" w:hAnsi="Arial"/>
          <w:b w:val="false"/>
          <w:bCs w:val="false"/>
          <w:i w:val="false"/>
          <w:iCs w:val="false"/>
          <w:color w:val="000000"/>
          <w:sz w:val="22"/>
          <w:szCs w:val="22"/>
        </w:rPr>
        <w:t xml:space="preserve">Most blockchain technology focuses on speed: transactions confirmed in seconds. ChronX solves the opposite problem: promises that must be honored over decades. No existing blockchain was designed to manage a payment scheduled one hundred years in the future, with the recipient's identity verified by a bonded human attestor if the original email address no longer exists.</w:t>
      </w:r>
    </w:p>
    <w:p>
      <w:r>
        <w:br w:type="page"/>
      </w:r>
    </w:p>
    <w:p>
      <w:pPr>
        <w:pStyle w:val="Heading1"/>
        <w:spacing w:before="400" w:after="120"/>
      </w:pPr>
      <w:r>
        <w:rPr>
          <w:rFonts w:ascii="Arial" w:cs="Arial" w:eastAsia="Arial" w:hAnsi="Arial"/>
          <w:b/>
          <w:bCs/>
          <w:color w:val="C9A84C"/>
          <w:sz w:val="36"/>
          <w:szCs w:val="36"/>
        </w:rPr>
        <w:t xml:space="preserve">3. The KX Token: A Utility, Not an Investment</w:t>
      </w:r>
    </w:p>
    <w:p>
      <w:pPr>
        <w:spacing w:before="60" w:after="120"/>
        <w:jc w:val="both"/>
      </w:pPr>
      <w:r>
        <w:rPr>
          <w:rFonts w:ascii="Arial" w:cs="Arial" w:eastAsia="Arial" w:hAnsi="Arial"/>
          <w:b w:val="false"/>
          <w:bCs w:val="false"/>
          <w:i w:val="false"/>
          <w:iCs w:val="false"/>
          <w:color w:val="000000"/>
          <w:sz w:val="22"/>
          <w:szCs w:val="22"/>
        </w:rPr>
        <w:t xml:space="preserve">KX is the transport mechanism of the ChronX protocol. It is the fuel that moves value through time — not a speculative asset.</w:t>
      </w:r>
    </w:p>
    <w:p>
      <w:pPr>
        <w:pStyle w:val="Heading2"/>
        <w:spacing w:before="280" w:after="120"/>
      </w:pPr>
      <w:r>
        <w:rPr>
          <w:rFonts w:ascii="Arial" w:cs="Arial" w:eastAsia="Arial" w:hAnsi="Arial"/>
          <w:b/>
          <w:bCs/>
          <w:color w:val="000000"/>
          <w:sz w:val="28"/>
          <w:szCs w:val="28"/>
        </w:rPr>
        <w:t xml:space="preserve">3.1 What KX Does</w:t>
      </w:r>
    </w:p>
    <w:p>
      <w:pPr>
        <w:pStyle w:val="ListParagraph"/>
        <w:numPr>
          <w:ilvl w:val="0"/>
          <w:numId w:val="2"/>
        </w:numPr>
        <w:spacing w:before="40" w:after="40"/>
      </w:pPr>
      <w:r>
        <w:rPr>
          <w:rFonts w:ascii="Arial" w:cs="Arial" w:eastAsia="Arial" w:hAnsi="Arial"/>
          <w:b/>
          <w:bCs/>
          <w:sz w:val="22"/>
          <w:szCs w:val="22"/>
        </w:rPr>
        <w:t xml:space="preserve">Transport</w:t>
      </w:r>
      <w:r>
        <w:rPr>
          <w:rFonts w:ascii="Arial" w:cs="Arial" w:eastAsia="Arial" w:hAnsi="Arial"/>
          <w:sz w:val="22"/>
          <w:szCs w:val="22"/>
        </w:rPr>
        <w:t xml:space="preserve">: KX carries value from sender to recipient across time.</w:t>
      </w:r>
    </w:p>
    <w:p>
      <w:pPr>
        <w:pStyle w:val="ListParagraph"/>
        <w:numPr>
          <w:ilvl w:val="0"/>
          <w:numId w:val="2"/>
        </w:numPr>
        <w:spacing w:before="40" w:after="40"/>
      </w:pPr>
      <w:r>
        <w:rPr>
          <w:rFonts w:ascii="Arial" w:cs="Arial" w:eastAsia="Arial" w:hAnsi="Arial"/>
          <w:b/>
          <w:bCs/>
          <w:sz w:val="22"/>
          <w:szCs w:val="22"/>
        </w:rPr>
        <w:t xml:space="preserve">Settlement</w:t>
      </w:r>
      <w:r>
        <w:rPr>
          <w:rFonts w:ascii="Arial" w:cs="Arial" w:eastAsia="Arial" w:hAnsi="Arial"/>
          <w:sz w:val="22"/>
          <w:szCs w:val="22"/>
        </w:rPr>
        <w:t xml:space="preserve">: All ChronX promises are settled in KX.</w:t>
      </w:r>
    </w:p>
    <w:p>
      <w:pPr>
        <w:pStyle w:val="ListParagraph"/>
        <w:numPr>
          <w:ilvl w:val="0"/>
          <w:numId w:val="2"/>
        </w:numPr>
        <w:spacing w:before="40" w:after="40"/>
      </w:pPr>
      <w:r>
        <w:rPr>
          <w:rFonts w:ascii="Arial" w:cs="Arial" w:eastAsia="Arial" w:hAnsi="Arial"/>
          <w:b/>
          <w:bCs/>
          <w:sz w:val="22"/>
          <w:szCs w:val="22"/>
        </w:rPr>
        <w:t xml:space="preserve">Governance</w:t>
      </w:r>
      <w:r>
        <w:rPr>
          <w:rFonts w:ascii="Arial" w:cs="Arial" w:eastAsia="Arial" w:hAnsi="Arial"/>
          <w:sz w:val="22"/>
          <w:szCs w:val="22"/>
        </w:rPr>
        <w:t xml:space="preserve">: KX is used to pay for protocol services including MISAI mandates and Verifas attestations.</w:t>
      </w:r>
    </w:p>
    <w:p>
      <w:pPr>
        <w:pStyle w:val="Heading2"/>
        <w:spacing w:before="280" w:after="120"/>
      </w:pPr>
      <w:r>
        <w:rPr>
          <w:rFonts w:ascii="Arial" w:cs="Arial" w:eastAsia="Arial" w:hAnsi="Arial"/>
          <w:b/>
          <w:bCs/>
          <w:color w:val="000000"/>
          <w:sz w:val="28"/>
          <w:szCs w:val="28"/>
        </w:rPr>
        <w:t xml:space="preserve">3.2 PAY_AS: The Denomination System</w:t>
      </w:r>
    </w:p>
    <w:p>
      <w:pPr>
        <w:spacing w:before="60" w:after="120"/>
        <w:jc w:val="both"/>
      </w:pPr>
      <w:r>
        <w:rPr>
          <w:rFonts w:ascii="Arial" w:cs="Arial" w:eastAsia="Arial" w:hAnsi="Arial"/>
          <w:b w:val="false"/>
          <w:bCs w:val="false"/>
          <w:i w:val="false"/>
          <w:iCs w:val="false"/>
          <w:color w:val="000000"/>
          <w:sz w:val="22"/>
          <w:szCs w:val="22"/>
        </w:rPr>
        <w:t xml:space="preserve">PAY_AS allows any loan or promise to be expressed in a real-world or digital currency. ChronX automatically calculates the KX equivalent at maturity using the MISAI price oracle. The borrower and lender agree on an amount in their chosen currency; KX is simply the pipe through which that value flows.</w:t>
      </w:r>
    </w:p>
    <w:p>
      <w:pPr>
        <w:pBdr>
          <w:left w:val="single" w:color="C9A84C" w:sz="6" w:space="10"/>
        </w:pBdr>
        <w:spacing w:before="160" w:after="160"/>
        <w:ind w:left="720" w:right="720"/>
      </w:pPr>
      <w:r>
        <w:rPr>
          <w:rFonts w:ascii="Arial" w:cs="Arial" w:eastAsia="Arial" w:hAnsi="Arial"/>
          <w:i/>
          <w:iCs/>
          <w:color w:val="2E3A5C"/>
          <w:sz w:val="22"/>
          <w:szCs w:val="22"/>
        </w:rPr>
        <w:t xml:space="preserve">"A user creating a USD-denominated promise is no more speculating on KX than a wire transfer customer is speculating on SWIFT message fees. KX is the pipe and the settlement layer — not the investment."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Fixed KX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Traditional mode. Amount fixed in KX at creation. Default for all transactions.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USD at Creation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Fixed in USD at creation time. MISAI calculates KX equivalent at maturity.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USD at Maturity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Fixed in USD. KX equivalent calculated at delivery using the 7-day moving average.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EUR at Creation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Fixed in Euros at creation time.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EUR at Maturity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Fixed in Euros. KX equivalent calculated at delivery.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BTC at Creation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Fixed in Bitcoin value at creation. MISAI calculates KX equivalent at maturity.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BTC at Maturity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Fixed in Bitcoin. KX equivalent calculated at delivery.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ETH at Creation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Fixed in Ethereum value at creation.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ETH at Maturity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Fixed in Ethereum. KX equivalent calculated at delivery.</w:t>
            </w:r>
          </w:p>
        </w:tc>
      </w:tr>
    </w:tbl>
    <w:p>
      <w:r>
        <w:t xml:space="preserve"/>
      </w:r>
    </w:p>
    <w:p>
      <w:pPr>
        <w:spacing w:before="60" w:after="120"/>
        <w:jc w:val="both"/>
      </w:pPr>
      <w:r>
        <w:rPr>
          <w:rFonts w:ascii="Arial" w:cs="Arial" w:eastAsia="Arial" w:hAnsi="Arial"/>
          <w:b w:val="false"/>
          <w:bCs w:val="false"/>
          <w:i w:val="false"/>
          <w:iCs w:val="false"/>
          <w:color w:val="000000"/>
          <w:sz w:val="22"/>
          <w:szCs w:val="22"/>
        </w:rPr>
        <w:t xml:space="preserve">Additional fiat and digital asset denominations may be added via Foundation governance as new oracle sources are approved.</w:t>
      </w:r>
    </w:p>
    <w:p>
      <w:pPr>
        <w:pStyle w:val="Heading2"/>
        <w:spacing w:before="280" w:after="120"/>
      </w:pPr>
      <w:r>
        <w:rPr>
          <w:rFonts w:ascii="Arial" w:cs="Arial" w:eastAsia="Arial" w:hAnsi="Arial"/>
          <w:b/>
          <w:bCs/>
          <w:color w:val="000000"/>
          <w:sz w:val="28"/>
          <w:szCs w:val="28"/>
        </w:rPr>
        <w:t xml:space="preserve">3.3 Regulatory Considerations</w:t>
      </w:r>
    </w:p>
    <w:p>
      <w:pPr>
        <w:spacing w:before="60" w:after="120"/>
        <w:jc w:val="both"/>
      </w:pPr>
      <w:r>
        <w:rPr>
          <w:rFonts w:ascii="Arial" w:cs="Arial" w:eastAsia="Arial" w:hAnsi="Arial"/>
          <w:b w:val="false"/>
          <w:bCs w:val="false"/>
          <w:i w:val="false"/>
          <w:iCs w:val="false"/>
          <w:color w:val="000000"/>
          <w:sz w:val="22"/>
          <w:szCs w:val="22"/>
        </w:rPr>
        <w:t xml:space="preserve">ChronX has been designed to function as a utility token. The PAY_AS denomination system is the clearest expression of this design: when obligations are denominated in fiat or digital currency and KX is used only as the transport mechanism, users are indifferent to the KX price for those transactions. ChronX does not provide legal or regulatory advice. Participants are responsible for compliance with the laws of their jurisdictions.</w:t>
      </w:r>
    </w:p>
    <w:p>
      <w:r>
        <w:br w:type="page"/>
      </w:r>
    </w:p>
    <w:p>
      <w:pPr>
        <w:pStyle w:val="Heading1"/>
        <w:spacing w:before="400" w:after="120"/>
      </w:pPr>
      <w:r>
        <w:rPr>
          <w:rFonts w:ascii="Arial" w:cs="Arial" w:eastAsia="Arial" w:hAnsi="Arial"/>
          <w:b/>
          <w:bCs/>
          <w:color w:val="C9A84C"/>
          <w:sz w:val="36"/>
          <w:szCs w:val="36"/>
        </w:rPr>
        <w:t xml:space="preserve">4. Protocol Payment Types</w:t>
      </w:r>
    </w:p>
    <w:p>
      <w:pPr>
        <w:spacing w:before="60" w:after="120"/>
        <w:jc w:val="both"/>
      </w:pPr>
      <w:r>
        <w:rPr>
          <w:rFonts w:ascii="Arial" w:cs="Arial" w:eastAsia="Arial" w:hAnsi="Arial"/>
          <w:b w:val="false"/>
          <w:bCs w:val="false"/>
          <w:i w:val="false"/>
          <w:iCs w:val="false"/>
          <w:color w:val="000000"/>
          <w:sz w:val="22"/>
          <w:szCs w:val="22"/>
        </w:rPr>
        <w:t xml:space="preserve">ChronX supports ten payment types covering every category of financial obligation. Detailed real-world use cases for each type are provided in Exhibit A. Plain-English explanations for each category are provided in Exhibit 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624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Transfer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Immediate KX transfer. Zero fees. Instant settlement.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Invoice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Recipient-gated payment request. Sender creates; recipient pays on their schedule.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Credit Authorization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Pre-authorized variable draws up to a ceiling. Ideal for subscription billing.</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Interest Bearing Deposit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Principal plus fixed interest obligation at maturity.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V</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Conditional Validity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M-of-N attestor-released payment. Funds release only when conditions are verified.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Ledger Entry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Bonded agent identity verification and promise chain anchoring.</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Wallet Group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Multi-wallet group creation and management for coordinated payments.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Payment Request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On-chain payment request with deep link support.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Lock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AI-managed investment and loan mandate. MISAI executor withdraws investable tranche, manages it, and delivers proceeds at maturity.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Debt Instrument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Structured loan with full payment schedule, PAY_AS denomination, and MISAI servicing.</w:t>
            </w:r>
          </w:p>
        </w:tc>
      </w:tr>
    </w:tbl>
    <w:p>
      <w:r>
        <w:br w:type="page"/>
      </w:r>
    </w:p>
    <w:p>
      <w:pPr>
        <w:pStyle w:val="Heading1"/>
        <w:spacing w:before="400" w:after="120"/>
      </w:pPr>
      <w:r>
        <w:rPr>
          <w:rFonts w:ascii="Arial" w:cs="Arial" w:eastAsia="Arial" w:hAnsi="Arial"/>
          <w:b/>
          <w:bCs/>
          <w:color w:val="C9A84C"/>
          <w:sz w:val="36"/>
          <w:szCs w:val="36"/>
        </w:rPr>
        <w:t xml:space="preserve">5. ChronX as Credit Infrastructure</w:t>
      </w:r>
    </w:p>
    <w:p>
      <w:pPr>
        <w:spacing w:before="60" w:after="120"/>
        <w:jc w:val="both"/>
      </w:pPr>
      <w:r>
        <w:rPr>
          <w:rFonts w:ascii="Arial" w:cs="Arial" w:eastAsia="Arial" w:hAnsi="Arial"/>
          <w:b w:val="false"/>
          <w:bCs w:val="false"/>
          <w:i w:val="false"/>
          <w:iCs w:val="false"/>
          <w:color w:val="000000"/>
          <w:sz w:val="22"/>
          <w:szCs w:val="22"/>
        </w:rPr>
        <w:t xml:space="preserve">ChronX is not a lending protocol. It does not create credit. What ChronX provides is the enforcement infrastructure for any credit agreement that humans choose to make.</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create credit. ChronX makes the repayment of credit inevitable — on-chain."</w:t>
      </w:r>
    </w:p>
    <w:p>
      <w:pPr>
        <w:pStyle w:val="Heading2"/>
        <w:spacing w:before="280" w:after="120"/>
      </w:pPr>
      <w:r>
        <w:rPr>
          <w:rFonts w:ascii="Arial" w:cs="Arial" w:eastAsia="Arial" w:hAnsi="Arial"/>
          <w:b/>
          <w:bCs/>
          <w:color w:val="000000"/>
          <w:sz w:val="28"/>
          <w:szCs w:val="28"/>
        </w:rPr>
        <w:t xml:space="preserve">5.1 How a Loan Works on ChronX</w:t>
      </w:r>
    </w:p>
    <w:p>
      <w:pPr>
        <w:pStyle w:val="ListParagraph"/>
        <w:numPr>
          <w:ilvl w:val="0"/>
          <w:numId w:val="2"/>
        </w:numPr>
        <w:spacing w:before="40" w:after="40"/>
      </w:pPr>
      <w:r>
        <w:rPr>
          <w:rFonts w:ascii="Arial" w:cs="Arial" w:eastAsia="Arial" w:hAnsi="Arial"/>
          <w:sz w:val="22"/>
          <w:szCs w:val="22"/>
        </w:rPr>
        <w:t xml:space="preserve">Lender sends KX to borrower (a TYPE T transfer).</w:t>
      </w:r>
    </w:p>
    <w:p>
      <w:pPr>
        <w:pStyle w:val="ListParagraph"/>
        <w:numPr>
          <w:ilvl w:val="0"/>
          <w:numId w:val="2"/>
        </w:numPr>
        <w:spacing w:before="40" w:after="40"/>
      </w:pPr>
      <w:r>
        <w:rPr>
          <w:rFonts w:ascii="Arial" w:cs="Arial" w:eastAsia="Arial" w:hAnsi="Arial"/>
          <w:sz w:val="22"/>
          <w:szCs w:val="22"/>
        </w:rPr>
        <w:t xml:space="preserve">Both parties create a TYPE D Debt Instrument encoding the full repayment schedule.</w:t>
      </w:r>
    </w:p>
    <w:p>
      <w:pPr>
        <w:pStyle w:val="ListParagraph"/>
        <w:numPr>
          <w:ilvl w:val="0"/>
          <w:numId w:val="2"/>
        </w:numPr>
        <w:spacing w:before="40" w:after="40"/>
      </w:pPr>
      <w:r>
        <w:rPr>
          <w:rFonts w:ascii="Arial" w:cs="Arial" w:eastAsia="Arial" w:hAnsi="Arial"/>
          <w:sz w:val="22"/>
          <w:szCs w:val="22"/>
        </w:rPr>
        <w:t xml:space="preserve">MISAI monitors the schedule automatically.</w:t>
      </w:r>
    </w:p>
    <w:p>
      <w:pPr>
        <w:pStyle w:val="ListParagraph"/>
        <w:numPr>
          <w:ilvl w:val="0"/>
          <w:numId w:val="2"/>
        </w:numPr>
        <w:spacing w:before="40" w:after="40"/>
      </w:pPr>
      <w:r>
        <w:rPr>
          <w:rFonts w:ascii="Arial" w:cs="Arial" w:eastAsia="Arial" w:hAnsi="Arial"/>
          <w:sz w:val="22"/>
          <w:szCs w:val="22"/>
        </w:rPr>
        <w:t xml:space="preserve">Payment received: MISAI marks it complete. Record is permanent.</w:t>
      </w:r>
    </w:p>
    <w:p>
      <w:pPr>
        <w:pStyle w:val="ListParagraph"/>
        <w:numPr>
          <w:ilvl w:val="0"/>
          <w:numId w:val="2"/>
        </w:numPr>
        <w:spacing w:before="40" w:after="40"/>
      </w:pPr>
      <w:r>
        <w:rPr>
          <w:rFonts w:ascii="Arial" w:cs="Arial" w:eastAsia="Arial" w:hAnsi="Arial"/>
          <w:sz w:val="22"/>
          <w:szCs w:val="22"/>
        </w:rPr>
        <w:t xml:space="preserve">Payment missed beyond grace period: MISAI sends one notice to each party, publishes a DefaultRecord, and exits. Both parties may wish to consult legal counsel.</w:t>
      </w:r>
    </w:p>
    <w:p>
      <w:pPr>
        <w:spacing w:before="60" w:after="120"/>
        <w:jc w:val="both"/>
      </w:pPr>
      <w:r>
        <w:rPr>
          <w:rFonts w:ascii="Arial" w:cs="Arial" w:eastAsia="Arial" w:hAnsi="Arial"/>
          <w:b w:val="false"/>
          <w:bCs w:val="false"/>
          <w:i w:val="false"/>
          <w:iCs w:val="false"/>
          <w:color w:val="000000"/>
          <w:sz w:val="22"/>
          <w:szCs w:val="22"/>
        </w:rPr>
        <w:t xml:space="preserve">ChronX makes no promises it cannot keep. It keeps every on-chain promise it makes.</w:t>
      </w:r>
    </w:p>
    <w:p>
      <w:pPr>
        <w:pStyle w:val="Heading2"/>
        <w:spacing w:before="280" w:after="120"/>
      </w:pPr>
      <w:r>
        <w:rPr>
          <w:rFonts w:ascii="Arial" w:cs="Arial" w:eastAsia="Arial" w:hAnsi="Arial"/>
          <w:b/>
          <w:bCs/>
          <w:color w:val="000000"/>
          <w:sz w:val="28"/>
          <w:szCs w:val="28"/>
        </w:rPr>
        <w:t xml:space="preserve">5.2 Payment Schedule Flexibility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Bullet Loan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principal and interest due at maturity. Ideal for bridge loans and zero-coupon bonds.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Interest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Periodic interest payments with full principal due at maturity.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Amortizing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Equal periodic payments covering both principal and interest.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Custom Schedule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 combination of payment dates and amounts. Grace periods, balloon payments.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High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Payments every hour, minute, or second. For AI agent settlement.</w:t>
            </w:r>
          </w:p>
        </w:tc>
      </w:tr>
    </w:tbl>
    <w:p>
      <w:r>
        <w:t xml:space="preserve"/>
      </w:r>
    </w:p>
    <w:p>
      <w:pPr>
        <w:pStyle w:val="Heading2"/>
        <w:spacing w:before="280" w:after="120"/>
      </w:pPr>
      <w:r>
        <w:rPr>
          <w:rFonts w:ascii="Arial" w:cs="Arial" w:eastAsia="Arial" w:hAnsi="Arial"/>
          <w:b/>
          <w:bCs/>
          <w:color w:val="000000"/>
          <w:sz w:val="28"/>
          <w:szCs w:val="28"/>
        </w:rPr>
        <w:t xml:space="preserve">5.3 Default, Reinstatement, and Write-Off</w:t>
      </w:r>
    </w:p>
    <w:p>
      <w:pPr>
        <w:spacing w:before="60" w:after="120"/>
        <w:jc w:val="both"/>
      </w:pPr>
      <w:r>
        <w:rPr>
          <w:rFonts w:ascii="Arial" w:cs="Arial" w:eastAsia="Arial" w:hAnsi="Arial"/>
          <w:b w:val="false"/>
          <w:bCs w:val="false"/>
          <w:i w:val="false"/>
          <w:iCs w:val="false"/>
          <w:color w:val="000000"/>
          <w:sz w:val="22"/>
          <w:szCs w:val="22"/>
        </w:rPr>
        <w:t xml:space="preserve">On default, MISAI sends one notification to each party, publishes one DefaultRecord, and exits. The record is permanent and cannot be disputed, sealed, or expunged. A defaulted loan may be reinstated at any time if both parties agree — no time limit. A lender may unilaterally write off a defaulted loan; the LoanWriteOff record provides cryptographically signed documentation suitable for tax filings.</w:t>
      </w:r>
    </w:p>
    <w:p>
      <w:pPr>
        <w:pStyle w:val="Heading2"/>
        <w:spacing w:before="280" w:after="120"/>
      </w:pPr>
      <w:r>
        <w:rPr>
          <w:rFonts w:ascii="Arial" w:cs="Arial" w:eastAsia="Arial" w:hAnsi="Arial"/>
          <w:b/>
          <w:bCs/>
          <w:color w:val="000000"/>
          <w:sz w:val="28"/>
          <w:szCs w:val="28"/>
        </w:rPr>
        <w:t xml:space="preserve">5.4 Late Fee Schedules</w:t>
      </w:r>
    </w:p>
    <w:p>
      <w:pPr>
        <w:spacing w:before="60" w:after="120"/>
        <w:jc w:val="both"/>
      </w:pPr>
      <w:r>
        <w:rPr>
          <w:rFonts w:ascii="Arial" w:cs="Arial" w:eastAsia="Arial" w:hAnsi="Arial"/>
          <w:b w:val="false"/>
          <w:bCs w:val="false"/>
          <w:i w:val="false"/>
          <w:iCs w:val="false"/>
          <w:color w:val="000000"/>
          <w:sz w:val="22"/>
          <w:szCs w:val="22"/>
        </w:rPr>
        <w:t xml:space="preserve">Late fees are encoded at loan creation: None; Flat Fee; or Tiered Escalating (different percentages at different overdue thresholds, freezing at default). No surprise fees.</w:t>
      </w:r>
    </w:p>
    <w:p>
      <w:r>
        <w:br w:type="page"/>
      </w:r>
    </w:p>
    <w:p>
      <w:pPr>
        <w:pStyle w:val="Heading1"/>
        <w:spacing w:before="400" w:after="120"/>
      </w:pPr>
      <w:r>
        <w:rPr>
          <w:rFonts w:ascii="Arial" w:cs="Arial" w:eastAsia="Arial" w:hAnsi="Arial"/>
          <w:b/>
          <w:bCs/>
          <w:color w:val="C9A84C"/>
          <w:sz w:val="36"/>
          <w:szCs w:val="36"/>
        </w:rPr>
        <w:t xml:space="preserve">6. Currency Risk and HedgeX</w:t>
      </w:r>
    </w:p>
    <w:p>
      <w:pPr>
        <w:pStyle w:val="Heading2"/>
        <w:spacing w:before="280" w:after="120"/>
      </w:pPr>
      <w:r>
        <w:rPr>
          <w:rFonts w:ascii="Arial" w:cs="Arial" w:eastAsia="Arial" w:hAnsi="Arial"/>
          <w:b/>
          <w:bCs/>
          <w:color w:val="000000"/>
          <w:sz w:val="28"/>
          <w:szCs w:val="28"/>
        </w:rPr>
        <w:t xml:space="preserve">6.1 The MISAI Oracle</w:t>
      </w:r>
    </w:p>
    <w:p>
      <w:pPr>
        <w:spacing w:before="60" w:after="120"/>
        <w:jc w:val="both"/>
      </w:pPr>
      <w:r>
        <w:rPr>
          <w:rFonts w:ascii="Arial" w:cs="Arial" w:eastAsia="Arial" w:hAnsi="Arial"/>
          <w:b w:val="false"/>
          <w:bCs w:val="false"/>
          <w:i w:val="false"/>
          <w:iCs w:val="false"/>
          <w:color w:val="000000"/>
          <w:sz w:val="22"/>
          <w:szCs w:val="22"/>
        </w:rPr>
        <w:t xml:space="preserve">MISAI maintains a real-time oracle of the KX/USDC exchange rate, sourced from the protocol's Uniswap v3 liquidity pool on Base. A 7-day moving average, updated every six hours, provides manipulation-resistant price data for PAY_AS calculations and HedgeX settlements. If the oracle is unavailable at maturity, ChronX retries every six hours for three days before notifying both parties to agree on settlement terms manually.</w:t>
      </w:r>
    </w:p>
    <w:p>
      <w:pPr>
        <w:spacing w:before="60" w:after="120"/>
        <w:jc w:val="both"/>
      </w:pPr>
      <w:r>
        <w:rPr>
          <w:rFonts w:ascii="Arial" w:cs="Arial" w:eastAsia="Arial" w:hAnsi="Arial"/>
          <w:b w:val="false"/>
          <w:bCs w:val="false"/>
          <w:i w:val="false"/>
          <w:iCs w:val="false"/>
          <w:color w:val="000000"/>
          <w:sz w:val="22"/>
          <w:szCs w:val="22"/>
        </w:rPr>
        <w:t xml:space="preserve">Note: The reliability of PAY_AS calculations depends on the depth and continuity of the KX/USDC liquidity pool. ChronX is committed to maintaining adequate on-chain liquidity as a protocol priority.</w:t>
      </w:r>
    </w:p>
    <w:p>
      <w:pPr>
        <w:pStyle w:val="Heading2"/>
        <w:spacing w:before="280" w:after="120"/>
      </w:pPr>
      <w:r>
        <w:rPr>
          <w:rFonts w:ascii="Arial" w:cs="Arial" w:eastAsia="Arial" w:hAnsi="Arial"/>
          <w:b/>
          <w:bCs/>
          <w:color w:val="000000"/>
          <w:sz w:val="28"/>
          <w:szCs w:val="28"/>
        </w:rPr>
        <w:t xml:space="preserve">6.2 HedgeX: The Peer-to-Peer Hedge Marketplace</w:t>
      </w:r>
    </w:p>
    <w:p>
      <w:pPr>
        <w:spacing w:before="60" w:after="120"/>
        <w:jc w:val="both"/>
      </w:pPr>
      <w:r>
        <w:rPr>
          <w:rFonts w:ascii="Arial" w:cs="Arial" w:eastAsia="Arial" w:hAnsi="Arial"/>
          <w:b w:val="false"/>
          <w:bCs w:val="false"/>
          <w:i w:val="false"/>
          <w:iCs w:val="false"/>
          <w:color w:val="000000"/>
          <w:sz w:val="22"/>
          <w:szCs w:val="22"/>
        </w:rPr>
        <w:t xml:space="preserve">HedgeX connects borrowers seeking currency risk protection with KX holders willing to provide it. ChronX does not issue, underwrite, guarantee, or take positions in any hedge contract. All contracts are directly between participants. HedgeX is backed by a 10,000,000 KX performance bond.</w:t>
      </w:r>
    </w:p>
    <w:p>
      <w:pPr>
        <w:pStyle w:val="ListParagraph"/>
        <w:numPr>
          <w:ilvl w:val="0"/>
          <w:numId w:val="2"/>
        </w:numPr>
        <w:spacing w:before="40" w:after="40"/>
      </w:pPr>
      <w:r>
        <w:rPr>
          <w:rFonts w:ascii="Arial" w:cs="Arial" w:eastAsia="Arial" w:hAnsi="Arial"/>
          <w:sz w:val="22"/>
          <w:szCs w:val="22"/>
        </w:rPr>
        <w:t xml:space="preserve">A borrower posts a hedge campaign specifying coverage needed and the premium offered.</w:t>
      </w:r>
    </w:p>
    <w:p>
      <w:pPr>
        <w:pStyle w:val="ListParagraph"/>
        <w:numPr>
          <w:ilvl w:val="0"/>
          <w:numId w:val="2"/>
        </w:numPr>
        <w:spacing w:before="40" w:after="40"/>
      </w:pPr>
      <w:r>
        <w:rPr>
          <w:rFonts w:ascii="Arial" w:cs="Arial" w:eastAsia="Arial" w:hAnsi="Arial"/>
          <w:sz w:val="22"/>
          <w:szCs w:val="22"/>
        </w:rPr>
        <w:t xml:space="preserve">KX holders pledge any amount — as little as 16 KX — to fund the campaign.</w:t>
      </w:r>
    </w:p>
    <w:p>
      <w:pPr>
        <w:pStyle w:val="ListParagraph"/>
        <w:numPr>
          <w:ilvl w:val="0"/>
          <w:numId w:val="2"/>
        </w:numPr>
        <w:spacing w:before="40" w:after="40"/>
      </w:pPr>
      <w:r>
        <w:rPr>
          <w:rFonts w:ascii="Arial" w:cs="Arial" w:eastAsia="Arial" w:hAnsi="Arial"/>
          <w:sz w:val="22"/>
          <w:szCs w:val="22"/>
        </w:rPr>
        <w:t xml:space="preserve">If the campaign reaches its threshold, the hedge is funded and the loan proceeds.</w:t>
      </w:r>
    </w:p>
    <w:p>
      <w:pPr>
        <w:pStyle w:val="ListParagraph"/>
        <w:numPr>
          <w:ilvl w:val="0"/>
          <w:numId w:val="2"/>
        </w:numPr>
        <w:spacing w:before="40" w:after="40"/>
      </w:pPr>
      <w:r>
        <w:rPr>
          <w:rFonts w:ascii="Arial" w:cs="Arial" w:eastAsia="Arial" w:hAnsi="Arial"/>
          <w:sz w:val="22"/>
          <w:szCs w:val="22"/>
        </w:rPr>
        <w:t xml:space="preserve">If the campaign fails, all pledges are automatically returned. No funds are lost.</w:t>
      </w:r>
    </w:p>
    <w:p>
      <w:pPr>
        <w:pStyle w:val="ListParagraph"/>
        <w:numPr>
          <w:ilvl w:val="0"/>
          <w:numId w:val="2"/>
        </w:numPr>
        <w:spacing w:before="40" w:after="40"/>
      </w:pPr>
      <w:r>
        <w:rPr>
          <w:rFonts w:ascii="Arial" w:cs="Arial" w:eastAsia="Arial" w:hAnsi="Arial"/>
          <w:sz w:val="22"/>
          <w:szCs w:val="22"/>
        </w:rPr>
        <w:t xml:space="preserve">MISAI monitors the hedge and distributes premiums automatically on schedule.</w:t>
      </w:r>
    </w:p>
    <w:p>
      <w:pPr>
        <w:pBdr>
          <w:left w:val="single" w:color="C9A84C" w:sz="6" w:space="10"/>
        </w:pBdr>
        <w:spacing w:before="160" w:after="160"/>
        <w:ind w:left="720" w:right="720"/>
      </w:pPr>
      <w:r>
        <w:rPr>
          <w:rFonts w:ascii="Arial" w:cs="Arial" w:eastAsia="Arial" w:hAnsi="Arial"/>
          <w:i/>
          <w:iCs/>
          <w:color w:val="2E3A5C"/>
          <w:sz w:val="22"/>
          <w:szCs w:val="22"/>
        </w:rPr>
        <w:t xml:space="preserve">"For the first time in financial history, the tools of institutional currency risk management are available to every human with a wallet."</w:t>
      </w:r>
    </w:p>
    <w:p>
      <w:r>
        <w:br w:type="page"/>
      </w:r>
    </w:p>
    <w:p>
      <w:pPr>
        <w:pStyle w:val="Heading1"/>
        <w:spacing w:before="400" w:after="120"/>
      </w:pPr>
      <w:r>
        <w:rPr>
          <w:rFonts w:ascii="Arial" w:cs="Arial" w:eastAsia="Arial" w:hAnsi="Arial"/>
          <w:b/>
          <w:bCs/>
          <w:color w:val="C9A84C"/>
          <w:sz w:val="36"/>
          <w:szCs w:val="36"/>
        </w:rPr>
        <w:t xml:space="preserve">7. MISAI: The AI Executor Layer</w:t>
      </w:r>
    </w:p>
    <w:p>
      <w:pPr>
        <w:spacing w:before="60" w:after="120"/>
        <w:jc w:val="both"/>
      </w:pPr>
      <w:r>
        <w:rPr>
          <w:rFonts w:ascii="Arial" w:cs="Arial" w:eastAsia="Arial" w:hAnsi="Arial"/>
          <w:b w:val="false"/>
          <w:bCs w:val="false"/>
          <w:i w:val="false"/>
          <w:iCs w:val="false"/>
          <w:color w:val="000000"/>
          <w:sz w:val="22"/>
          <w:szCs w:val="22"/>
        </w:rPr>
        <w:t xml:space="preserve">MISAI is the artificial intelligence layer of the ChronX protocol — the first AI system purpose-built to manage long-horizon financial obligations on a blockchain. MISAI is backed by a 10,000,000 KX performance bond.</w:t>
      </w:r>
    </w:p>
    <w:p>
      <w:pPr>
        <w:spacing w:before="60" w:after="120"/>
        <w:jc w:val="both"/>
      </w:pPr>
      <w:r>
        <w:rPr>
          <w:rFonts w:ascii="Arial" w:cs="Arial" w:eastAsia="Arial" w:hAnsi="Arial"/>
          <w:b w:val="false"/>
          <w:bCs w:val="false"/>
          <w:i w:val="false"/>
          <w:iCs w:val="false"/>
          <w:color w:val="000000"/>
          <w:sz w:val="22"/>
          <w:szCs w:val="22"/>
        </w:rPr>
        <w:t xml:space="preserve">MISAI operates on a fundamental principle encoded as one of the six AI Agent Axioms at genesis:</w:t>
      </w:r>
    </w:p>
    <w:p>
      <w:pPr>
        <w:pBdr>
          <w:left w:val="single" w:color="C9A84C" w:sz="6" w:space="10"/>
        </w:pBdr>
        <w:spacing w:before="160" w:after="160"/>
        <w:ind w:left="720" w:right="720"/>
      </w:pPr>
      <w:r>
        <w:rPr>
          <w:rFonts w:ascii="Arial" w:cs="Arial" w:eastAsia="Arial" w:hAnsi="Arial"/>
          <w:i/>
          <w:iCs/>
          <w:color w:val="2E3A5C"/>
          <w:sz w:val="22"/>
          <w:szCs w:val="22"/>
        </w:rPr>
        <w:t xml:space="preserve">"Axiom IV — Separation: The agent that decides does not hold funds. The agent that holds does not decide."</w:t>
      </w:r>
    </w:p>
    <w:p>
      <w:pPr>
        <w:spacing w:before="60" w:after="120"/>
        <w:jc w:val="both"/>
      </w:pPr>
      <w:r>
        <w:rPr>
          <w:rFonts w:ascii="Arial" w:cs="Arial" w:eastAsia="Arial" w:hAnsi="Arial"/>
          <w:b w:val="false"/>
          <w:bCs w:val="false"/>
          <w:i w:val="false"/>
          <w:iCs w:val="false"/>
          <w:color w:val="000000"/>
          <w:sz w:val="22"/>
          <w:szCs w:val="22"/>
        </w:rPr>
        <w:t xml:space="preserve">This axiom refers to the separation of the decision-making agent from the custody agent — not a statement that KX never moves. In a TYPE M (MISAI Lock), MISAI's executor wallet is authorized by the lock itself to withdraw the investable tranche, manage it according to the encoded mandate, and return the proceeds to the beneficiary at maturity. The KX moves — but always through protocol-authorized channels, always with a permanent public record of every action, and always under the governance of the six AI Agent Axioms.</w:t>
      </w:r>
    </w:p>
    <w:p>
      <w:pPr>
        <w:pStyle w:val="Heading2"/>
        <w:spacing w:before="280" w:after="120"/>
      </w:pPr>
      <w:r>
        <w:rPr>
          <w:rFonts w:ascii="Arial" w:cs="Arial" w:eastAsia="Arial" w:hAnsi="Arial"/>
          <w:b/>
          <w:bCs/>
          <w:color w:val="000000"/>
          <w:sz w:val="28"/>
          <w:szCs w:val="28"/>
        </w:rPr>
        <w:t xml:space="preserve">7.1 How a TYPE M Lock Works</w:t>
      </w:r>
    </w:p>
    <w:p>
      <w:pPr>
        <w:pStyle w:val="ListParagraph"/>
        <w:numPr>
          <w:ilvl w:val="0"/>
          <w:numId w:val="2"/>
        </w:numPr>
        <w:spacing w:before="40" w:after="40"/>
      </w:pPr>
      <w:r>
        <w:rPr>
          <w:rFonts w:ascii="Arial" w:cs="Arial" w:eastAsia="Arial" w:hAnsi="Arial"/>
          <w:sz w:val="22"/>
          <w:szCs w:val="22"/>
        </w:rPr>
        <w:t xml:space="preserve">Grantor creates a TYPE M lock specifying the investable fraction, management mandate, and beneficiary.</w:t>
      </w:r>
    </w:p>
    <w:p>
      <w:pPr>
        <w:pStyle w:val="ListParagraph"/>
        <w:numPr>
          <w:ilvl w:val="0"/>
          <w:numId w:val="2"/>
        </w:numPr>
        <w:spacing w:before="40" w:after="40"/>
      </w:pPr>
      <w:r>
        <w:rPr>
          <w:rFonts w:ascii="Arial" w:cs="Arial" w:eastAsia="Arial" w:hAnsi="Arial"/>
          <w:sz w:val="22"/>
          <w:szCs w:val="22"/>
        </w:rPr>
        <w:t xml:space="preserve">The KX is locked on the DAG. It does not move at creation.</w:t>
      </w:r>
    </w:p>
    <w:p>
      <w:pPr>
        <w:pStyle w:val="ListParagraph"/>
        <w:numPr>
          <w:ilvl w:val="0"/>
          <w:numId w:val="2"/>
        </w:numPr>
        <w:spacing w:before="40" w:after="40"/>
      </w:pPr>
      <w:r>
        <w:rPr>
          <w:rFonts w:ascii="Arial" w:cs="Arial" w:eastAsia="Arial" w:hAnsi="Arial"/>
          <w:sz w:val="22"/>
          <w:szCs w:val="22"/>
        </w:rPr>
        <w:t xml:space="preserve">MISAI queries the blockchain for TYPE M locks it is authorized to manage.</w:t>
      </w:r>
    </w:p>
    <w:p>
      <w:pPr>
        <w:pStyle w:val="ListParagraph"/>
        <w:numPr>
          <w:ilvl w:val="0"/>
          <w:numId w:val="2"/>
        </w:numPr>
        <w:spacing w:before="40" w:after="40"/>
      </w:pPr>
      <w:r>
        <w:rPr>
          <w:rFonts w:ascii="Arial" w:cs="Arial" w:eastAsia="Arial" w:hAnsi="Arial"/>
          <w:sz w:val="22"/>
          <w:szCs w:val="22"/>
        </w:rPr>
        <w:t xml:space="preserve">MISAI's bonded executor wallet requests and receives the investable tranche from the protocol.</w:t>
      </w:r>
    </w:p>
    <w:p>
      <w:pPr>
        <w:pStyle w:val="ListParagraph"/>
        <w:numPr>
          <w:ilvl w:val="0"/>
          <w:numId w:val="2"/>
        </w:numPr>
        <w:spacing w:before="40" w:after="40"/>
      </w:pPr>
      <w:r>
        <w:rPr>
          <w:rFonts w:ascii="Arial" w:cs="Arial" w:eastAsia="Arial" w:hAnsi="Arial"/>
          <w:sz w:val="22"/>
          <w:szCs w:val="22"/>
        </w:rPr>
        <w:t xml:space="preserve">MISAI converts to USDC via XChan and executes the investment mandate autonomously.</w:t>
      </w:r>
    </w:p>
    <w:p>
      <w:pPr>
        <w:pStyle w:val="ListParagraph"/>
        <w:numPr>
          <w:ilvl w:val="0"/>
          <w:numId w:val="2"/>
        </w:numPr>
        <w:spacing w:before="40" w:after="40"/>
      </w:pPr>
      <w:r>
        <w:rPr>
          <w:rFonts w:ascii="Arial" w:cs="Arial" w:eastAsia="Arial" w:hAnsi="Arial"/>
          <w:sz w:val="22"/>
          <w:szCs w:val="22"/>
        </w:rPr>
        <w:t xml:space="preserve">At maturity, MISAI reconverts proceeds to KX via XChan and delivers them to the beneficiary wallet.</w:t>
      </w:r>
    </w:p>
    <w:p>
      <w:pPr>
        <w:pStyle w:val="ListParagraph"/>
        <w:numPr>
          <w:ilvl w:val="0"/>
          <w:numId w:val="2"/>
        </w:numPr>
        <w:spacing w:before="40" w:after="40"/>
      </w:pPr>
      <w:r>
        <w:rPr>
          <w:rFonts w:ascii="Arial" w:cs="Arial" w:eastAsia="Arial" w:hAnsi="Arial"/>
          <w:sz w:val="22"/>
          <w:szCs w:val="22"/>
        </w:rPr>
        <w:t xml:space="preserve">The non-investable fraction (if any) remains locked on the DAG and delivers as a standard time-lock.</w:t>
      </w:r>
    </w:p>
    <w:p>
      <w:pPr>
        <w:pStyle w:val="ListParagraph"/>
        <w:numPr>
          <w:ilvl w:val="0"/>
          <w:numId w:val="2"/>
        </w:numPr>
        <w:spacing w:before="40" w:after="40"/>
      </w:pPr>
      <w:r>
        <w:rPr>
          <w:rFonts w:ascii="Arial" w:cs="Arial" w:eastAsia="Arial" w:hAnsi="Arial"/>
          <w:sz w:val="22"/>
          <w:szCs w:val="22"/>
        </w:rPr>
        <w:t xml:space="preserve">Every MISAI decision and transaction is committed to a permanent public record on the DAG before execution — per Axiom II (Transparency).</w:t>
      </w:r>
    </w:p>
    <w:p>
      <w:pPr>
        <w:pStyle w:val="Heading2"/>
        <w:spacing w:before="280" w:after="120"/>
      </w:pPr>
      <w:r>
        <w:rPr>
          <w:rFonts w:ascii="Arial" w:cs="Arial" w:eastAsia="Arial" w:hAnsi="Arial"/>
          <w:b/>
          <w:bCs/>
          <w:color w:val="000000"/>
          <w:sz w:val="28"/>
          <w:szCs w:val="28"/>
        </w:rPr>
        <w:t xml:space="preserve">7.2 MISAI as Loan Servicer</w:t>
      </w:r>
    </w:p>
    <w:p>
      <w:pPr>
        <w:spacing w:before="60" w:after="120"/>
        <w:jc w:val="both"/>
      </w:pPr>
      <w:r>
        <w:rPr>
          <w:rFonts w:ascii="Arial" w:cs="Arial" w:eastAsia="Arial" w:hAnsi="Arial"/>
          <w:b w:val="false"/>
          <w:bCs w:val="false"/>
          <w:i w:val="false"/>
          <w:iCs w:val="false"/>
          <w:color w:val="000000"/>
          <w:sz w:val="22"/>
          <w:szCs w:val="22"/>
        </w:rPr>
        <w:t xml:space="preserve">MISAI monitors payment schedules, sends pre-payment reminders, calculates late fees, publishes DefaultRecords at grace period end, reactivates on LoanReinstatement, and publishes LoanCompletion records. MISAI does not pursue borrowers, enforce legal obligations, or act as an arbiter.</w:t>
      </w:r>
    </w:p>
    <w:p>
      <w:pPr>
        <w:pStyle w:val="Heading2"/>
        <w:spacing w:before="280" w:after="120"/>
      </w:pPr>
      <w:r>
        <w:rPr>
          <w:rFonts w:ascii="Arial" w:cs="Arial" w:eastAsia="Arial" w:hAnsi="Arial"/>
          <w:b/>
          <w:bCs/>
          <w:color w:val="000000"/>
          <w:sz w:val="28"/>
          <w:szCs w:val="28"/>
        </w:rPr>
        <w:t xml:space="preserve">7.3 MISAI as Investment Executor</w:t>
      </w:r>
    </w:p>
    <w:p>
      <w:pPr>
        <w:spacing w:before="60" w:after="120"/>
        <w:jc w:val="both"/>
      </w:pPr>
      <w:r>
        <w:rPr>
          <w:rFonts w:ascii="Arial" w:cs="Arial" w:eastAsia="Arial" w:hAnsi="Arial"/>
          <w:b w:val="false"/>
          <w:bCs w:val="false"/>
          <w:i w:val="false"/>
          <w:iCs w:val="false"/>
          <w:color w:val="000000"/>
          <w:sz w:val="22"/>
          <w:szCs w:val="22"/>
        </w:rPr>
        <w:t xml:space="preserve">Investors encode a mandate specifying risk tolerance, target allocation, and return expectations. MISAI executes autonomously, subject to the six AI Agent Axioms. MISAI is not a human financial advisor. It does not provide advice. It executes instructions. The MISAI investment platform is domiciled in El Salvador.</w:t>
      </w:r>
    </w:p>
    <w:p>
      <w:pPr>
        <w:pStyle w:val="Heading2"/>
        <w:spacing w:before="280" w:after="120"/>
      </w:pPr>
      <w:r>
        <w:rPr>
          <w:rFonts w:ascii="Arial" w:cs="Arial" w:eastAsia="Arial" w:hAnsi="Arial"/>
          <w:b/>
          <w:bCs/>
          <w:color w:val="000000"/>
          <w:sz w:val="28"/>
          <w:szCs w:val="28"/>
        </w:rPr>
        <w:t xml:space="preserve">7.4 The Oracle System</w:t>
      </w:r>
    </w:p>
    <w:p>
      <w:pPr>
        <w:spacing w:before="60" w:after="120"/>
        <w:jc w:val="both"/>
      </w:pPr>
      <w:r>
        <w:rPr>
          <w:rFonts w:ascii="Arial" w:cs="Arial" w:eastAsia="Arial" w:hAnsi="Arial"/>
          <w:b w:val="false"/>
          <w:bCs w:val="false"/>
          <w:i w:val="false"/>
          <w:iCs w:val="false"/>
          <w:color w:val="000000"/>
          <w:sz w:val="22"/>
          <w:szCs w:val="22"/>
        </w:rPr>
        <w:t xml:space="preserve">MISAI maintains a real-time KX/USDC price oracle sourced from the protocol's Uniswap v3 liquidity pool on Base. A 7-day moving average, updated every six hours, provides manipulation-resistant price data for PAY_AS calculations, late fee computation, and HedgeX settlements.</w:t>
      </w:r>
    </w:p>
    <w:p>
      <w:r>
        <w:br w:type="page"/>
      </w:r>
    </w:p>
    <w:p>
      <w:pPr>
        <w:pStyle w:val="Heading1"/>
        <w:spacing w:before="400" w:after="120"/>
      </w:pPr>
      <w:r>
        <w:rPr>
          <w:rFonts w:ascii="Arial" w:cs="Arial" w:eastAsia="Arial" w:hAnsi="Arial"/>
          <w:b/>
          <w:bCs/>
          <w:color w:val="C9A84C"/>
          <w:sz w:val="36"/>
          <w:szCs w:val="36"/>
        </w:rPr>
        <w:t xml:space="preserve">8. Verifas: The Human Attestation Layer</w:t>
      </w:r>
    </w:p>
    <w:p>
      <w:pPr>
        <w:spacing w:before="60" w:after="120"/>
        <w:jc w:val="both"/>
      </w:pPr>
      <w:r>
        <w:rPr>
          <w:rFonts w:ascii="Arial" w:cs="Arial" w:eastAsia="Arial" w:hAnsi="Arial"/>
          <w:b w:val="false"/>
          <w:bCs w:val="false"/>
          <w:i w:val="false"/>
          <w:iCs w:val="false"/>
          <w:color w:val="000000"/>
          <w:sz w:val="22"/>
          <w:szCs w:val="22"/>
        </w:rPr>
        <w:t xml:space="preserve">Verifas solves one specific problem: what happens when a long-horizon promise matures and the original contact information for the recipient is no longer valid? Verifas is backed by a 10,000,000 KX performance bond.</w:t>
      </w:r>
    </w:p>
    <w:p>
      <w:pPr>
        <w:pBdr>
          <w:left w:val="single" w:color="C9A84C" w:sz="6" w:space="10"/>
        </w:pBdr>
        <w:spacing w:before="160" w:after="160"/>
        <w:ind w:left="720" w:right="720"/>
      </w:pPr>
      <w:r>
        <w:rPr>
          <w:rFonts w:ascii="Arial" w:cs="Arial" w:eastAsia="Arial" w:hAnsi="Arial"/>
          <w:i/>
          <w:iCs/>
          <w:color w:val="2E3A5C"/>
          <w:sz w:val="22"/>
          <w:szCs w:val="22"/>
        </w:rPr>
        <w:t xml:space="preserve">"Verifas does one thing: confirms that this person, at this wallet address, is the intended recipient of a promise made long ago."</w:t>
      </w:r>
    </w:p>
    <w:p>
      <w:pPr>
        <w:spacing w:before="60" w:after="120"/>
        <w:jc w:val="both"/>
      </w:pPr>
      <w:r>
        <w:rPr>
          <w:rFonts w:ascii="Arial" w:cs="Arial" w:eastAsia="Arial" w:hAnsi="Arial"/>
          <w:b w:val="false"/>
          <w:bCs w:val="false"/>
          <w:i w:val="false"/>
          <w:iCs w:val="false"/>
          <w:color w:val="000000"/>
          <w:sz w:val="22"/>
          <w:szCs w:val="22"/>
        </w:rPr>
        <w:t xml:space="preserve">Verifas is not a dispute resolution service. It does not enforce obligations or adjudicate claims. It is an identity attestation service for long-horizon promises — nothing more.</w:t>
      </w:r>
    </w:p>
    <w:p>
      <w:pPr>
        <w:pStyle w:val="Heading2"/>
        <w:spacing w:before="280" w:after="120"/>
      </w:pPr>
      <w:r>
        <w:rPr>
          <w:rFonts w:ascii="Arial" w:cs="Arial" w:eastAsia="Arial" w:hAnsi="Arial"/>
          <w:b/>
          <w:bCs/>
          <w:color w:val="000000"/>
          <w:sz w:val="28"/>
          <w:szCs w:val="28"/>
        </w:rPr>
        <w:t xml:space="preserve">8.1 The Beneficiary Context System</w:t>
      </w:r>
    </w:p>
    <w:p>
      <w:pPr>
        <w:spacing w:before="60" w:after="120"/>
        <w:jc w:val="both"/>
      </w:pPr>
      <w:r>
        <w:rPr>
          <w:rFonts w:ascii="Arial" w:cs="Arial" w:eastAsia="Arial" w:hAnsi="Arial"/>
          <w:b w:val="false"/>
          <w:bCs w:val="false"/>
          <w:i w:val="false"/>
          <w:iCs w:val="false"/>
          <w:color w:val="000000"/>
          <w:sz w:val="22"/>
          <w:szCs w:val="22"/>
        </w:rPr>
        <w:t xml:space="preserve">For promises over one year, the ChronX desktop wallet prompts the sender to provide additional beneficiary context: full name, city, and identifying information. This is stored encrypted in the promise memo, accessible only to bonded Verifas attestors after the 90-day standard delivery window has elapsed without delivery. Mobile wallets support promises up to one year. Desktop wallets support promises of any duration.</w:t>
      </w:r>
    </w:p>
    <w:p>
      <w:r>
        <w:br w:type="page"/>
      </w:r>
    </w:p>
    <w:p>
      <w:pPr>
        <w:pStyle w:val="Heading1"/>
        <w:spacing w:before="400" w:after="120"/>
      </w:pPr>
      <w:r>
        <w:rPr>
          <w:rFonts w:ascii="Arial" w:cs="Arial" w:eastAsia="Arial" w:hAnsi="Arial"/>
          <w:b/>
          <w:bCs/>
          <w:color w:val="C9A84C"/>
          <w:sz w:val="36"/>
          <w:szCs w:val="36"/>
        </w:rPr>
        <w:t xml:space="preserve">9. The Promise and AI Agent Axioms</w:t>
      </w:r>
    </w:p>
    <w:p>
      <w:pPr>
        <w:spacing w:before="60" w:after="120"/>
        <w:jc w:val="both"/>
      </w:pPr>
      <w:r>
        <w:rPr>
          <w:rFonts w:ascii="Arial" w:cs="Arial" w:eastAsia="Arial" w:hAnsi="Arial"/>
          <w:b w:val="false"/>
          <w:bCs w:val="false"/>
          <w:i w:val="false"/>
          <w:iCs w:val="false"/>
          <w:color w:val="000000"/>
          <w:sz w:val="22"/>
          <w:szCs w:val="22"/>
        </w:rPr>
        <w:t xml:space="preserve">Two sets of axioms govern ChronX. Both are encoded immutably at genesis and cannot be altered by any person, governance body, or software update.</w:t>
      </w:r>
    </w:p>
    <w:p>
      <w:pPr>
        <w:pStyle w:val="Heading2"/>
        <w:spacing w:before="280" w:after="120"/>
      </w:pPr>
      <w:r>
        <w:rPr>
          <w:rFonts w:ascii="Arial" w:cs="Arial" w:eastAsia="Arial" w:hAnsi="Arial"/>
          <w:b/>
          <w:bCs/>
          <w:color w:val="000000"/>
          <w:sz w:val="28"/>
          <w:szCs w:val="28"/>
        </w:rPr>
        <w:t xml:space="preserve">9.1 The Promise Axioms</w:t>
      </w:r>
    </w:p>
    <w:p>
      <w:pPr>
        <w:pStyle w:val="ListParagraph"/>
        <w:numPr>
          <w:ilvl w:val="0"/>
          <w:numId w:val="2"/>
        </w:numPr>
        <w:spacing w:before="40" w:after="40"/>
      </w:pPr>
      <w:r>
        <w:rPr>
          <w:rFonts w:ascii="Arial" w:cs="Arial" w:eastAsia="Arial" w:hAnsi="Arial"/>
          <w:b/>
          <w:bCs/>
          <w:sz w:val="22"/>
          <w:szCs w:val="22"/>
        </w:rPr>
        <w:t xml:space="preserve">Intent Is the Master</w:t>
      </w:r>
      <w:r>
        <w:rPr>
          <w:rFonts w:ascii="Arial" w:cs="Arial" w:eastAsia="Arial" w:hAnsi="Arial"/>
          <w:sz w:val="22"/>
          <w:szCs w:val="22"/>
        </w:rPr>
        <w:t xml:space="preserve">: The grantor's intent is the master. Once a promise is made and the cancellation window closes, it is irrevocable.</w:t>
      </w:r>
    </w:p>
    <w:p>
      <w:pPr>
        <w:pStyle w:val="ListParagraph"/>
        <w:numPr>
          <w:ilvl w:val="0"/>
          <w:numId w:val="2"/>
        </w:numPr>
        <w:spacing w:before="40" w:after="40"/>
      </w:pPr>
      <w:r>
        <w:rPr>
          <w:rFonts w:ascii="Arial" w:cs="Arial" w:eastAsia="Arial" w:hAnsi="Arial"/>
          <w:b/>
          <w:bCs/>
          <w:sz w:val="22"/>
          <w:szCs w:val="22"/>
        </w:rPr>
        <w:t xml:space="preserve">Funds Are Never Lost</w:t>
      </w:r>
      <w:r>
        <w:rPr>
          <w:rFonts w:ascii="Arial" w:cs="Arial" w:eastAsia="Arial" w:hAnsi="Arial"/>
          <w:sz w:val="22"/>
          <w:szCs w:val="22"/>
        </w:rPr>
        <w:t xml:space="preserve">: Promised funds are never lost. Unclaimed within 90 days of maturity: held by the Verified Delivery Protocol. Unclaimed for 100 years beyond maturity: transferred to the Humanity Stake.</w:t>
      </w:r>
    </w:p>
    <w:p>
      <w:pPr>
        <w:pStyle w:val="ListParagraph"/>
        <w:numPr>
          <w:ilvl w:val="0"/>
          <w:numId w:val="2"/>
        </w:numPr>
        <w:spacing w:before="40" w:after="40"/>
      </w:pPr>
      <w:r>
        <w:rPr>
          <w:rFonts w:ascii="Arial" w:cs="Arial" w:eastAsia="Arial" w:hAnsi="Arial"/>
          <w:b/>
          <w:bCs/>
          <w:sz w:val="22"/>
          <w:szCs w:val="22"/>
        </w:rPr>
        <w:t xml:space="preserve">The Protocol Enforces Delivery</w:t>
      </w:r>
      <w:r>
        <w:rPr>
          <w:rFonts w:ascii="Arial" w:cs="Arial" w:eastAsia="Arial" w:hAnsi="Arial"/>
          <w:sz w:val="22"/>
          <w:szCs w:val="22"/>
        </w:rPr>
        <w:t xml:space="preserve">: No custodian, no lawyer, no intermediary is required for a promise between a sender and a reachable recipient. The blockchain is the contract.</w:t>
      </w:r>
    </w:p>
    <w:p>
      <w:pPr>
        <w:pStyle w:val="ListParagraph"/>
        <w:numPr>
          <w:ilvl w:val="0"/>
          <w:numId w:val="2"/>
        </w:numPr>
        <w:spacing w:before="40" w:after="40"/>
      </w:pPr>
      <w:r>
        <w:rPr>
          <w:rFonts w:ascii="Arial" w:cs="Arial" w:eastAsia="Arial" w:hAnsi="Arial"/>
          <w:b/>
          <w:bCs/>
          <w:sz w:val="22"/>
          <w:szCs w:val="22"/>
        </w:rPr>
        <w:t xml:space="preserve">The Law</w:t>
      </w:r>
      <w:r>
        <w:rPr>
          <w:rFonts w:ascii="Arial" w:cs="Arial" w:eastAsia="Arial" w:hAnsi="Arial"/>
          <w:sz w:val="22"/>
          <w:szCs w:val="22"/>
        </w:rPr>
        <w:t xml:space="preserve">: All promises and their fulfillment remain subject to the laws of applicable jurisdictions.</w:t>
      </w:r>
    </w:p>
    <w:p>
      <w:pPr>
        <w:pStyle w:val="Heading2"/>
        <w:spacing w:before="280" w:after="120"/>
      </w:pPr>
      <w:r>
        <w:rPr>
          <w:rFonts w:ascii="Arial" w:cs="Arial" w:eastAsia="Arial" w:hAnsi="Arial"/>
          <w:b/>
          <w:bCs/>
          <w:color w:val="000000"/>
          <w:sz w:val="28"/>
          <w:szCs w:val="28"/>
        </w:rPr>
        <w:t xml:space="preserve">9.2 The AI Agent Axioms</w:t>
      </w:r>
    </w:p>
    <w:p>
      <w:pPr>
        <w:pStyle w:val="ListParagraph"/>
        <w:numPr>
          <w:ilvl w:val="0"/>
          <w:numId w:val="2"/>
        </w:numPr>
        <w:spacing w:before="40" w:after="40"/>
      </w:pPr>
      <w:r>
        <w:rPr>
          <w:rFonts w:ascii="Arial" w:cs="Arial" w:eastAsia="Arial" w:hAnsi="Arial"/>
          <w:b/>
          <w:bCs/>
          <w:sz w:val="22"/>
          <w:szCs w:val="22"/>
        </w:rPr>
        <w:t xml:space="preserve">Mandate</w:t>
      </w:r>
      <w:r>
        <w:rPr>
          <w:rFonts w:ascii="Arial" w:cs="Arial" w:eastAsia="Arial" w:hAnsi="Arial"/>
          <w:sz w:val="22"/>
          <w:szCs w:val="22"/>
        </w:rPr>
        <w:t xml:space="preserve">: The grantor's intent, once encoded, is carried forward by autonomous software. Algorithms may evolve. The intent does not.</w:t>
      </w:r>
    </w:p>
    <w:p>
      <w:pPr>
        <w:pStyle w:val="ListParagraph"/>
        <w:numPr>
          <w:ilvl w:val="0"/>
          <w:numId w:val="2"/>
        </w:numPr>
        <w:spacing w:before="40" w:after="40"/>
      </w:pPr>
      <w:r>
        <w:rPr>
          <w:rFonts w:ascii="Arial" w:cs="Arial" w:eastAsia="Arial" w:hAnsi="Arial"/>
          <w:b/>
          <w:bCs/>
          <w:sz w:val="22"/>
          <w:szCs w:val="22"/>
        </w:rPr>
        <w:t xml:space="preserve">Transparency</w:t>
      </w:r>
      <w:r>
        <w:rPr>
          <w:rFonts w:ascii="Arial" w:cs="Arial" w:eastAsia="Arial" w:hAnsi="Arial"/>
          <w:sz w:val="22"/>
          <w:szCs w:val="22"/>
        </w:rPr>
        <w:t xml:space="preserve">: An AI agent must commit to a permanent public record before acting. Every decision is publicly verifiable.</w:t>
      </w:r>
    </w:p>
    <w:p>
      <w:pPr>
        <w:pStyle w:val="ListParagraph"/>
        <w:numPr>
          <w:ilvl w:val="0"/>
          <w:numId w:val="2"/>
        </w:numPr>
        <w:spacing w:before="40" w:after="40"/>
      </w:pPr>
      <w:r>
        <w:rPr>
          <w:rFonts w:ascii="Arial" w:cs="Arial" w:eastAsia="Arial" w:hAnsi="Arial"/>
          <w:b/>
          <w:bCs/>
          <w:sz w:val="22"/>
          <w:szCs w:val="22"/>
        </w:rPr>
        <w:t xml:space="preserve">Risk</w:t>
      </w:r>
      <w:r>
        <w:rPr>
          <w:rFonts w:ascii="Arial" w:cs="Arial" w:eastAsia="Arial" w:hAnsi="Arial"/>
          <w:sz w:val="22"/>
          <w:szCs w:val="22"/>
        </w:rPr>
        <w:t xml:space="preserve">: The grantor acknowledges that AI management may result in gains or losses up to and including total loss.</w:t>
      </w:r>
    </w:p>
    <w:p>
      <w:pPr>
        <w:pStyle w:val="ListParagraph"/>
        <w:numPr>
          <w:ilvl w:val="0"/>
          <w:numId w:val="2"/>
        </w:numPr>
        <w:spacing w:before="40" w:after="40"/>
      </w:pPr>
      <w:r>
        <w:rPr>
          <w:rFonts w:ascii="Arial" w:cs="Arial" w:eastAsia="Arial" w:hAnsi="Arial"/>
          <w:b/>
          <w:bCs/>
          <w:sz w:val="22"/>
          <w:szCs w:val="22"/>
        </w:rPr>
        <w:t xml:space="preserve">Separation</w:t>
      </w:r>
      <w:r>
        <w:rPr>
          <w:rFonts w:ascii="Arial" w:cs="Arial" w:eastAsia="Arial" w:hAnsi="Arial"/>
          <w:sz w:val="22"/>
          <w:szCs w:val="22"/>
        </w:rPr>
        <w:t xml:space="preserve">: The agent that decides does not hold funds. The agent that holds does not decide.</w:t>
      </w:r>
    </w:p>
    <w:p>
      <w:pPr>
        <w:pStyle w:val="ListParagraph"/>
        <w:numPr>
          <w:ilvl w:val="0"/>
          <w:numId w:val="2"/>
        </w:numPr>
        <w:spacing w:before="40" w:after="40"/>
      </w:pPr>
      <w:r>
        <w:rPr>
          <w:rFonts w:ascii="Arial" w:cs="Arial" w:eastAsia="Arial" w:hAnsi="Arial"/>
          <w:b/>
          <w:bCs/>
          <w:sz w:val="22"/>
          <w:szCs w:val="22"/>
        </w:rPr>
        <w:t xml:space="preserve">Coordination</w:t>
      </w:r>
      <w:r>
        <w:rPr>
          <w:rFonts w:ascii="Arial" w:cs="Arial" w:eastAsia="Arial" w:hAnsi="Arial"/>
          <w:sz w:val="22"/>
          <w:szCs w:val="22"/>
        </w:rPr>
        <w:t xml:space="preserve">: Before acting, an agent must account for the aggregate effect of similarly situated agents acting on similar instructions.</w:t>
      </w:r>
    </w:p>
    <w:p>
      <w:pPr>
        <w:pStyle w:val="ListParagraph"/>
        <w:numPr>
          <w:ilvl w:val="0"/>
          <w:numId w:val="2"/>
        </w:numPr>
        <w:spacing w:before="40" w:after="40"/>
      </w:pPr>
      <w:r>
        <w:rPr>
          <w:rFonts w:ascii="Arial" w:cs="Arial" w:eastAsia="Arial" w:hAnsi="Arial"/>
          <w:b/>
          <w:bCs/>
          <w:sz w:val="22"/>
          <w:szCs w:val="22"/>
        </w:rPr>
        <w:t xml:space="preserve">The Law</w:t>
      </w:r>
      <w:r>
        <w:rPr>
          <w:rFonts w:ascii="Arial" w:cs="Arial" w:eastAsia="Arial" w:hAnsi="Arial"/>
          <w:sz w:val="22"/>
          <w:szCs w:val="22"/>
        </w:rPr>
        <w:t xml:space="preserve">: All agent actions, mandates, and their fulfillment remain subject to the laws of applicable jurisdictions.</w:t>
      </w:r>
    </w:p>
    <w:p>
      <w:r>
        <w:br w:type="page"/>
      </w:r>
    </w:p>
    <w:p>
      <w:pPr>
        <w:pStyle w:val="Heading1"/>
        <w:spacing w:before="400" w:after="120"/>
      </w:pPr>
      <w:r>
        <w:rPr>
          <w:rFonts w:ascii="Arial" w:cs="Arial" w:eastAsia="Arial" w:hAnsi="Arial"/>
          <w:b/>
          <w:bCs/>
          <w:color w:val="C9A84C"/>
          <w:sz w:val="36"/>
          <w:szCs w:val="36"/>
        </w:rPr>
        <w:t xml:space="preserve">10. Tokenomics</w:t>
      </w:r>
    </w:p>
    <w:p>
      <w:pPr>
        <w:spacing w:before="60" w:after="120"/>
        <w:jc w:val="both"/>
      </w:pPr>
      <w:r>
        <w:rPr>
          <w:rFonts w:ascii="Arial" w:cs="Arial" w:eastAsia="Arial" w:hAnsi="Arial"/>
          <w:b w:val="false"/>
          <w:bCs w:val="false"/>
          <w:i w:val="false"/>
          <w:iCs w:val="false"/>
          <w:color w:val="000000"/>
          <w:sz w:val="22"/>
          <w:szCs w:val="22"/>
        </w:rPr>
        <w:t xml:space="preserve">Total supply: 8,270,000,000 KX. Fixed forever. No inflation. No minting. No burning.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Allocation</w:t>
            </w:r>
          </w:p>
        </w:tc>
        <w:tc>
          <w:tcPr>
            <w:tcW w:type="dxa" w:w="25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Amount (KX)</w:t>
            </w:r>
          </w:p>
        </w:tc>
        <w:tc>
          <w:tcPr>
            <w:tcW w:type="dxa" w:w="336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Public Sale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6,093,000,000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ICO September 22, 2026 at $0.00319/KX</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Treasury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Harmonic release H_100 over 100 years (2029–2128)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Node Rewards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Harmonic release H_100 over 100 years (2029–2128)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Founder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155,000,000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development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Verifas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HedgeX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Humanity Stake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Long-unclaimed promises pool (locked until 2126)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Protocol 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500,000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operations (locked until 2036)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Milestone 2076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500,000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50-year protocol milestone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Faucet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3,000,000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Post-genesis distribution (25 KX per claim)</w:t>
            </w:r>
          </w:p>
        </w:tc>
      </w:tr>
    </w:tbl>
    <w:p>
      <w:r>
        <w:t xml:space="preserve"/>
      </w:r>
    </w:p>
    <w:p>
      <w:pPr>
        <w:pStyle w:val="ListParagraph"/>
        <w:numPr>
          <w:ilvl w:val="0"/>
          <w:numId w:val="2"/>
        </w:numPr>
        <w:spacing w:before="40" w:after="40"/>
      </w:pPr>
      <w:r>
        <w:rPr>
          <w:rFonts w:ascii="Arial" w:cs="Arial" w:eastAsia="Arial" w:hAnsi="Arial"/>
          <w:b/>
          <w:bCs/>
          <w:sz w:val="22"/>
          <w:szCs w:val="22"/>
        </w:rPr>
        <w:t xml:space="preserve">Pre-ICO Phase 1</w:t>
      </w:r>
      <w:r>
        <w:rPr>
          <w:rFonts w:ascii="Arial" w:cs="Arial" w:eastAsia="Arial" w:hAnsi="Arial"/>
          <w:sz w:val="22"/>
          <w:szCs w:val="22"/>
        </w:rPr>
        <w:t xml:space="preserve">: $0.001755 per KX — invitation only, accredited investors or up to $100 via XChan for testing.</w:t>
      </w:r>
    </w:p>
    <w:p>
      <w:pPr>
        <w:pStyle w:val="ListParagraph"/>
        <w:numPr>
          <w:ilvl w:val="0"/>
          <w:numId w:val="2"/>
        </w:numPr>
        <w:spacing w:before="40" w:after="40"/>
      </w:pPr>
      <w:r>
        <w:rPr>
          <w:rFonts w:ascii="Arial" w:cs="Arial" w:eastAsia="Arial" w:hAnsi="Arial"/>
          <w:b/>
          <w:bCs/>
          <w:sz w:val="22"/>
          <w:szCs w:val="22"/>
        </w:rPr>
        <w:t xml:space="preserve">Pre-ICO Phase 2</w:t>
      </w:r>
      <w:r>
        <w:rPr>
          <w:rFonts w:ascii="Arial" w:cs="Arial" w:eastAsia="Arial" w:hAnsi="Arial"/>
          <w:sz w:val="22"/>
          <w:szCs w:val="22"/>
        </w:rPr>
        <w:t xml:space="preserve">: $0.002297 per KX.</w:t>
      </w:r>
    </w:p>
    <w:p>
      <w:pPr>
        <w:pStyle w:val="ListParagraph"/>
        <w:numPr>
          <w:ilvl w:val="0"/>
          <w:numId w:val="2"/>
        </w:numPr>
        <w:spacing w:before="40" w:after="40"/>
      </w:pPr>
      <w:r>
        <w:rPr>
          <w:rFonts w:ascii="Arial" w:cs="Arial" w:eastAsia="Arial" w:hAnsi="Arial"/>
          <w:b/>
          <w:bCs/>
          <w:sz w:val="22"/>
          <w:szCs w:val="22"/>
        </w:rPr>
        <w:t xml:space="preserve">ICO</w:t>
      </w:r>
      <w:r>
        <w:rPr>
          <w:rFonts w:ascii="Arial" w:cs="Arial" w:eastAsia="Arial" w:hAnsi="Arial"/>
          <w:sz w:val="22"/>
          <w:szCs w:val="22"/>
        </w:rPr>
        <w:t xml:space="preserve">: $0.00319 per KX — September 22, 2026.</w:t>
      </w:r>
    </w:p>
    <w:p>
      <w:r>
        <w:br w:type="page"/>
      </w:r>
    </w:p>
    <w:p>
      <w:pPr>
        <w:pStyle w:val="Heading1"/>
        <w:spacing w:before="400" w:after="120"/>
      </w:pPr>
      <w:r>
        <w:rPr>
          <w:rFonts w:ascii="Arial" w:cs="Arial" w:eastAsia="Arial" w:hAnsi="Arial"/>
          <w:b/>
          <w:bCs/>
          <w:color w:val="C9A84C"/>
          <w:sz w:val="36"/>
          <w:szCs w:val="36"/>
        </w:rPr>
        <w:t xml:space="preserve">11. Technical Architecture</w:t>
      </w:r>
    </w:p>
    <w:p>
      <w:pPr>
        <w:pStyle w:val="Heading2"/>
        <w:spacing w:before="280" w:after="120"/>
      </w:pPr>
      <w:r>
        <w:rPr>
          <w:rFonts w:ascii="Arial" w:cs="Arial" w:eastAsia="Arial" w:hAnsi="Arial"/>
          <w:b/>
          <w:bCs/>
          <w:color w:val="000000"/>
          <w:sz w:val="28"/>
          <w:szCs w:val="28"/>
        </w:rPr>
        <w:t xml:space="preserve">11.1 DAG-Based Consensus</w:t>
      </w:r>
    </w:p>
    <w:p>
      <w:pPr>
        <w:spacing w:before="60" w:after="120"/>
        <w:jc w:val="both"/>
      </w:pPr>
      <w:r>
        <w:rPr>
          <w:rFonts w:ascii="Arial" w:cs="Arial" w:eastAsia="Arial" w:hAnsi="Arial"/>
          <w:b w:val="false"/>
          <w:bCs w:val="false"/>
          <w:i w:val="false"/>
          <w:iCs w:val="false"/>
          <w:color w:val="000000"/>
          <w:sz w:val="22"/>
          <w:szCs w:val="22"/>
        </w:rPr>
        <w:t xml:space="preserve">ChronX uses a Directed Acyclic Graph (DAG) rather than a linear blockchain. Each transaction references previous transactions, creating a web of verified history. This provides higher throughput, lower latency, and eliminates block size limitations.</w:t>
      </w:r>
    </w:p>
    <w:p>
      <w:pPr>
        <w:pStyle w:val="Heading2"/>
        <w:spacing w:before="280" w:after="120"/>
      </w:pPr>
      <w:r>
        <w:rPr>
          <w:rFonts w:ascii="Arial" w:cs="Arial" w:eastAsia="Arial" w:hAnsi="Arial"/>
          <w:b/>
          <w:bCs/>
          <w:color w:val="000000"/>
          <w:sz w:val="28"/>
          <w:szCs w:val="28"/>
        </w:rPr>
        <w:t xml:space="preserve">11.2 Post-Quantum Cryptography</w:t>
      </w:r>
    </w:p>
    <w:p>
      <w:pPr>
        <w:spacing w:before="60" w:after="120"/>
        <w:jc w:val="both"/>
      </w:pPr>
      <w:r>
        <w:rPr>
          <w:rFonts w:ascii="Arial" w:cs="Arial" w:eastAsia="Arial" w:hAnsi="Arial"/>
          <w:b w:val="false"/>
          <w:bCs w:val="false"/>
          <w:i w:val="false"/>
          <w:iCs w:val="false"/>
          <w:color w:val="000000"/>
          <w:sz w:val="22"/>
          <w:szCs w:val="22"/>
        </w:rPr>
        <w:t xml:space="preserve">All ChronX wallets use CRYSTALS-Dilithium2 digital signatures (NIST FIPS 204). This ensures ChronX wallets remain secure even after quantum computers can break current elliptic curve cryptography — critical for a protocol designed around 100-year promises.</w:t>
      </w:r>
    </w:p>
    <w:p>
      <w:pPr>
        <w:pStyle w:val="Heading2"/>
        <w:spacing w:before="280" w:after="120"/>
      </w:pPr>
      <w:r>
        <w:rPr>
          <w:rFonts w:ascii="Arial" w:cs="Arial" w:eastAsia="Arial" w:hAnsi="Arial"/>
          <w:b/>
          <w:bCs/>
          <w:color w:val="000000"/>
          <w:sz w:val="28"/>
          <w:szCs w:val="28"/>
        </w:rPr>
        <w:t xml:space="preserve">11.3 Zero Transaction Fees</w:t>
      </w:r>
    </w:p>
    <w:p>
      <w:pPr>
        <w:spacing w:before="60" w:after="120"/>
        <w:jc w:val="both"/>
      </w:pPr>
      <w:r>
        <w:rPr>
          <w:rFonts w:ascii="Arial" w:cs="Arial" w:eastAsia="Arial" w:hAnsi="Arial"/>
          <w:b w:val="false"/>
          <w:bCs w:val="false"/>
          <w:i w:val="false"/>
          <w:iCs w:val="false"/>
          <w:color w:val="000000"/>
          <w:sz w:val="22"/>
          <w:szCs w:val="22"/>
        </w:rPr>
        <w:t xml:space="preserve">ChronX has no transaction fees. Not low fees — zero fees. A promise scheduled one hundred years in the future cannot carry an unknown future fee burden. Zero fees are a protocol invariant, not a promotional offer.</w:t>
      </w:r>
    </w:p>
    <w:p>
      <w:pPr>
        <w:pStyle w:val="Heading2"/>
        <w:spacing w:before="280" w:after="120"/>
      </w:pPr>
      <w:r>
        <w:rPr>
          <w:rFonts w:ascii="Arial" w:cs="Arial" w:eastAsia="Arial" w:hAnsi="Arial"/>
          <w:b/>
          <w:bCs/>
          <w:color w:val="000000"/>
          <w:sz w:val="28"/>
          <w:szCs w:val="28"/>
        </w:rPr>
        <w:t xml:space="preserve">11.4 Genesis 10a — Loan and Credit Primitives</w:t>
      </w:r>
    </w:p>
    <w:p>
      <w:pPr>
        <w:spacing w:before="60" w:after="120"/>
        <w:jc w:val="both"/>
      </w:pPr>
      <w:r>
        <w:rPr>
          <w:rFonts w:ascii="Arial" w:cs="Arial" w:eastAsia="Arial" w:hAnsi="Arial"/>
          <w:b w:val="false"/>
          <w:bCs w:val="false"/>
          <w:i w:val="false"/>
          <w:iCs w:val="false"/>
          <w:color w:val="000000"/>
          <w:sz w:val="22"/>
          <w:szCs w:val="22"/>
        </w:rPr>
        <w:t xml:space="preserve">Genesis 10a introduces TYPE D (Debt Instrument); PAY_AS fields on all time locks; six new action types covering the complete loan lifecycle; the MISAI Oracle; and HedgeX marketplace infrastructure.</w:t>
      </w:r>
    </w:p>
    <w:p>
      <w:r>
        <w:br w:type="page"/>
      </w:r>
    </w:p>
    <w:p>
      <w:pPr>
        <w:pStyle w:val="Heading1"/>
        <w:spacing w:before="400" w:after="120"/>
      </w:pPr>
      <w:r>
        <w:rPr>
          <w:rFonts w:ascii="Arial" w:cs="Arial" w:eastAsia="Arial" w:hAnsi="Arial"/>
          <w:b/>
          <w:bCs/>
          <w:color w:val="C9A84C"/>
          <w:sz w:val="36"/>
          <w:szCs w:val="36"/>
        </w:rPr>
        <w:t xml:space="preserve">12. Legal and Regulatory Considerations</w:t>
      </w:r>
    </w:p>
    <w:p>
      <w:pPr>
        <w:pStyle w:val="Heading2"/>
        <w:spacing w:before="280" w:after="120"/>
      </w:pPr>
      <w:r>
        <w:rPr>
          <w:rFonts w:ascii="Arial" w:cs="Arial" w:eastAsia="Arial" w:hAnsi="Arial"/>
          <w:b/>
          <w:bCs/>
          <w:color w:val="000000"/>
          <w:sz w:val="28"/>
          <w:szCs w:val="28"/>
        </w:rPr>
        <w:t xml:space="preserve">12.1 KX as a Utility Token</w:t>
      </w:r>
    </w:p>
    <w:p>
      <w:pPr>
        <w:spacing w:before="60" w:after="120"/>
        <w:jc w:val="both"/>
      </w:pPr>
      <w:r>
        <w:rPr>
          <w:rFonts w:ascii="Arial" w:cs="Arial" w:eastAsia="Arial" w:hAnsi="Arial"/>
          <w:b w:val="false"/>
          <w:bCs w:val="false"/>
          <w:i w:val="false"/>
          <w:iCs w:val="false"/>
          <w:color w:val="000000"/>
          <w:sz w:val="22"/>
          <w:szCs w:val="22"/>
        </w:rPr>
        <w:t xml:space="preserve">ChronX has been designed to function as a utility token. The PAY_AS system is the clearest expression of this design. ChronX does not provide legal or securities law advice. Participants are responsible for compliance with applicable law.</w:t>
      </w:r>
    </w:p>
    <w:p>
      <w:pPr>
        <w:pStyle w:val="Heading2"/>
        <w:spacing w:before="280" w:after="120"/>
      </w:pPr>
      <w:r>
        <w:rPr>
          <w:rFonts w:ascii="Arial" w:cs="Arial" w:eastAsia="Arial" w:hAnsi="Arial"/>
          <w:b/>
          <w:bCs/>
          <w:color w:val="000000"/>
          <w:sz w:val="28"/>
          <w:szCs w:val="28"/>
        </w:rPr>
        <w:t xml:space="preserve">12.2 MISAI Jurisdiction</w:t>
      </w:r>
    </w:p>
    <w:p>
      <w:pPr>
        <w:spacing w:before="60" w:after="120"/>
        <w:jc w:val="both"/>
      </w:pPr>
      <w:r>
        <w:rPr>
          <w:rFonts w:ascii="Arial" w:cs="Arial" w:eastAsia="Arial" w:hAnsi="Arial"/>
          <w:b w:val="false"/>
          <w:bCs w:val="false"/>
          <w:i w:val="false"/>
          <w:iCs w:val="false"/>
          <w:color w:val="000000"/>
          <w:sz w:val="22"/>
          <w:szCs w:val="22"/>
        </w:rPr>
        <w:t xml:space="preserve">The MISAI investment platform is domiciled in El Salvador. The Executor Withdraw Delay (86,400 seconds / 24 hours) provides a protection window for investors before any MISAI withdrawal is finalized.</w:t>
      </w:r>
    </w:p>
    <w:p>
      <w:pPr>
        <w:pStyle w:val="Heading2"/>
        <w:spacing w:before="280" w:after="120"/>
      </w:pPr>
      <w:r>
        <w:rPr>
          <w:rFonts w:ascii="Arial" w:cs="Arial" w:eastAsia="Arial" w:hAnsi="Arial"/>
          <w:b/>
          <w:bCs/>
          <w:color w:val="000000"/>
          <w:sz w:val="28"/>
          <w:szCs w:val="28"/>
        </w:rPr>
        <w:t xml:space="preserve">12.3 HedgeX as a P2P Marketplace</w:t>
      </w:r>
    </w:p>
    <w:p>
      <w:pPr>
        <w:spacing w:before="60" w:after="120"/>
        <w:jc w:val="both"/>
      </w:pPr>
      <w:r>
        <w:rPr>
          <w:rFonts w:ascii="Arial" w:cs="Arial" w:eastAsia="Arial" w:hAnsi="Arial"/>
          <w:b w:val="false"/>
          <w:bCs w:val="false"/>
          <w:i w:val="false"/>
          <w:iCs w:val="false"/>
          <w:color w:val="000000"/>
          <w:sz w:val="22"/>
          <w:szCs w:val="22"/>
        </w:rPr>
        <w:t xml:space="preserve">HedgeX operates as a peer-to-peer matching marketplace. ChronX is not the issuer, underwriter, guarantor, or counterparty to any hedge contract. All contracts are directly between participants.</w:t>
      </w:r>
    </w:p>
    <w:p>
      <w:pPr>
        <w:pStyle w:val="Heading2"/>
        <w:spacing w:before="280" w:after="120"/>
      </w:pPr>
      <w:r>
        <w:rPr>
          <w:rFonts w:ascii="Arial" w:cs="Arial" w:eastAsia="Arial" w:hAnsi="Arial"/>
          <w:b/>
          <w:bCs/>
          <w:color w:val="000000"/>
          <w:sz w:val="28"/>
          <w:szCs w:val="28"/>
        </w:rPr>
        <w:t xml:space="preserve">12.4 Promise Axiom IV</w:t>
      </w:r>
    </w:p>
    <w:p>
      <w:pPr>
        <w:spacing w:before="60" w:after="120"/>
        <w:jc w:val="both"/>
      </w:pPr>
      <w:r>
        <w:rPr>
          <w:rFonts w:ascii="Arial" w:cs="Arial" w:eastAsia="Arial" w:hAnsi="Arial"/>
          <w:b w:val="false"/>
          <w:bCs w:val="false"/>
          <w:i w:val="false"/>
          <w:iCs w:val="false"/>
          <w:color w:val="000000"/>
          <w:sz w:val="22"/>
          <w:szCs w:val="22"/>
        </w:rPr>
        <w:t xml:space="preserve">All promises, loans, and their fulfillment remain subject to the laws of applicable jurisdictions. ChronX enforces the on-chain mechanics of every promise it records. Enforcement of real-world obligations beyond on-chain execution remains the domain of applicable legal systems.</w:t>
      </w:r>
    </w:p>
    <w:p>
      <w:r>
        <w:br w:type="page"/>
      </w:r>
    </w:p>
    <w:p>
      <w:pPr>
        <w:pStyle w:val="Heading1"/>
        <w:spacing w:before="400" w:after="120"/>
      </w:pPr>
      <w:r>
        <w:rPr>
          <w:rFonts w:ascii="Arial" w:cs="Arial" w:eastAsia="Arial" w:hAnsi="Arial"/>
          <w:b/>
          <w:bCs/>
          <w:color w:val="C9A84C"/>
          <w:sz w:val="36"/>
          <w:szCs w:val="36"/>
        </w:rPr>
        <w:t xml:space="preserve">13. Roadmap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Milestone</w:t>
            </w:r>
          </w:p>
        </w:tc>
        <w:tc>
          <w:tcPr>
            <w:tcW w:type="dxa" w:w="28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Genesis 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payment types, wallet groups, post-quantum crypto, MISAI locks, Verifas infrastructure.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Wallet v2.5.x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iOS, Android, Windows wallets. Address book, biometric login, seed phrase backup.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ICO Pre-Sale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Invitation-only. Accredited investors or up to $100 via XChan for testing.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Genesis 10a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Loan primitives, PAY_AS, HedgeX infrastructure, MISAI oracle.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Sep 22,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$0.00319/KX. Public sale of 6,093,000,000 KX.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HedgeX 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Peer-to-peer currency hedge marketplace live at hedgex.io.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Beta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investment mandates and loan servicing automation.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Verifas Network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2027+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Bonded human attestor network for long-horizon delivery.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Node Rewards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Jan 1, 2029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First harmonic release of node operator rewards.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Milestone 2076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2076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50-year protocol milestone. 500,000 KX released.</w:t>
            </w:r>
          </w:p>
        </w:tc>
      </w:tr>
    </w:tbl>
    <w:p>
      <w:r>
        <w:br w:type="page"/>
      </w:r>
    </w:p>
    <w:p>
      <w:pPr>
        <w:pStyle w:val="Heading1"/>
        <w:spacing w:before="400" w:after="120"/>
      </w:pPr>
      <w:r>
        <w:rPr>
          <w:rFonts w:ascii="Arial" w:cs="Arial" w:eastAsia="Arial" w:hAnsi="Arial"/>
          <w:b/>
          <w:bCs/>
          <w:color w:val="C9A84C"/>
          <w:sz w:val="36"/>
          <w:szCs w:val="36"/>
        </w:rPr>
        <w:t xml:space="preserve">14. Conclusion</w:t>
      </w:r>
    </w:p>
    <w:p>
      <w:pPr>
        <w:spacing w:before="60" w:after="120"/>
        <w:jc w:val="both"/>
      </w:pPr>
      <w:r>
        <w:rPr>
          <w:rFonts w:ascii="Arial" w:cs="Arial" w:eastAsia="Arial" w:hAnsi="Arial"/>
          <w:b w:val="false"/>
          <w:bCs w:val="false"/>
          <w:i w:val="false"/>
          <w:iCs w:val="false"/>
          <w:color w:val="000000"/>
          <w:sz w:val="22"/>
          <w:szCs w:val="22"/>
        </w:rPr>
        <w:t xml:space="preserve">ChronX is the only blockchain built for the promises that matter most: the ones that take years or decades to fulfill.</w:t>
      </w:r>
    </w:p>
    <w:p>
      <w:pPr>
        <w:spacing w:before="60" w:after="120"/>
        <w:jc w:val="both"/>
      </w:pPr>
      <w:r>
        <w:rPr>
          <w:rFonts w:ascii="Arial" w:cs="Arial" w:eastAsia="Arial" w:hAnsi="Arial"/>
          <w:b w:val="false"/>
          <w:bCs w:val="false"/>
          <w:i w:val="false"/>
          <w:iCs w:val="false"/>
          <w:color w:val="000000"/>
          <w:sz w:val="22"/>
          <w:szCs w:val="22"/>
        </w:rPr>
        <w:t xml:space="preserve">From a parent sending KX to a child's wallet, unlocking on their eighteenth birthday, to a corporation issuing bond-equivalent instruments on a public DAG, to an AI agent settling high-frequency trading obligations every second — ChronX provides the infrastructure for all of it with zero fees, zero intermediaries for on-chain execution, and zero tolerance for failure to deliver what the protocol has committed to.</w:t>
      </w:r>
    </w:p>
    <w:p>
      <w:pPr>
        <w:spacing w:before="60" w:after="120"/>
        <w:jc w:val="both"/>
      </w:pPr>
      <w:r>
        <w:rPr>
          <w:rFonts w:ascii="Arial" w:cs="Arial" w:eastAsia="Arial" w:hAnsi="Arial"/>
          <w:b w:val="false"/>
          <w:bCs w:val="false"/>
          <w:i w:val="false"/>
          <w:iCs w:val="false"/>
          <w:color w:val="000000"/>
          <w:sz w:val="22"/>
          <w:szCs w:val="22"/>
        </w:rPr>
        <w:t xml:space="preserve">The financial primitives are encoded in the protocol. Every promise made on ChronX is immutable, automatic, and enforced by the protocol.</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merely record that a promise was made. ChronX makes the promise inevitable."</w:t>
      </w:r>
    </w:p>
    <w:p>
      <w:r>
        <w:t xml:space="preserve"/>
      </w:r>
    </w:p>
    <w:p>
      <w:pPr>
        <w:spacing w:before="200" w:after="80"/>
        <w:jc w:val="center"/>
      </w:pPr>
      <w:r>
        <w:rPr>
          <w:rFonts w:ascii="Arial" w:cs="Arial" w:eastAsia="Arial" w:hAnsi="Arial"/>
          <w:b/>
          <w:bCs/>
          <w:color w:val="C9A84C"/>
          <w:sz w:val="26"/>
          <w:szCs w:val="26"/>
        </w:rPr>
        <w:t xml:space="preserve">ChronX Protocol — The Future Payment Protocol</w:t>
      </w:r>
    </w:p>
    <w:p>
      <w:pPr>
        <w:spacing w:before="0" w:after="80"/>
        <w:jc w:val="center"/>
      </w:pPr>
      <w:r>
        <w:rPr>
          <w:rFonts w:ascii="Arial" w:cs="Arial" w:eastAsia="Arial" w:hAnsi="Arial"/>
          <w:color w:val="2E3A5C"/>
          <w:sz w:val="22"/>
          <w:szCs w:val="22"/>
        </w:rPr>
        <w:t xml:space="preserve">chronx.io</w:t>
      </w:r>
    </w:p>
    <w:p>
      <w:pPr>
        <w:spacing w:before="0" w:after="0"/>
        <w:jc w:val="center"/>
      </w:pPr>
      <w:r>
        <w:rPr>
          <w:rFonts w:ascii="Arial" w:cs="Arial" w:eastAsia="Arial" w:hAnsi="Arial"/>
          <w:color w:val="666666"/>
          <w:sz w:val="22"/>
          <w:szCs w:val="22"/>
        </w:rPr>
        <w:t xml:space="preserve">ICO: September 22, 2026</w:t>
      </w:r>
    </w:p>
    <w:p>
      <w:r>
        <w:br w:type="page"/>
      </w:r>
    </w:p>
    <w:p>
      <w:pPr>
        <w:spacing w:before="400" w:after="80"/>
        <w:jc w:val="center"/>
      </w:pPr>
      <w:r>
        <w:rPr>
          <w:rFonts w:ascii="Arial" w:cs="Arial" w:eastAsia="Arial" w:hAnsi="Arial"/>
          <w:b/>
          <w:bCs/>
          <w:color w:val="C9A84C"/>
          <w:sz w:val="48"/>
          <w:szCs w:val="48"/>
        </w:rPr>
        <w:t xml:space="preserve">EXHIBIT A</w:t>
      </w:r>
    </w:p>
    <w:p>
      <w:pPr>
        <w:spacing w:before="0" w:after="80"/>
        <w:jc w:val="center"/>
      </w:pPr>
      <w:r>
        <w:rPr>
          <w:rFonts w:ascii="Arial" w:cs="Arial" w:eastAsia="Arial" w:hAnsi="Arial"/>
          <w:b/>
          <w:bCs/>
          <w:color w:val="2E3A5C"/>
          <w:sz w:val="32"/>
          <w:szCs w:val="32"/>
        </w:rPr>
        <w:t xml:space="preserve">Real-World Use Cases</w:t>
      </w:r>
    </w:p>
    <w:p>
      <w:pPr>
        <w:spacing w:before="0" w:after="200"/>
        <w:jc w:val="center"/>
      </w:pPr>
      <w:r>
        <w:rPr>
          <w:rFonts w:ascii="Arial" w:cs="Arial" w:eastAsia="Arial" w:hAnsi="Arial"/>
          <w:i/>
          <w:iCs/>
          <w:color w:val="666666"/>
          <w:sz w:val="22"/>
          <w:szCs w:val="22"/>
        </w:rPr>
        <w:t xml:space="preserve">Exhibit A to ChronX Protocol Whitepaper v5.3</w:t>
      </w:r>
    </w:p>
    <w:p>
      <w:pPr>
        <w:pBdr>
          <w:bottom w:val="single" w:color="C9A84C" w:sz="4" w:space="1"/>
        </w:pBdr>
        <w:spacing w:before="200" w:after="200"/>
      </w:pPr>
      <w:r>
        <w:t xml:space="preserve"/>
      </w:r>
    </w:p>
    <w:p>
      <w:pPr>
        <w:spacing w:before="60" w:after="120"/>
        <w:jc w:val="both"/>
      </w:pPr>
      <w:r>
        <w:rPr>
          <w:rFonts w:ascii="Arial" w:cs="Arial" w:eastAsia="Arial" w:hAnsi="Arial"/>
          <w:b w:val="false"/>
          <w:bCs w:val="false"/>
          <w:i w:val="false"/>
          <w:iCs w:val="false"/>
          <w:color w:val="000000"/>
          <w:sz w:val="22"/>
          <w:szCs w:val="22"/>
        </w:rPr>
        <w:t xml:space="preserve">The following use cases illustrate how ChronX protocol payment types apply to real-world financial obligations. Each scenario is implementable today using existing protocol primitives unless otherwise noted.</w:t>
      </w:r>
    </w:p>
    <w:p>
      <w:r>
        <w:br w:type="page"/>
      </w:r>
    </w:p>
    <w:p>
      <w:pPr>
        <w:pStyle w:val="Heading1"/>
        <w:spacing w:before="400" w:after="120"/>
      </w:pPr>
      <w:r>
        <w:rPr>
          <w:rFonts w:ascii="Arial" w:cs="Arial" w:eastAsia="Arial" w:hAnsi="Arial"/>
          <w:b/>
          <w:bCs/>
          <w:color w:val="C9A84C"/>
          <w:sz w:val="36"/>
          <w:szCs w:val="36"/>
        </w:rPr>
        <w:t xml:space="preserve">A.1 Individual and Family</w:t>
      </w:r>
    </w:p>
    <w:p>
      <w:pPr>
        <w:pStyle w:val="Heading2"/>
        <w:spacing w:before="280" w:after="120"/>
      </w:pPr>
      <w:r>
        <w:rPr>
          <w:rFonts w:ascii="Arial" w:cs="Arial" w:eastAsia="Arial" w:hAnsi="Arial"/>
          <w:b/>
          <w:bCs/>
          <w:color w:val="000000"/>
          <w:sz w:val="28"/>
          <w:szCs w:val="28"/>
        </w:rPr>
        <w:t xml:space="preserve">A.1.1 — The Birthday Gift</w:t>
      </w:r>
    </w:p>
    <w:p>
      <w:pPr>
        <w:spacing w:before="60" w:after="120"/>
        <w:jc w:val="both"/>
      </w:pPr>
      <w:r>
        <w:rPr>
          <w:rFonts w:ascii="Arial" w:cs="Arial" w:eastAsia="Arial" w:hAnsi="Arial"/>
          <w:b w:val="false"/>
          <w:bCs w:val="false"/>
          <w:i w:val="false"/>
          <w:iCs w:val="false"/>
          <w:color w:val="000000"/>
          <w:sz w:val="22"/>
          <w:szCs w:val="22"/>
        </w:rPr>
        <w:t xml:space="preserve">A grandparent wants to give $10,000 to a grandchild on their eighteenth birthday, regardless of what happens to the grandparent between now and then.</w:t>
      </w:r>
    </w:p>
    <w:p>
      <w:pPr>
        <w:pStyle w:val="ListParagraph"/>
        <w:numPr>
          <w:ilvl w:val="0"/>
          <w:numId w:val="2"/>
        </w:numPr>
        <w:spacing w:before="40" w:after="40"/>
      </w:pPr>
      <w:r>
        <w:rPr>
          <w:rFonts w:ascii="Arial" w:cs="Arial" w:eastAsia="Arial" w:hAnsi="Arial"/>
          <w:sz w:val="22"/>
          <w:szCs w:val="22"/>
        </w:rPr>
        <w:t xml:space="preserve">TYPE S (Standard Promise) + PAY_AS USD at Maturity</w:t>
      </w:r>
    </w:p>
    <w:p>
      <w:pPr>
        <w:pStyle w:val="ListParagraph"/>
        <w:numPr>
          <w:ilvl w:val="0"/>
          <w:numId w:val="2"/>
        </w:numPr>
        <w:spacing w:before="40" w:after="40"/>
      </w:pPr>
      <w:r>
        <w:rPr>
          <w:rFonts w:ascii="Arial" w:cs="Arial" w:eastAsia="Arial" w:hAnsi="Arial"/>
          <w:sz w:val="22"/>
          <w:szCs w:val="22"/>
        </w:rPr>
        <w:t xml:space="preserve">Grandparent selects Future Send with Beneficiary in the desktop wallet.</w:t>
      </w:r>
    </w:p>
    <w:p>
      <w:pPr>
        <w:pStyle w:val="ListParagraph"/>
        <w:numPr>
          <w:ilvl w:val="0"/>
          <w:numId w:val="2"/>
        </w:numPr>
        <w:spacing w:before="40" w:after="40"/>
      </w:pPr>
      <w:r>
        <w:rPr>
          <w:rFonts w:ascii="Arial" w:cs="Arial" w:eastAsia="Arial" w:hAnsi="Arial"/>
          <w:sz w:val="22"/>
          <w:szCs w:val="22"/>
        </w:rPr>
        <w:t xml:space="preserve">Specifies $10,000 USD, unlock date set to the child's 18th birthday, beneficiary context encrypted on-chain.</w:t>
      </w:r>
    </w:p>
    <w:p>
      <w:pPr>
        <w:pStyle w:val="ListParagraph"/>
        <w:numPr>
          <w:ilvl w:val="0"/>
          <w:numId w:val="2"/>
        </w:numPr>
        <w:spacing w:before="40" w:after="40"/>
      </w:pPr>
      <w:r>
        <w:rPr>
          <w:rFonts w:ascii="Arial" w:cs="Arial" w:eastAsia="Arial" w:hAnsi="Arial"/>
          <w:sz w:val="22"/>
          <w:szCs w:val="22"/>
        </w:rPr>
        <w:t xml:space="preserve">Promise is irrevocable after the cancellation window. Delivers automatically.</w:t>
      </w:r>
    </w:p>
    <w:p>
      <w:pPr>
        <w:pStyle w:val="ListParagraph"/>
        <w:numPr>
          <w:ilvl w:val="0"/>
          <w:numId w:val="2"/>
        </w:numPr>
        <w:spacing w:before="40" w:after="40"/>
      </w:pPr>
      <w:r>
        <w:rPr>
          <w:rFonts w:ascii="Arial" w:cs="Arial" w:eastAsia="Arial" w:hAnsi="Arial"/>
          <w:sz w:val="22"/>
          <w:szCs w:val="22"/>
        </w:rPr>
        <w:t xml:space="preserve">If the child's email no longer exists, Verifas attestors use the encrypted context to locate and verify the recipient.</w:t>
      </w:r>
    </w:p>
    <w:p>
      <w:pPr>
        <w:spacing w:before="60" w:after="120"/>
        <w:jc w:val="both"/>
      </w:pPr>
      <w:r>
        <w:rPr>
          <w:rFonts w:ascii="Arial" w:cs="Arial" w:eastAsia="Arial" w:hAnsi="Arial"/>
          <w:b w:val="false"/>
          <w:bCs w:val="false"/>
          <w:i w:val="false"/>
          <w:iCs w:val="false"/>
          <w:color w:val="000000"/>
          <w:sz w:val="22"/>
          <w:szCs w:val="22"/>
        </w:rPr>
        <w:t xml:space="preserve">Result: A legally-independent, intermediary-free inheritance that survives the death or incapacity of the sender.</w:t>
      </w:r>
    </w:p>
    <w:p>
      <w:pPr>
        <w:pStyle w:val="Heading2"/>
        <w:spacing w:before="280" w:after="120"/>
      </w:pPr>
      <w:r>
        <w:rPr>
          <w:rFonts w:ascii="Arial" w:cs="Arial" w:eastAsia="Arial" w:hAnsi="Arial"/>
          <w:b/>
          <w:bCs/>
          <w:color w:val="000000"/>
          <w:sz w:val="28"/>
          <w:szCs w:val="28"/>
        </w:rPr>
        <w:t xml:space="preserve">A.1.2 — Child Support Enforcement</w:t>
      </w:r>
    </w:p>
    <w:p>
      <w:pPr>
        <w:spacing w:before="60" w:after="120"/>
        <w:jc w:val="both"/>
      </w:pPr>
      <w:r>
        <w:rPr>
          <w:rFonts w:ascii="Arial" w:cs="Arial" w:eastAsia="Arial" w:hAnsi="Arial"/>
          <w:b w:val="false"/>
          <w:bCs w:val="false"/>
          <w:i w:val="false"/>
          <w:iCs w:val="false"/>
          <w:color w:val="000000"/>
          <w:sz w:val="22"/>
          <w:szCs w:val="22"/>
        </w:rPr>
        <w:t xml:space="preserve">A court orders monthly child support for ten years. Both parties want an immutable compliance record.</w:t>
      </w:r>
    </w:p>
    <w:p>
      <w:pPr>
        <w:pStyle w:val="ListParagraph"/>
        <w:numPr>
          <w:ilvl w:val="0"/>
          <w:numId w:val="2"/>
        </w:numPr>
        <w:spacing w:before="40" w:after="40"/>
      </w:pPr>
      <w:r>
        <w:rPr>
          <w:rFonts w:ascii="Arial" w:cs="Arial" w:eastAsia="Arial" w:hAnsi="Arial"/>
          <w:sz w:val="22"/>
          <w:szCs w:val="22"/>
        </w:rPr>
        <w:t xml:space="preserve">CASCADE (120 monthly stages) + MISAI monitoring</w:t>
      </w:r>
    </w:p>
    <w:p>
      <w:pPr>
        <w:pStyle w:val="ListParagraph"/>
        <w:numPr>
          <w:ilvl w:val="0"/>
          <w:numId w:val="2"/>
        </w:numPr>
        <w:spacing w:before="40" w:after="40"/>
      </w:pPr>
      <w:r>
        <w:rPr>
          <w:rFonts w:ascii="Arial" w:cs="Arial" w:eastAsia="Arial" w:hAnsi="Arial"/>
          <w:sz w:val="22"/>
          <w:szCs w:val="22"/>
        </w:rPr>
        <w:t xml:space="preserve">Obligor encodes all 120 stages in one transaction. MISAI sends reminders.</w:t>
      </w:r>
    </w:p>
    <w:p>
      <w:pPr>
        <w:pStyle w:val="ListParagraph"/>
        <w:numPr>
          <w:ilvl w:val="0"/>
          <w:numId w:val="2"/>
        </w:numPr>
        <w:spacing w:before="40" w:after="40"/>
      </w:pPr>
      <w:r>
        <w:rPr>
          <w:rFonts w:ascii="Arial" w:cs="Arial" w:eastAsia="Arial" w:hAnsi="Arial"/>
          <w:sz w:val="22"/>
          <w:szCs w:val="22"/>
        </w:rPr>
        <w:t xml:space="preserve">Each payment permanently marked complete on the DAG.</w:t>
      </w:r>
    </w:p>
    <w:p>
      <w:pPr>
        <w:pStyle w:val="ListParagraph"/>
        <w:numPr>
          <w:ilvl w:val="0"/>
          <w:numId w:val="2"/>
        </w:numPr>
        <w:spacing w:before="40" w:after="40"/>
      </w:pPr>
      <w:r>
        <w:rPr>
          <w:rFonts w:ascii="Arial" w:cs="Arial" w:eastAsia="Arial" w:hAnsi="Arial"/>
          <w:sz w:val="22"/>
          <w:szCs w:val="22"/>
        </w:rPr>
        <w:t xml:space="preserve">Any missed payment generates a permanent, cryptographically signed DefaultRecord.</w:t>
      </w:r>
    </w:p>
    <w:p>
      <w:pPr>
        <w:spacing w:before="60" w:after="120"/>
        <w:jc w:val="both"/>
      </w:pPr>
      <w:r>
        <w:rPr>
          <w:rFonts w:ascii="Arial" w:cs="Arial" w:eastAsia="Arial" w:hAnsi="Arial"/>
          <w:b w:val="false"/>
          <w:bCs w:val="false"/>
          <w:i w:val="false"/>
          <w:iCs w:val="false"/>
          <w:color w:val="000000"/>
          <w:sz w:val="22"/>
          <w:szCs w:val="22"/>
        </w:rPr>
        <w:t xml:space="preserve">Result: A self-documenting compliance record requiring no court clerk, no bank statement, no disputes.</w:t>
      </w:r>
    </w:p>
    <w:p>
      <w:pPr>
        <w:pStyle w:val="Heading2"/>
        <w:spacing w:before="280" w:after="120"/>
      </w:pPr>
      <w:r>
        <w:rPr>
          <w:rFonts w:ascii="Arial" w:cs="Arial" w:eastAsia="Arial" w:hAnsi="Arial"/>
          <w:b/>
          <w:bCs/>
          <w:color w:val="000000"/>
          <w:sz w:val="28"/>
          <w:szCs w:val="28"/>
        </w:rPr>
        <w:t xml:space="preserve">A.1.3 — The Conditional Gift</w:t>
      </w:r>
    </w:p>
    <w:p>
      <w:pPr>
        <w:spacing w:before="60" w:after="120"/>
        <w:jc w:val="both"/>
      </w:pPr>
      <w:r>
        <w:rPr>
          <w:rFonts w:ascii="Arial" w:cs="Arial" w:eastAsia="Arial" w:hAnsi="Arial"/>
          <w:b w:val="false"/>
          <w:bCs w:val="false"/>
          <w:i w:val="false"/>
          <w:iCs w:val="false"/>
          <w:color w:val="000000"/>
          <w:sz w:val="22"/>
          <w:szCs w:val="22"/>
        </w:rPr>
        <w:t xml:space="preserve">A parent wants to give $50,000 when their child completes a college degree — only if they complete it.</w:t>
      </w:r>
    </w:p>
    <w:p>
      <w:pPr>
        <w:pStyle w:val="ListParagraph"/>
        <w:numPr>
          <w:ilvl w:val="0"/>
          <w:numId w:val="2"/>
        </w:numPr>
        <w:spacing w:before="40" w:after="40"/>
      </w:pPr>
      <w:r>
        <w:rPr>
          <w:rFonts w:ascii="Arial" w:cs="Arial" w:eastAsia="Arial" w:hAnsi="Arial"/>
          <w:sz w:val="22"/>
          <w:szCs w:val="22"/>
        </w:rPr>
        <w:t xml:space="preserve">TYPE V (Conditional Validity) + Verifas attestor</w:t>
      </w:r>
    </w:p>
    <w:p>
      <w:pPr>
        <w:pStyle w:val="ListParagraph"/>
        <w:numPr>
          <w:ilvl w:val="0"/>
          <w:numId w:val="2"/>
        </w:numPr>
        <w:spacing w:before="40" w:after="40"/>
      </w:pPr>
      <w:r>
        <w:rPr>
          <w:rFonts w:ascii="Arial" w:cs="Arial" w:eastAsia="Arial" w:hAnsi="Arial"/>
          <w:sz w:val="22"/>
          <w:szCs w:val="22"/>
        </w:rPr>
        <w:t xml:space="preserve">Funds locked on-chain until a bonded attestor verifies degree completion.</w:t>
      </w:r>
    </w:p>
    <w:p>
      <w:pPr>
        <w:pStyle w:val="ListParagraph"/>
        <w:numPr>
          <w:ilvl w:val="0"/>
          <w:numId w:val="2"/>
        </w:numPr>
        <w:spacing w:before="40" w:after="40"/>
      </w:pPr>
      <w:r>
        <w:rPr>
          <w:rFonts w:ascii="Arial" w:cs="Arial" w:eastAsia="Arial" w:hAnsi="Arial"/>
          <w:sz w:val="22"/>
          <w:szCs w:val="22"/>
        </w:rPr>
        <w:t xml:space="preserve">On graduation, child provides proof; attestor signs release; funds transfer automatically.</w:t>
      </w:r>
    </w:p>
    <w:p>
      <w:pPr>
        <w:spacing w:before="60" w:after="120"/>
        <w:jc w:val="both"/>
      </w:pPr>
      <w:r>
        <w:rPr>
          <w:rFonts w:ascii="Arial" w:cs="Arial" w:eastAsia="Arial" w:hAnsi="Arial"/>
          <w:b w:val="false"/>
          <w:bCs w:val="false"/>
          <w:i w:val="false"/>
          <w:iCs w:val="false"/>
          <w:color w:val="000000"/>
          <w:sz w:val="22"/>
          <w:szCs w:val="22"/>
        </w:rPr>
        <w:t xml:space="preserve">Result: A conditional bequest with no trust, no trustee, and no fees.</w:t>
      </w:r>
    </w:p>
    <w:p>
      <w:pPr>
        <w:pStyle w:val="Heading2"/>
        <w:spacing w:before="280" w:after="120"/>
      </w:pPr>
      <w:r>
        <w:rPr>
          <w:rFonts w:ascii="Arial" w:cs="Arial" w:eastAsia="Arial" w:hAnsi="Arial"/>
          <w:b/>
          <w:bCs/>
          <w:color w:val="000000"/>
          <w:sz w:val="28"/>
          <w:szCs w:val="28"/>
        </w:rPr>
        <w:t xml:space="preserve">A.1.4 — Recurring Charitable Pledge</w:t>
      </w:r>
    </w:p>
    <w:p>
      <w:pPr>
        <w:spacing w:before="60" w:after="120"/>
        <w:jc w:val="both"/>
      </w:pPr>
      <w:r>
        <w:rPr>
          <w:rFonts w:ascii="Arial" w:cs="Arial" w:eastAsia="Arial" w:hAnsi="Arial"/>
          <w:b w:val="false"/>
          <w:bCs w:val="false"/>
          <w:i w:val="false"/>
          <w:iCs w:val="false"/>
          <w:color w:val="000000"/>
          <w:sz w:val="22"/>
          <w:szCs w:val="22"/>
        </w:rPr>
        <w:t xml:space="preserve">A donor commits to giving $1,000/year for ten years to a nonprofit.</w:t>
      </w:r>
    </w:p>
    <w:p>
      <w:pPr>
        <w:pStyle w:val="ListParagraph"/>
        <w:numPr>
          <w:ilvl w:val="0"/>
          <w:numId w:val="2"/>
        </w:numPr>
        <w:spacing w:before="40" w:after="40"/>
      </w:pPr>
      <w:r>
        <w:rPr>
          <w:rFonts w:ascii="Arial" w:cs="Arial" w:eastAsia="Arial" w:hAnsi="Arial"/>
          <w:sz w:val="22"/>
          <w:szCs w:val="22"/>
        </w:rPr>
        <w:t xml:space="preserve">CASCADE (10 annual stages), irrevocable after cancellation window</w:t>
      </w:r>
    </w:p>
    <w:p>
      <w:pPr>
        <w:pStyle w:val="ListParagraph"/>
        <w:numPr>
          <w:ilvl w:val="0"/>
          <w:numId w:val="2"/>
        </w:numPr>
        <w:spacing w:before="40" w:after="40"/>
      </w:pPr>
      <w:r>
        <w:rPr>
          <w:rFonts w:ascii="Arial" w:cs="Arial" w:eastAsia="Arial" w:hAnsi="Arial"/>
          <w:sz w:val="22"/>
          <w:szCs w:val="22"/>
        </w:rPr>
        <w:t xml:space="preserve">Nonprofit receives automatically each year. Optional TYPE V matching condition supported.</w:t>
      </w:r>
    </w:p>
    <w:p>
      <w:pPr>
        <w:spacing w:before="60" w:after="120"/>
        <w:jc w:val="both"/>
      </w:pPr>
      <w:r>
        <w:rPr>
          <w:rFonts w:ascii="Arial" w:cs="Arial" w:eastAsia="Arial" w:hAnsi="Arial"/>
          <w:b w:val="false"/>
          <w:bCs w:val="false"/>
          <w:i w:val="false"/>
          <w:iCs w:val="false"/>
          <w:color w:val="000000"/>
          <w:sz w:val="22"/>
          <w:szCs w:val="22"/>
        </w:rPr>
        <w:t xml:space="preserve">Result: A binding charitable pledge on-chain without foundation administration overhead.</w:t>
      </w:r>
    </w:p>
    <w:p>
      <w:r>
        <w:br w:type="page"/>
      </w:r>
    </w:p>
    <w:p>
      <w:pPr>
        <w:pStyle w:val="Heading1"/>
        <w:spacing w:before="400" w:after="120"/>
      </w:pPr>
      <w:r>
        <w:rPr>
          <w:rFonts w:ascii="Arial" w:cs="Arial" w:eastAsia="Arial" w:hAnsi="Arial"/>
          <w:b/>
          <w:bCs/>
          <w:color w:val="C9A84C"/>
          <w:sz w:val="36"/>
          <w:szCs w:val="36"/>
        </w:rPr>
        <w:t xml:space="preserve">A.2 Legal and Professional</w:t>
      </w:r>
    </w:p>
    <w:p>
      <w:pPr>
        <w:pStyle w:val="Heading2"/>
        <w:spacing w:before="280" w:after="120"/>
      </w:pPr>
      <w:r>
        <w:rPr>
          <w:rFonts w:ascii="Arial" w:cs="Arial" w:eastAsia="Arial" w:hAnsi="Arial"/>
          <w:b/>
          <w:bCs/>
          <w:color w:val="000000"/>
          <w:sz w:val="28"/>
          <w:szCs w:val="28"/>
        </w:rPr>
        <w:t xml:space="preserve">A.2.1 — The Structured Settlement</w:t>
      </w:r>
    </w:p>
    <w:p>
      <w:pPr>
        <w:spacing w:before="60" w:after="120"/>
        <w:jc w:val="both"/>
      </w:pPr>
      <w:r>
        <w:rPr>
          <w:rFonts w:ascii="Arial" w:cs="Arial" w:eastAsia="Arial" w:hAnsi="Arial"/>
          <w:b w:val="false"/>
          <w:bCs w:val="false"/>
          <w:i w:val="false"/>
          <w:iCs w:val="false"/>
          <w:color w:val="000000"/>
          <w:sz w:val="22"/>
          <w:szCs w:val="22"/>
        </w:rPr>
        <w:t xml:space="preserve">A personal injury lawsuit settles for $500,000 payable over 20 years.</w:t>
      </w:r>
    </w:p>
    <w:p>
      <w:pPr>
        <w:pStyle w:val="ListParagraph"/>
        <w:numPr>
          <w:ilvl w:val="0"/>
          <w:numId w:val="2"/>
        </w:numPr>
        <w:spacing w:before="40" w:after="40"/>
      </w:pPr>
      <w:r>
        <w:rPr>
          <w:rFonts w:ascii="Arial" w:cs="Arial" w:eastAsia="Arial" w:hAnsi="Arial"/>
          <w:sz w:val="22"/>
          <w:szCs w:val="22"/>
        </w:rPr>
        <w:t xml:space="preserve">TYPE D (Debt Instrument) + PAY_AS USD at Maturity, monthly stages</w:t>
      </w:r>
    </w:p>
    <w:p>
      <w:pPr>
        <w:pStyle w:val="ListParagraph"/>
        <w:numPr>
          <w:ilvl w:val="0"/>
          <w:numId w:val="2"/>
        </w:numPr>
        <w:spacing w:before="40" w:after="40"/>
      </w:pPr>
      <w:r>
        <w:rPr>
          <w:rFonts w:ascii="Arial" w:cs="Arial" w:eastAsia="Arial" w:hAnsi="Arial"/>
          <w:sz w:val="22"/>
          <w:szCs w:val="22"/>
        </w:rPr>
        <w:t xml:space="preserve">Defendant deposits KX equivalent of full settlement into the locked instrument.</w:t>
      </w:r>
    </w:p>
    <w:p>
      <w:pPr>
        <w:pStyle w:val="ListParagraph"/>
        <w:numPr>
          <w:ilvl w:val="0"/>
          <w:numId w:val="2"/>
        </w:numPr>
        <w:spacing w:before="40" w:after="40"/>
      </w:pPr>
      <w:r>
        <w:rPr>
          <w:rFonts w:ascii="Arial" w:cs="Arial" w:eastAsia="Arial" w:hAnsi="Arial"/>
          <w:sz w:val="22"/>
          <w:szCs w:val="22"/>
        </w:rPr>
        <w:t xml:space="preserve">MISAI distributes monthly payments automatically for 20 years. No annuity company required.</w:t>
      </w:r>
    </w:p>
    <w:p>
      <w:pPr>
        <w:spacing w:before="60" w:after="120"/>
        <w:jc w:val="both"/>
      </w:pPr>
      <w:r>
        <w:rPr>
          <w:rFonts w:ascii="Arial" w:cs="Arial" w:eastAsia="Arial" w:hAnsi="Arial"/>
          <w:b w:val="false"/>
          <w:bCs w:val="false"/>
          <w:i w:val="false"/>
          <w:iCs w:val="false"/>
          <w:color w:val="000000"/>
          <w:sz w:val="22"/>
          <w:szCs w:val="22"/>
        </w:rPr>
        <w:t xml:space="preserve">Result: Zero administration cost, no counterparty insolvency risk.</w:t>
      </w:r>
    </w:p>
    <w:p>
      <w:pPr>
        <w:pStyle w:val="Heading2"/>
        <w:spacing w:before="280" w:after="120"/>
      </w:pPr>
      <w:r>
        <w:rPr>
          <w:rFonts w:ascii="Arial" w:cs="Arial" w:eastAsia="Arial" w:hAnsi="Arial"/>
          <w:b/>
          <w:bCs/>
          <w:color w:val="000000"/>
          <w:sz w:val="28"/>
          <w:szCs w:val="28"/>
        </w:rPr>
        <w:t xml:space="preserve">A.2.2 — Attorney Escrow</w:t>
      </w:r>
    </w:p>
    <w:p>
      <w:pPr>
        <w:spacing w:before="60" w:after="120"/>
        <w:jc w:val="both"/>
      </w:pPr>
      <w:r>
        <w:rPr>
          <w:rFonts w:ascii="Arial" w:cs="Arial" w:eastAsia="Arial" w:hAnsi="Arial"/>
          <w:b w:val="false"/>
          <w:bCs w:val="false"/>
          <w:i w:val="false"/>
          <w:iCs w:val="false"/>
          <w:color w:val="000000"/>
          <w:sz w:val="22"/>
          <w:szCs w:val="22"/>
        </w:rPr>
        <w:t xml:space="preserve">A law firm holds settlement funds pending resolution of conditions.</w:t>
      </w:r>
    </w:p>
    <w:p>
      <w:pPr>
        <w:pStyle w:val="ListParagraph"/>
        <w:numPr>
          <w:ilvl w:val="0"/>
          <w:numId w:val="2"/>
        </w:numPr>
        <w:spacing w:before="40" w:after="40"/>
      </w:pPr>
      <w:r>
        <w:rPr>
          <w:rFonts w:ascii="Arial" w:cs="Arial" w:eastAsia="Arial" w:hAnsi="Arial"/>
          <w:sz w:val="22"/>
          <w:szCs w:val="22"/>
        </w:rPr>
        <w:t xml:space="preserve">TYPE V (Conditional Validity) + attorney as bonded attestor</w:t>
      </w:r>
    </w:p>
    <w:p>
      <w:pPr>
        <w:pStyle w:val="ListParagraph"/>
        <w:numPr>
          <w:ilvl w:val="0"/>
          <w:numId w:val="2"/>
        </w:numPr>
        <w:spacing w:before="40" w:after="40"/>
      </w:pPr>
      <w:r>
        <w:rPr>
          <w:rFonts w:ascii="Arial" w:cs="Arial" w:eastAsia="Arial" w:hAnsi="Arial"/>
          <w:sz w:val="22"/>
          <w:szCs w:val="22"/>
        </w:rPr>
        <w:t xml:space="preserve">Funds locked. Attorney signs attestation when conditions met. Funds release automatically.</w:t>
      </w:r>
    </w:p>
    <w:p>
      <w:pPr>
        <w:pStyle w:val="ListParagraph"/>
        <w:numPr>
          <w:ilvl w:val="0"/>
          <w:numId w:val="2"/>
        </w:numPr>
        <w:spacing w:before="40" w:after="40"/>
      </w:pPr>
      <w:r>
        <w:rPr>
          <w:rFonts w:ascii="Arial" w:cs="Arial" w:eastAsia="Arial" w:hAnsi="Arial"/>
          <w:sz w:val="22"/>
          <w:szCs w:val="22"/>
        </w:rPr>
        <w:t xml:space="preserve">Complete chain of custody permanently visible on the DAG.</w:t>
      </w:r>
    </w:p>
    <w:p>
      <w:pPr>
        <w:spacing w:before="60" w:after="120"/>
        <w:jc w:val="both"/>
      </w:pPr>
      <w:r>
        <w:rPr>
          <w:rFonts w:ascii="Arial" w:cs="Arial" w:eastAsia="Arial" w:hAnsi="Arial"/>
          <w:b w:val="false"/>
          <w:bCs w:val="false"/>
          <w:i w:val="false"/>
          <w:iCs w:val="false"/>
          <w:color w:val="000000"/>
          <w:sz w:val="22"/>
          <w:szCs w:val="22"/>
        </w:rPr>
        <w:t xml:space="preserve">Result: Escrow with an immutable audit trail and no separate escrow account.</w:t>
      </w:r>
    </w:p>
    <w:p>
      <w:pPr>
        <w:pStyle w:val="Heading2"/>
        <w:spacing w:before="280" w:after="120"/>
      </w:pPr>
      <w:r>
        <w:rPr>
          <w:rFonts w:ascii="Arial" w:cs="Arial" w:eastAsia="Arial" w:hAnsi="Arial"/>
          <w:b/>
          <w:bCs/>
          <w:color w:val="000000"/>
          <w:sz w:val="28"/>
          <w:szCs w:val="28"/>
        </w:rPr>
        <w:t xml:space="preserve">A.2.3 — Deferred Compensation Vesting</w:t>
      </w:r>
    </w:p>
    <w:p>
      <w:pPr>
        <w:spacing w:before="60" w:after="120"/>
        <w:jc w:val="both"/>
      </w:pPr>
      <w:r>
        <w:rPr>
          <w:rFonts w:ascii="Arial" w:cs="Arial" w:eastAsia="Arial" w:hAnsi="Arial"/>
          <w:b w:val="false"/>
          <w:bCs w:val="false"/>
          <w:i w:val="false"/>
          <w:iCs w:val="false"/>
          <w:color w:val="000000"/>
          <w:sz w:val="22"/>
          <w:szCs w:val="22"/>
        </w:rPr>
        <w:t xml:space="preserve">An employer grants a $200,000 retention bonus vesting over four years with a one-year cliff.</w:t>
      </w:r>
    </w:p>
    <w:p>
      <w:pPr>
        <w:pStyle w:val="ListParagraph"/>
        <w:numPr>
          <w:ilvl w:val="0"/>
          <w:numId w:val="2"/>
        </w:numPr>
        <w:spacing w:before="40" w:after="40"/>
      </w:pPr>
      <w:r>
        <w:rPr>
          <w:rFonts w:ascii="Arial" w:cs="Arial" w:eastAsia="Arial" w:hAnsi="Arial"/>
          <w:sz w:val="22"/>
          <w:szCs w:val="22"/>
        </w:rPr>
        <w:t xml:space="preserve">CASCADE (4 annual stages) + TYPE V cliff condition</w:t>
      </w:r>
    </w:p>
    <w:p>
      <w:pPr>
        <w:pStyle w:val="ListParagraph"/>
        <w:numPr>
          <w:ilvl w:val="0"/>
          <w:numId w:val="2"/>
        </w:numPr>
        <w:spacing w:before="40" w:after="40"/>
      </w:pPr>
      <w:r>
        <w:rPr>
          <w:rFonts w:ascii="Arial" w:cs="Arial" w:eastAsia="Arial" w:hAnsi="Arial"/>
          <w:sz w:val="22"/>
          <w:szCs w:val="22"/>
        </w:rPr>
        <w:t xml:space="preserve">1-year cliff encoded as TYPE V — if employment ends before year one, first stage does not release.</w:t>
      </w:r>
    </w:p>
    <w:p>
      <w:pPr>
        <w:pStyle w:val="ListParagraph"/>
        <w:numPr>
          <w:ilvl w:val="0"/>
          <w:numId w:val="2"/>
        </w:numPr>
        <w:spacing w:before="40" w:after="40"/>
      </w:pPr>
      <w:r>
        <w:rPr>
          <w:rFonts w:ascii="Arial" w:cs="Arial" w:eastAsia="Arial" w:hAnsi="Arial"/>
          <w:sz w:val="22"/>
          <w:szCs w:val="22"/>
        </w:rPr>
        <w:t xml:space="preserve">Stages 2–4 release annually once cliff is cleared.</w:t>
      </w:r>
    </w:p>
    <w:p>
      <w:pPr>
        <w:spacing w:before="60" w:after="120"/>
        <w:jc w:val="both"/>
      </w:pPr>
      <w:r>
        <w:rPr>
          <w:rFonts w:ascii="Arial" w:cs="Arial" w:eastAsia="Arial" w:hAnsi="Arial"/>
          <w:b w:val="false"/>
          <w:bCs w:val="false"/>
          <w:i w:val="false"/>
          <w:iCs w:val="false"/>
          <w:color w:val="000000"/>
          <w:sz w:val="22"/>
          <w:szCs w:val="22"/>
        </w:rPr>
        <w:t xml:space="preserve">Result: Vesting schedule requiring no stock option agreement, no 409A valuation.</w:t>
      </w:r>
    </w:p>
    <w:p>
      <w:pPr>
        <w:pStyle w:val="Heading2"/>
        <w:spacing w:before="280" w:after="120"/>
      </w:pPr>
      <w:r>
        <w:rPr>
          <w:rFonts w:ascii="Arial" w:cs="Arial" w:eastAsia="Arial" w:hAnsi="Arial"/>
          <w:b/>
          <w:bCs/>
          <w:color w:val="000000"/>
          <w:sz w:val="28"/>
          <w:szCs w:val="28"/>
        </w:rPr>
        <w:t xml:space="preserve">A.2.4 — Cross-Border Royalty Payments</w:t>
      </w:r>
    </w:p>
    <w:p>
      <w:pPr>
        <w:spacing w:before="60" w:after="120"/>
        <w:jc w:val="both"/>
      </w:pPr>
      <w:r>
        <w:rPr>
          <w:rFonts w:ascii="Arial" w:cs="Arial" w:eastAsia="Arial" w:hAnsi="Arial"/>
          <w:b w:val="false"/>
          <w:bCs w:val="false"/>
          <w:i w:val="false"/>
          <w:iCs w:val="false"/>
          <w:color w:val="000000"/>
          <w:sz w:val="22"/>
          <w:szCs w:val="22"/>
        </w:rPr>
        <w:t xml:space="preserve">A music publisher owes quarterly royalties to an international artist for 10 years.</w:t>
      </w:r>
    </w:p>
    <w:p>
      <w:pPr>
        <w:pStyle w:val="ListParagraph"/>
        <w:numPr>
          <w:ilvl w:val="0"/>
          <w:numId w:val="2"/>
        </w:numPr>
        <w:spacing w:before="40" w:after="40"/>
      </w:pPr>
      <w:r>
        <w:rPr>
          <w:rFonts w:ascii="Arial" w:cs="Arial" w:eastAsia="Arial" w:hAnsi="Arial"/>
          <w:sz w:val="22"/>
          <w:szCs w:val="22"/>
        </w:rPr>
        <w:t xml:space="preserve">CASCADE + PAY_AS USD at Maturity (40 quarterly stages)</w:t>
      </w:r>
    </w:p>
    <w:p>
      <w:pPr>
        <w:pStyle w:val="ListParagraph"/>
        <w:numPr>
          <w:ilvl w:val="0"/>
          <w:numId w:val="2"/>
        </w:numPr>
        <w:spacing w:before="40" w:after="40"/>
      </w:pPr>
      <w:r>
        <w:rPr>
          <w:rFonts w:ascii="Arial" w:cs="Arial" w:eastAsia="Arial" w:hAnsi="Arial"/>
          <w:sz w:val="22"/>
          <w:szCs w:val="22"/>
        </w:rPr>
        <w:t xml:space="preserve">Publisher encodes 40 stages denominated in USD. Artist receives USD-equivalent KX automatically each quarter.</w:t>
      </w:r>
    </w:p>
    <w:p>
      <w:pPr>
        <w:spacing w:before="60" w:after="120"/>
        <w:jc w:val="both"/>
      </w:pPr>
      <w:r>
        <w:rPr>
          <w:rFonts w:ascii="Arial" w:cs="Arial" w:eastAsia="Arial" w:hAnsi="Arial"/>
          <w:b w:val="false"/>
          <w:bCs w:val="false"/>
          <w:i w:val="false"/>
          <w:iCs w:val="false"/>
          <w:color w:val="000000"/>
          <w:sz w:val="22"/>
          <w:szCs w:val="22"/>
        </w:rPr>
        <w:t xml:space="preserve">Result: Zero wire transfer fees, zero correspondent bank delays, permanent payment history.</w:t>
      </w:r>
    </w:p>
    <w:p>
      <w:r>
        <w:br w:type="page"/>
      </w:r>
    </w:p>
    <w:p>
      <w:pPr>
        <w:pStyle w:val="Heading1"/>
        <w:spacing w:before="400" w:after="120"/>
      </w:pPr>
      <w:r>
        <w:rPr>
          <w:rFonts w:ascii="Arial" w:cs="Arial" w:eastAsia="Arial" w:hAnsi="Arial"/>
          <w:b/>
          <w:bCs/>
          <w:color w:val="C9A84C"/>
          <w:sz w:val="36"/>
          <w:szCs w:val="36"/>
        </w:rPr>
        <w:t xml:space="preserve">A.3 Business and Institutional</w:t>
      </w:r>
    </w:p>
    <w:p>
      <w:pPr>
        <w:pStyle w:val="Heading2"/>
        <w:spacing w:before="280" w:after="120"/>
      </w:pPr>
      <w:r>
        <w:rPr>
          <w:rFonts w:ascii="Arial" w:cs="Arial" w:eastAsia="Arial" w:hAnsi="Arial"/>
          <w:b/>
          <w:bCs/>
          <w:color w:val="000000"/>
          <w:sz w:val="28"/>
          <w:szCs w:val="28"/>
        </w:rPr>
        <w:t xml:space="preserve">A.3.1 — The Corporate Bond Equivalent</w:t>
      </w:r>
    </w:p>
    <w:p>
      <w:pPr>
        <w:spacing w:before="60" w:after="120"/>
        <w:jc w:val="both"/>
      </w:pPr>
      <w:r>
        <w:rPr>
          <w:rFonts w:ascii="Arial" w:cs="Arial" w:eastAsia="Arial" w:hAnsi="Arial"/>
          <w:b w:val="false"/>
          <w:bCs w:val="false"/>
          <w:i w:val="false"/>
          <w:iCs w:val="false"/>
          <w:color w:val="000000"/>
          <w:sz w:val="22"/>
          <w:szCs w:val="22"/>
        </w:rPr>
        <w:t xml:space="preserve">A company raises $2M via a 5-year bond paying 8% annually.</w:t>
      </w:r>
    </w:p>
    <w:p>
      <w:pPr>
        <w:pStyle w:val="ListParagraph"/>
        <w:numPr>
          <w:ilvl w:val="0"/>
          <w:numId w:val="2"/>
        </w:numPr>
        <w:spacing w:before="40" w:after="40"/>
      </w:pPr>
      <w:r>
        <w:rPr>
          <w:rFonts w:ascii="Arial" w:cs="Arial" w:eastAsia="Arial" w:hAnsi="Arial"/>
          <w:sz w:val="22"/>
          <w:szCs w:val="22"/>
        </w:rPr>
        <w:t xml:space="preserve">TYPE Y + CASCADE (5 annual coupons) + PAY_AS USD + HedgeX protection available</w:t>
      </w:r>
    </w:p>
    <w:p>
      <w:pPr>
        <w:pStyle w:val="ListParagraph"/>
        <w:numPr>
          <w:ilvl w:val="0"/>
          <w:numId w:val="2"/>
        </w:numPr>
        <w:spacing w:before="40" w:after="40"/>
      </w:pPr>
      <w:r>
        <w:rPr>
          <w:rFonts w:ascii="Arial" w:cs="Arial" w:eastAsia="Arial" w:hAnsi="Arial"/>
          <w:sz w:val="22"/>
          <w:szCs w:val="22"/>
        </w:rPr>
        <w:t xml:space="preserve">Annual coupon payments and bullet principal repayment encoded on-chain.</w:t>
      </w:r>
    </w:p>
    <w:p>
      <w:pPr>
        <w:pStyle w:val="ListParagraph"/>
        <w:numPr>
          <w:ilvl w:val="0"/>
          <w:numId w:val="2"/>
        </w:numPr>
        <w:spacing w:before="40" w:after="40"/>
      </w:pPr>
      <w:r>
        <w:rPr>
          <w:rFonts w:ascii="Arial" w:cs="Arial" w:eastAsia="Arial" w:hAnsi="Arial"/>
          <w:sz w:val="22"/>
          <w:szCs w:val="22"/>
        </w:rPr>
        <w:t xml:space="preserve">Entire bond structure publicly auditable. No trustee required.</w:t>
      </w:r>
    </w:p>
    <w:p>
      <w:pPr>
        <w:spacing w:before="60" w:after="120"/>
        <w:jc w:val="both"/>
      </w:pPr>
      <w:r>
        <w:rPr>
          <w:rFonts w:ascii="Arial" w:cs="Arial" w:eastAsia="Arial" w:hAnsi="Arial"/>
          <w:b w:val="false"/>
          <w:bCs w:val="false"/>
          <w:i w:val="false"/>
          <w:iCs w:val="false"/>
          <w:color w:val="000000"/>
          <w:sz w:val="22"/>
          <w:szCs w:val="22"/>
        </w:rPr>
        <w:t xml:space="preserve">Result: Bond-equivalent instrument with zero administration cost and real-time public payment status.</w:t>
      </w:r>
    </w:p>
    <w:p>
      <w:pPr>
        <w:pStyle w:val="Heading2"/>
        <w:spacing w:before="280" w:after="120"/>
      </w:pPr>
      <w:r>
        <w:rPr>
          <w:rFonts w:ascii="Arial" w:cs="Arial" w:eastAsia="Arial" w:hAnsi="Arial"/>
          <w:b/>
          <w:bCs/>
          <w:color w:val="000000"/>
          <w:sz w:val="28"/>
          <w:szCs w:val="28"/>
        </w:rPr>
        <w:t xml:space="preserve">A.3.2 — Subscription Billing</w:t>
      </w:r>
    </w:p>
    <w:p>
      <w:pPr>
        <w:spacing w:before="60" w:after="120"/>
        <w:jc w:val="both"/>
      </w:pPr>
      <w:r>
        <w:rPr>
          <w:rFonts w:ascii="Arial" w:cs="Arial" w:eastAsia="Arial" w:hAnsi="Arial"/>
          <w:b w:val="false"/>
          <w:bCs w:val="false"/>
          <w:i w:val="false"/>
          <w:iCs w:val="false"/>
          <w:color w:val="000000"/>
          <w:sz w:val="22"/>
          <w:szCs w:val="22"/>
        </w:rPr>
        <w:t xml:space="preserve">A software company charges $500/month per enterprise client.</w:t>
      </w:r>
    </w:p>
    <w:p>
      <w:pPr>
        <w:pStyle w:val="ListParagraph"/>
        <w:numPr>
          <w:ilvl w:val="0"/>
          <w:numId w:val="2"/>
        </w:numPr>
        <w:spacing w:before="40" w:after="40"/>
      </w:pPr>
      <w:r>
        <w:rPr>
          <w:rFonts w:ascii="Arial" w:cs="Arial" w:eastAsia="Arial" w:hAnsi="Arial"/>
          <w:sz w:val="22"/>
          <w:szCs w:val="22"/>
        </w:rPr>
        <w:t xml:space="preserve">TYPE C (Credit Authorization)</w:t>
      </w:r>
    </w:p>
    <w:p>
      <w:pPr>
        <w:pStyle w:val="ListParagraph"/>
        <w:numPr>
          <w:ilvl w:val="0"/>
          <w:numId w:val="2"/>
        </w:numPr>
        <w:spacing w:before="40" w:after="40"/>
      </w:pPr>
      <w:r>
        <w:rPr>
          <w:rFonts w:ascii="Arial" w:cs="Arial" w:eastAsia="Arial" w:hAnsi="Arial"/>
          <w:sz w:val="22"/>
          <w:szCs w:val="22"/>
        </w:rPr>
        <w:t xml:space="preserve">Client pre-authorizes monthly draws up to $500. Company draws automatically. Client can revoke at any time.</w:t>
      </w:r>
    </w:p>
    <w:p>
      <w:pPr>
        <w:spacing w:before="60" w:after="120"/>
        <w:jc w:val="both"/>
      </w:pPr>
      <w:r>
        <w:rPr>
          <w:rFonts w:ascii="Arial" w:cs="Arial" w:eastAsia="Arial" w:hAnsi="Arial"/>
          <w:b w:val="false"/>
          <w:bCs w:val="false"/>
          <w:i w:val="false"/>
          <w:iCs w:val="false"/>
          <w:color w:val="000000"/>
          <w:sz w:val="22"/>
          <w:szCs w:val="22"/>
        </w:rPr>
        <w:t xml:space="preserve">Result: Subscription billing with no credit card processor, no chargebacks, no payment failures.</w:t>
      </w:r>
    </w:p>
    <w:p>
      <w:pPr>
        <w:pStyle w:val="Heading2"/>
        <w:spacing w:before="280" w:after="120"/>
      </w:pPr>
      <w:r>
        <w:rPr>
          <w:rFonts w:ascii="Arial" w:cs="Arial" w:eastAsia="Arial" w:hAnsi="Arial"/>
          <w:b/>
          <w:bCs/>
          <w:color w:val="000000"/>
          <w:sz w:val="28"/>
          <w:szCs w:val="28"/>
        </w:rPr>
        <w:t xml:space="preserve">A.3.3 — Supply Chain Milestone Payments</w:t>
      </w:r>
    </w:p>
    <w:p>
      <w:pPr>
        <w:spacing w:before="60" w:after="120"/>
        <w:jc w:val="both"/>
      </w:pPr>
      <w:r>
        <w:rPr>
          <w:rFonts w:ascii="Arial" w:cs="Arial" w:eastAsia="Arial" w:hAnsi="Arial"/>
          <w:b w:val="false"/>
          <w:bCs w:val="false"/>
          <w:i w:val="false"/>
          <w:iCs w:val="false"/>
          <w:color w:val="000000"/>
          <w:sz w:val="22"/>
          <w:szCs w:val="22"/>
        </w:rPr>
        <w:t xml:space="preserve">A manufacturer pays a supplier in five milestones as production stages complete.</w:t>
      </w:r>
    </w:p>
    <w:p>
      <w:pPr>
        <w:pStyle w:val="ListParagraph"/>
        <w:numPr>
          <w:ilvl w:val="0"/>
          <w:numId w:val="2"/>
        </w:numPr>
        <w:spacing w:before="40" w:after="40"/>
      </w:pPr>
      <w:r>
        <w:rPr>
          <w:rFonts w:ascii="Arial" w:cs="Arial" w:eastAsia="Arial" w:hAnsi="Arial"/>
          <w:sz w:val="22"/>
          <w:szCs w:val="22"/>
        </w:rPr>
        <w:t xml:space="preserve">CASCADE + TYPE V milestone conditions + bonded attestor per milestone</w:t>
      </w:r>
    </w:p>
    <w:p>
      <w:pPr>
        <w:pStyle w:val="ListParagraph"/>
        <w:numPr>
          <w:ilvl w:val="0"/>
          <w:numId w:val="2"/>
        </w:numPr>
        <w:spacing w:before="40" w:after="40"/>
      </w:pPr>
      <w:r>
        <w:rPr>
          <w:rFonts w:ascii="Arial" w:cs="Arial" w:eastAsia="Arial" w:hAnsi="Arial"/>
          <w:sz w:val="22"/>
          <w:szCs w:val="22"/>
        </w:rPr>
        <w:t xml:space="preserve">Each stage releases when attestor verifies corresponding milestone. Supplier has cryptographic certainty.</w:t>
      </w:r>
    </w:p>
    <w:p>
      <w:pPr>
        <w:spacing w:before="60" w:after="120"/>
        <w:jc w:val="both"/>
      </w:pPr>
      <w:r>
        <w:rPr>
          <w:rFonts w:ascii="Arial" w:cs="Arial" w:eastAsia="Arial" w:hAnsi="Arial"/>
          <w:b w:val="false"/>
          <w:bCs w:val="false"/>
          <w:i w:val="false"/>
          <w:iCs w:val="false"/>
          <w:color w:val="000000"/>
          <w:sz w:val="22"/>
          <w:szCs w:val="22"/>
        </w:rPr>
        <w:t xml:space="preserve">Result: Replaces letters of credit, eliminates counterparty risk.</w:t>
      </w:r>
    </w:p>
    <w:p>
      <w:pPr>
        <w:pStyle w:val="Heading2"/>
        <w:spacing w:before="280" w:after="120"/>
      </w:pPr>
      <w:r>
        <w:rPr>
          <w:rFonts w:ascii="Arial" w:cs="Arial" w:eastAsia="Arial" w:hAnsi="Arial"/>
          <w:b/>
          <w:bCs/>
          <w:color w:val="000000"/>
          <w:sz w:val="28"/>
          <w:szCs w:val="28"/>
        </w:rPr>
        <w:t xml:space="preserve">A.3.4 — Dividend Distribution</w:t>
      </w:r>
    </w:p>
    <w:p>
      <w:pPr>
        <w:spacing w:before="60" w:after="120"/>
        <w:jc w:val="both"/>
      </w:pPr>
      <w:r>
        <w:rPr>
          <w:rFonts w:ascii="Arial" w:cs="Arial" w:eastAsia="Arial" w:hAnsi="Arial"/>
          <w:b w:val="false"/>
          <w:bCs w:val="false"/>
          <w:i w:val="false"/>
          <w:iCs w:val="false"/>
          <w:color w:val="000000"/>
          <w:sz w:val="22"/>
          <w:szCs w:val="22"/>
        </w:rPr>
        <w:t xml:space="preserve">A company distributes quarterly dividends proportionally to 500 token holders.</w:t>
      </w:r>
    </w:p>
    <w:p>
      <w:pPr>
        <w:pStyle w:val="ListParagraph"/>
        <w:numPr>
          <w:ilvl w:val="0"/>
          <w:numId w:val="2"/>
        </w:numPr>
        <w:spacing w:before="40" w:after="40"/>
      </w:pPr>
      <w:r>
        <w:rPr>
          <w:rFonts w:ascii="Arial" w:cs="Arial" w:eastAsia="Arial" w:hAnsi="Arial"/>
          <w:sz w:val="22"/>
          <w:szCs w:val="22"/>
        </w:rPr>
        <w:t xml:space="preserve">TYPE G (Wallet Group) + CASCADE proportional distribution</w:t>
      </w:r>
    </w:p>
    <w:p>
      <w:pPr>
        <w:pStyle w:val="ListParagraph"/>
        <w:numPr>
          <w:ilvl w:val="0"/>
          <w:numId w:val="2"/>
        </w:numPr>
        <w:spacing w:before="40" w:after="40"/>
      </w:pPr>
      <w:r>
        <w:rPr>
          <w:rFonts w:ascii="Arial" w:cs="Arial" w:eastAsia="Arial" w:hAnsi="Arial"/>
          <w:sz w:val="22"/>
          <w:szCs w:val="22"/>
        </w:rPr>
        <w:t xml:space="preserve">MISAI distributes proportionally to all group members in a single atomic transaction each quarter.</w:t>
      </w:r>
    </w:p>
    <w:p>
      <w:pPr>
        <w:spacing w:before="60" w:after="120"/>
        <w:jc w:val="both"/>
      </w:pPr>
      <w:r>
        <w:rPr>
          <w:rFonts w:ascii="Arial" w:cs="Arial" w:eastAsia="Arial" w:hAnsi="Arial"/>
          <w:b w:val="false"/>
          <w:bCs w:val="false"/>
          <w:i w:val="false"/>
          <w:iCs w:val="false"/>
          <w:color w:val="000000"/>
          <w:sz w:val="22"/>
          <w:szCs w:val="22"/>
        </w:rPr>
        <w:t xml:space="preserve">Result: 500 recipients, one transaction, zero processing cost.</w:t>
      </w:r>
    </w:p>
    <w:p>
      <w:r>
        <w:br w:type="page"/>
      </w:r>
    </w:p>
    <w:p>
      <w:pPr>
        <w:pStyle w:val="Heading1"/>
        <w:spacing w:before="400" w:after="120"/>
      </w:pPr>
      <w:r>
        <w:rPr>
          <w:rFonts w:ascii="Arial" w:cs="Arial" w:eastAsia="Arial" w:hAnsi="Arial"/>
          <w:b/>
          <w:bCs/>
          <w:color w:val="C9A84C"/>
          <w:sz w:val="36"/>
          <w:szCs w:val="36"/>
        </w:rPr>
        <w:t xml:space="preserve">A.4 AI Agent and Fintech</w:t>
      </w:r>
    </w:p>
    <w:p>
      <w:pPr>
        <w:pStyle w:val="Heading2"/>
        <w:spacing w:before="280" w:after="120"/>
      </w:pPr>
      <w:r>
        <w:rPr>
          <w:rFonts w:ascii="Arial" w:cs="Arial" w:eastAsia="Arial" w:hAnsi="Arial"/>
          <w:b/>
          <w:bCs/>
          <w:color w:val="000000"/>
          <w:sz w:val="28"/>
          <w:szCs w:val="28"/>
        </w:rPr>
        <w:t xml:space="preserve">A.4.1 — AI Trading Agent Settlement</w:t>
      </w:r>
    </w:p>
    <w:p>
      <w:pPr>
        <w:spacing w:before="60" w:after="120"/>
        <w:jc w:val="both"/>
      </w:pPr>
      <w:r>
        <w:rPr>
          <w:rFonts w:ascii="Arial" w:cs="Arial" w:eastAsia="Arial" w:hAnsi="Arial"/>
          <w:b w:val="false"/>
          <w:bCs w:val="false"/>
          <w:i w:val="false"/>
          <w:iCs w:val="false"/>
          <w:color w:val="000000"/>
          <w:sz w:val="22"/>
          <w:szCs w:val="22"/>
        </w:rPr>
        <w:t xml:space="preserve">An AI trading agent settles obligations in real time.</w:t>
      </w:r>
    </w:p>
    <w:p>
      <w:pPr>
        <w:pStyle w:val="ListParagraph"/>
        <w:numPr>
          <w:ilvl w:val="0"/>
          <w:numId w:val="2"/>
        </w:numPr>
        <w:spacing w:before="40" w:after="40"/>
      </w:pPr>
      <w:r>
        <w:rPr>
          <w:rFonts w:ascii="Arial" w:cs="Arial" w:eastAsia="Arial" w:hAnsi="Arial"/>
          <w:sz w:val="22"/>
          <w:szCs w:val="22"/>
        </w:rPr>
        <w:t xml:space="preserve">TYPE D (High Frequency) + TYPE M (MISAI Lock)</w:t>
      </w:r>
    </w:p>
    <w:p>
      <w:pPr>
        <w:pStyle w:val="ListParagraph"/>
        <w:numPr>
          <w:ilvl w:val="0"/>
          <w:numId w:val="2"/>
        </w:numPr>
        <w:spacing w:before="40" w:after="40"/>
      </w:pPr>
      <w:r>
        <w:rPr>
          <w:rFonts w:ascii="Arial" w:cs="Arial" w:eastAsia="Arial" w:hAnsi="Arial"/>
          <w:sz w:val="22"/>
          <w:szCs w:val="22"/>
        </w:rPr>
        <w:t xml:space="preserve">Settlement obligations encoded as high-frequency instruments — payments per minute or second.</w:t>
      </w:r>
    </w:p>
    <w:p>
      <w:pPr>
        <w:pStyle w:val="ListParagraph"/>
        <w:numPr>
          <w:ilvl w:val="0"/>
          <w:numId w:val="2"/>
        </w:numPr>
        <w:spacing w:before="40" w:after="40"/>
      </w:pPr>
      <w:r>
        <w:rPr>
          <w:rFonts w:ascii="Arial" w:cs="Arial" w:eastAsia="Arial" w:hAnsi="Arial"/>
          <w:sz w:val="22"/>
          <w:szCs w:val="22"/>
        </w:rPr>
        <w:t xml:space="preserve">Axiom IV ensures decision agent and custody agent are always separate entities.</w:t>
      </w:r>
    </w:p>
    <w:p>
      <w:pPr>
        <w:spacing w:before="60" w:after="120"/>
        <w:jc w:val="both"/>
      </w:pPr>
      <w:r>
        <w:rPr>
          <w:rFonts w:ascii="Arial" w:cs="Arial" w:eastAsia="Arial" w:hAnsi="Arial"/>
          <w:b w:val="false"/>
          <w:bCs w:val="false"/>
          <w:i w:val="false"/>
          <w:iCs w:val="false"/>
          <w:color w:val="000000"/>
          <w:sz w:val="22"/>
          <w:szCs w:val="22"/>
        </w:rPr>
        <w:t xml:space="preserve">Result: AI-native settlement with permanent public audit trail and zero custodial risk.</w:t>
      </w:r>
    </w:p>
    <w:p>
      <w:pPr>
        <w:pStyle w:val="Heading2"/>
        <w:spacing w:before="280" w:after="120"/>
      </w:pPr>
      <w:r>
        <w:rPr>
          <w:rFonts w:ascii="Arial" w:cs="Arial" w:eastAsia="Arial" w:hAnsi="Arial"/>
          <w:b/>
          <w:bCs/>
          <w:color w:val="000000"/>
          <w:sz w:val="28"/>
          <w:szCs w:val="28"/>
        </w:rPr>
        <w:t xml:space="preserve">A.4.2 — Pay-Per-Decision AI Services</w:t>
      </w:r>
    </w:p>
    <w:p>
      <w:pPr>
        <w:spacing w:before="60" w:after="120"/>
        <w:jc w:val="both"/>
      </w:pPr>
      <w:r>
        <w:rPr>
          <w:rFonts w:ascii="Arial" w:cs="Arial" w:eastAsia="Arial" w:hAnsi="Arial"/>
          <w:b w:val="false"/>
          <w:bCs w:val="false"/>
          <w:i w:val="false"/>
          <w:iCs w:val="false"/>
          <w:color w:val="000000"/>
          <w:sz w:val="22"/>
          <w:szCs w:val="22"/>
        </w:rPr>
        <w:t xml:space="preserve">An AI service provider charges 0.4 KX per decision made on behalf of a client.</w:t>
      </w:r>
    </w:p>
    <w:p>
      <w:pPr>
        <w:pStyle w:val="ListParagraph"/>
        <w:numPr>
          <w:ilvl w:val="0"/>
          <w:numId w:val="2"/>
        </w:numPr>
        <w:spacing w:before="40" w:after="40"/>
      </w:pPr>
      <w:r>
        <w:rPr>
          <w:rFonts w:ascii="Arial" w:cs="Arial" w:eastAsia="Arial" w:hAnsi="Arial"/>
          <w:sz w:val="22"/>
          <w:szCs w:val="22"/>
        </w:rPr>
        <w:t xml:space="preserve">TYPE C (Credit Authorization)</w:t>
      </w:r>
    </w:p>
    <w:p>
      <w:pPr>
        <w:pStyle w:val="ListParagraph"/>
        <w:numPr>
          <w:ilvl w:val="0"/>
          <w:numId w:val="2"/>
        </w:numPr>
        <w:spacing w:before="40" w:after="40"/>
      </w:pPr>
      <w:r>
        <w:rPr>
          <w:rFonts w:ascii="Arial" w:cs="Arial" w:eastAsia="Arial" w:hAnsi="Arial"/>
          <w:sz w:val="22"/>
          <w:szCs w:val="22"/>
        </w:rPr>
        <w:t xml:space="preserve">Client pre-authorizes draws up to a ceiling per billing period. Each decision draws 0.4 KX automatically.</w:t>
      </w:r>
    </w:p>
    <w:p>
      <w:pPr>
        <w:spacing w:before="60" w:after="120"/>
        <w:jc w:val="both"/>
      </w:pPr>
      <w:r>
        <w:rPr>
          <w:rFonts w:ascii="Arial" w:cs="Arial" w:eastAsia="Arial" w:hAnsi="Arial"/>
          <w:b w:val="false"/>
          <w:bCs w:val="false"/>
          <w:i w:val="false"/>
          <w:iCs w:val="false"/>
          <w:color w:val="000000"/>
          <w:sz w:val="22"/>
          <w:szCs w:val="22"/>
        </w:rPr>
        <w:t xml:space="preserve">Result: Micro-payment billing with complete transparency and no payment processor.</w:t>
      </w:r>
    </w:p>
    <w:p>
      <w:pPr>
        <w:pStyle w:val="Heading2"/>
        <w:spacing w:before="280" w:after="120"/>
      </w:pPr>
      <w:r>
        <w:rPr>
          <w:rFonts w:ascii="Arial" w:cs="Arial" w:eastAsia="Arial" w:hAnsi="Arial"/>
          <w:b/>
          <w:bCs/>
          <w:color w:val="000000"/>
          <w:sz w:val="28"/>
          <w:szCs w:val="28"/>
        </w:rPr>
        <w:t xml:space="preserve">A.4.3 — Cross-Border Lending Platform</w:t>
      </w:r>
    </w:p>
    <w:p>
      <w:pPr>
        <w:spacing w:before="60" w:after="120"/>
        <w:jc w:val="both"/>
      </w:pPr>
      <w:r>
        <w:rPr>
          <w:rFonts w:ascii="Arial" w:cs="Arial" w:eastAsia="Arial" w:hAnsi="Arial"/>
          <w:b w:val="false"/>
          <w:bCs w:val="false"/>
          <w:i w:val="false"/>
          <w:iCs w:val="false"/>
          <w:color w:val="000000"/>
          <w:sz w:val="22"/>
          <w:szCs w:val="22"/>
        </w:rPr>
        <w:t xml:space="preserve">A fintech company offers USD-denominated loans to borrowers globally, using KX as the settlement rail.</w:t>
      </w:r>
    </w:p>
    <w:p>
      <w:pPr>
        <w:pStyle w:val="ListParagraph"/>
        <w:numPr>
          <w:ilvl w:val="0"/>
          <w:numId w:val="2"/>
        </w:numPr>
        <w:spacing w:before="40" w:after="40"/>
      </w:pPr>
      <w:r>
        <w:rPr>
          <w:rFonts w:ascii="Arial" w:cs="Arial" w:eastAsia="Arial" w:hAnsi="Arial"/>
          <w:sz w:val="22"/>
          <w:szCs w:val="22"/>
        </w:rPr>
        <w:t xml:space="preserve">TYPE D + PAY_AS USD at Maturity + HedgeX coverage</w:t>
      </w:r>
    </w:p>
    <w:p>
      <w:pPr>
        <w:pStyle w:val="ListParagraph"/>
        <w:numPr>
          <w:ilvl w:val="0"/>
          <w:numId w:val="2"/>
        </w:numPr>
        <w:spacing w:before="40" w:after="40"/>
      </w:pPr>
      <w:r>
        <w:rPr>
          <w:rFonts w:ascii="Arial" w:cs="Arial" w:eastAsia="Arial" w:hAnsi="Arial"/>
          <w:sz w:val="22"/>
          <w:szCs w:val="22"/>
        </w:rPr>
        <w:t xml:space="preserve">Borrowers and lenders transact in USD. KX handles mechanics transparently.</w:t>
      </w:r>
    </w:p>
    <w:p>
      <w:pPr>
        <w:pStyle w:val="ListParagraph"/>
        <w:numPr>
          <w:ilvl w:val="0"/>
          <w:numId w:val="2"/>
        </w:numPr>
        <w:spacing w:before="40" w:after="40"/>
      </w:pPr>
      <w:r>
        <w:rPr>
          <w:rFonts w:ascii="Arial" w:cs="Arial" w:eastAsia="Arial" w:hAnsi="Arial"/>
          <w:sz w:val="22"/>
          <w:szCs w:val="22"/>
        </w:rPr>
        <w:t xml:space="preserve">DefaultRecords create portable credit history following the borrower's wallet address globally.</w:t>
      </w:r>
    </w:p>
    <w:p>
      <w:pPr>
        <w:spacing w:before="60" w:after="120"/>
        <w:jc w:val="both"/>
      </w:pPr>
      <w:r>
        <w:rPr>
          <w:rFonts w:ascii="Arial" w:cs="Arial" w:eastAsia="Arial" w:hAnsi="Arial"/>
          <w:b w:val="false"/>
          <w:bCs w:val="false"/>
          <w:i w:val="false"/>
          <w:iCs w:val="false"/>
          <w:color w:val="000000"/>
          <w:sz w:val="22"/>
          <w:szCs w:val="22"/>
        </w:rPr>
        <w:t xml:space="preserve">Result: Cross-border lending with fiat-denominated UX, zero-fee settlement, and permanent credit records — no correspondent bank required.</w:t>
      </w:r>
    </w:p>
    <w:p>
      <w:pPr>
        <w:pBdr>
          <w:bottom w:val="single" w:color="C9A84C" w:sz="4" w:space="1"/>
        </w:pBdr>
        <w:spacing w:before="200" w:after="200"/>
      </w:pPr>
      <w:r>
        <w:t xml:space="preserve"/>
      </w:r>
    </w:p>
    <w:p>
      <w:pPr>
        <w:spacing w:before="0" w:after="80"/>
        <w:jc w:val="center"/>
      </w:pPr>
      <w:r>
        <w:rPr>
          <w:rFonts w:ascii="Arial" w:cs="Arial" w:eastAsia="Arial" w:hAnsi="Arial"/>
          <w:i/>
          <w:iCs/>
          <w:color w:val="666666"/>
          <w:sz w:val="20"/>
          <w:szCs w:val="20"/>
        </w:rPr>
        <w:t xml:space="preserve">End of Exhibit A</w:t>
      </w:r>
    </w:p>
    <w:p>
      <w:r>
        <w:br w:type="page"/>
      </w:r>
    </w:p>
    <w:p>
      <w:pPr>
        <w:spacing w:before="400" w:after="80"/>
        <w:jc w:val="center"/>
      </w:pPr>
      <w:r>
        <w:rPr>
          <w:rFonts w:ascii="Arial" w:cs="Arial" w:eastAsia="Arial" w:hAnsi="Arial"/>
          <w:b/>
          <w:bCs/>
          <w:color w:val="C9A84C"/>
          <w:sz w:val="48"/>
          <w:szCs w:val="48"/>
        </w:rPr>
        <w:t xml:space="preserve">EXHIBIT B</w:t>
      </w:r>
    </w:p>
    <w:p>
      <w:pPr>
        <w:spacing w:before="0" w:after="80"/>
        <w:jc w:val="center"/>
      </w:pPr>
      <w:r>
        <w:rPr>
          <w:rFonts w:ascii="Arial" w:cs="Arial" w:eastAsia="Arial" w:hAnsi="Arial"/>
          <w:b/>
          <w:bCs/>
          <w:color w:val="2E3A5C"/>
          <w:sz w:val="32"/>
          <w:szCs w:val="32"/>
        </w:rPr>
        <w:t xml:space="preserve">A Plain-English Guide to ChronX Finance</w:t>
      </w:r>
    </w:p>
    <w:p>
      <w:pPr>
        <w:spacing w:before="0" w:after="200"/>
        <w:jc w:val="center"/>
      </w:pPr>
      <w:r>
        <w:rPr>
          <w:rFonts w:ascii="Arial" w:cs="Arial" w:eastAsia="Arial" w:hAnsi="Arial"/>
          <w:i/>
          <w:iCs/>
          <w:color w:val="666666"/>
          <w:sz w:val="22"/>
          <w:szCs w:val="22"/>
        </w:rPr>
        <w:t xml:space="preserve">For readers who want to go deeper into how ChronX works in the real financial world.</w:t>
      </w:r>
    </w:p>
    <w:p>
      <w:pPr>
        <w:pBdr>
          <w:bottom w:val="single" w:color="C9A84C" w:sz="4" w:space="1"/>
        </w:pBdr>
        <w:spacing w:before="200" w:after="200"/>
      </w:pPr>
      <w:r>
        <w:t xml:space="preserve"/>
      </w:r>
    </w:p>
    <w:p>
      <w:r>
        <w:br w:type="page"/>
      </w:r>
    </w:p>
    <w:p>
      <w:pPr>
        <w:pStyle w:val="Heading1"/>
        <w:spacing w:before="400" w:after="120"/>
      </w:pPr>
      <w:r>
        <w:rPr>
          <w:rFonts w:ascii="Arial" w:cs="Arial" w:eastAsia="Arial" w:hAnsi="Arial"/>
          <w:b/>
          <w:bCs/>
          <w:color w:val="C9A84C"/>
          <w:sz w:val="36"/>
          <w:szCs w:val="36"/>
        </w:rPr>
        <w:t xml:space="preserve">B.1 Long-Term Promises and Verifas</w:t>
      </w:r>
    </w:p>
    <w:p>
      <w:pPr>
        <w:spacing w:before="60" w:after="120"/>
        <w:jc w:val="both"/>
      </w:pPr>
      <w:r>
        <w:rPr>
          <w:rFonts w:ascii="Arial" w:cs="Arial" w:eastAsia="Arial" w:hAnsi="Arial"/>
          <w:b w:val="false"/>
          <w:bCs w:val="false"/>
          <w:i w:val="false"/>
          <w:iCs w:val="false"/>
          <w:color w:val="000000"/>
          <w:sz w:val="22"/>
          <w:szCs w:val="22"/>
        </w:rPr>
        <w:t xml:space="preserve">What is a "promise" on ChronX, and why does it need a human attestation layer?</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Imagine writing a check to your granddaughter, dated for her 18th birthday — but instead of a check that could be lost, forged, or cancelled, it's written into a blockchain that will exist long after you are gone. The money sits in a digital vault. On the exact date you specified, it opens. No one can stop it. No one can redirect it. The protocol enforces it automatically.</w:t>
      </w:r>
    </w:p>
    <w:p>
      <w:pPr>
        <w:spacing w:before="60" w:after="120"/>
        <w:jc w:val="both"/>
      </w:pPr>
      <w:r>
        <w:rPr>
          <w:rFonts w:ascii="Arial" w:cs="Arial" w:eastAsia="Arial" w:hAnsi="Arial"/>
          <w:b w:val="false"/>
          <w:bCs w:val="false"/>
          <w:i w:val="false"/>
          <w:iCs w:val="false"/>
          <w:color w:val="000000"/>
          <w:sz w:val="22"/>
          <w:szCs w:val="22"/>
        </w:rPr>
        <w:t xml:space="preserve">That is what a ChronX promise is. The sender specifies an amount, a recipient, and a date. The blockchain handles the rest.</w:t>
      </w:r>
    </w:p>
    <w:p>
      <w:pPr>
        <w:pStyle w:val="Heading2"/>
        <w:spacing w:before="280" w:after="120"/>
      </w:pPr>
      <w:r>
        <w:rPr>
          <w:rFonts w:ascii="Arial" w:cs="Arial" w:eastAsia="Arial" w:hAnsi="Arial"/>
          <w:b/>
          <w:bCs/>
          <w:color w:val="000000"/>
          <w:sz w:val="28"/>
          <w:szCs w:val="28"/>
        </w:rPr>
        <w:t xml:space="preserve">What Could Go Wrong Over 20 Years?</w:t>
      </w:r>
    </w:p>
    <w:p>
      <w:pPr>
        <w:spacing w:before="60" w:after="120"/>
        <w:jc w:val="both"/>
      </w:pPr>
      <w:r>
        <w:rPr>
          <w:rFonts w:ascii="Arial" w:cs="Arial" w:eastAsia="Arial" w:hAnsi="Arial"/>
          <w:b w:val="false"/>
          <w:bCs w:val="false"/>
          <w:i w:val="false"/>
          <w:iCs w:val="false"/>
          <w:color w:val="000000"/>
          <w:sz w:val="22"/>
          <w:szCs w:val="22"/>
        </w:rPr>
        <w:t xml:space="preserve">The promise is mathematically perfect. But the real world is not. What if your granddaughter's email address doesn't exist in 2040? What if she changed her name? What if she moved to another country?</w:t>
      </w:r>
    </w:p>
    <w:p>
      <w:pPr>
        <w:spacing w:before="60" w:after="120"/>
        <w:jc w:val="both"/>
      </w:pPr>
      <w:r>
        <w:rPr>
          <w:rFonts w:ascii="Arial" w:cs="Arial" w:eastAsia="Arial" w:hAnsi="Arial"/>
          <w:b w:val="false"/>
          <w:bCs w:val="false"/>
          <w:i w:val="false"/>
          <w:iCs w:val="false"/>
          <w:color w:val="000000"/>
          <w:sz w:val="22"/>
          <w:szCs w:val="22"/>
        </w:rPr>
        <w:t xml:space="preserve">A locked vault that no one can find is the same as an empty vault. ChronX solves this with Verifas — a network of bonded human attestors whose only job is to find the right person and verify their identity. Once verified, the funds deliver.</w:t>
      </w:r>
    </w:p>
    <w:p>
      <w:pPr>
        <w:spacing w:before="60" w:after="120"/>
        <w:jc w:val="both"/>
      </w:pPr>
      <w:r>
        <w:rPr>
          <w:rFonts w:ascii="Arial" w:cs="Arial" w:eastAsia="Arial" w:hAnsi="Arial"/>
          <w:b w:val="false"/>
          <w:bCs w:val="false"/>
          <w:i w:val="false"/>
          <w:iCs w:val="false"/>
          <w:color w:val="000000"/>
          <w:sz w:val="22"/>
          <w:szCs w:val="22"/>
        </w:rPr>
        <w:t xml:space="preserve">Think of Verifas as the human layer that bridges the gap between a perfect digital promise and an imperfect human world. Verifas doesn't touch the money. It only answers one question: is this person the intended recipient?</w:t>
      </w:r>
    </w:p>
    <w:p>
      <w:pPr>
        <w:pStyle w:val="Heading2"/>
        <w:spacing w:before="280" w:after="120"/>
      </w:pPr>
      <w:r>
        <w:rPr>
          <w:rFonts w:ascii="Arial" w:cs="Arial" w:eastAsia="Arial" w:hAnsi="Arial"/>
          <w:b/>
          <w:bCs/>
          <w:color w:val="000000"/>
          <w:sz w:val="28"/>
          <w:szCs w:val="28"/>
        </w:rPr>
        <w:t xml:space="preserve">Who Are Verifas Attestors?</w:t>
      </w:r>
    </w:p>
    <w:p>
      <w:pPr>
        <w:spacing w:before="60" w:after="120"/>
        <w:jc w:val="both"/>
      </w:pPr>
      <w:r>
        <w:rPr>
          <w:rFonts w:ascii="Arial" w:cs="Arial" w:eastAsia="Arial" w:hAnsi="Arial"/>
          <w:b w:val="false"/>
          <w:bCs w:val="false"/>
          <w:i w:val="false"/>
          <w:iCs w:val="false"/>
          <w:color w:val="000000"/>
          <w:sz w:val="22"/>
          <w:szCs w:val="22"/>
        </w:rPr>
        <w:t xml:space="preserve">Verifas attestors are bonded professionals — similar to notaries or licensed investigators — who have posted a 10,000,000 KX performance bond to participate in the network. That bond is at risk if they make a fraudulent attestation. They are economically aligned to get it right.</w:t>
      </w:r>
    </w:p>
    <w:p>
      <w:pPr>
        <w:pStyle w:val="Heading2"/>
        <w:spacing w:before="280" w:after="120"/>
      </w:pPr>
      <w:r>
        <w:rPr>
          <w:rFonts w:ascii="Arial" w:cs="Arial" w:eastAsia="Arial" w:hAnsi="Arial"/>
          <w:b/>
          <w:bCs/>
          <w:color w:val="000000"/>
          <w:sz w:val="28"/>
          <w:szCs w:val="28"/>
        </w:rPr>
        <w:t xml:space="preserve">How Long Can a Promise Last?</w:t>
      </w:r>
    </w:p>
    <w:p>
      <w:pPr>
        <w:spacing w:before="60" w:after="120"/>
        <w:jc w:val="both"/>
      </w:pPr>
      <w:r>
        <w:rPr>
          <w:rFonts w:ascii="Arial" w:cs="Arial" w:eastAsia="Arial" w:hAnsi="Arial"/>
          <w:b w:val="false"/>
          <w:bCs w:val="false"/>
          <w:i w:val="false"/>
          <w:iCs w:val="false"/>
          <w:color w:val="000000"/>
          <w:sz w:val="22"/>
          <w:szCs w:val="22"/>
        </w:rPr>
        <w:t xml:space="preserve">A ChronX promise can last up to 100 years. After that, the protocol's Promise Axioms take over: funds unclaimed for 100 years beyond maturity are transferred to the Humanity Stake — a pool governed for the benefit of all humanity. No funds are ever lost.</w:t>
      </w:r>
    </w:p>
    <w:p>
      <w:pPr>
        <w:pStyle w:val="Heading2"/>
        <w:spacing w:before="280" w:after="120"/>
      </w:pPr>
      <w:r>
        <w:rPr>
          <w:rFonts w:ascii="Arial" w:cs="Arial" w:eastAsia="Arial" w:hAnsi="Arial"/>
          <w:b/>
          <w:bCs/>
          <w:color w:val="000000"/>
          <w:sz w:val="28"/>
          <w:szCs w:val="28"/>
        </w:rPr>
        <w:t xml:space="preserve">When Should You Use a Long-Term Promise?</w:t>
      </w:r>
    </w:p>
    <w:p>
      <w:pPr>
        <w:pStyle w:val="ListParagraph"/>
        <w:numPr>
          <w:ilvl w:val="0"/>
          <w:numId w:val="2"/>
        </w:numPr>
        <w:spacing w:before="40" w:after="40"/>
      </w:pPr>
      <w:r>
        <w:rPr>
          <w:rFonts w:ascii="Arial" w:cs="Arial" w:eastAsia="Arial" w:hAnsi="Arial"/>
          <w:sz w:val="22"/>
          <w:szCs w:val="22"/>
        </w:rPr>
        <w:t xml:space="preserve">Leaving money to a child or grandchild on a specific future date</w:t>
      </w:r>
    </w:p>
    <w:p>
      <w:pPr>
        <w:pStyle w:val="ListParagraph"/>
        <w:numPr>
          <w:ilvl w:val="0"/>
          <w:numId w:val="2"/>
        </w:numPr>
        <w:spacing w:before="40" w:after="40"/>
      </w:pPr>
      <w:r>
        <w:rPr>
          <w:rFonts w:ascii="Arial" w:cs="Arial" w:eastAsia="Arial" w:hAnsi="Arial"/>
          <w:sz w:val="22"/>
          <w:szCs w:val="22"/>
        </w:rPr>
        <w:t xml:space="preserve">Setting up an inheritance that bypasses the probate process</w:t>
      </w:r>
    </w:p>
    <w:p>
      <w:pPr>
        <w:pStyle w:val="ListParagraph"/>
        <w:numPr>
          <w:ilvl w:val="0"/>
          <w:numId w:val="2"/>
        </w:numPr>
        <w:spacing w:before="40" w:after="40"/>
      </w:pPr>
      <w:r>
        <w:rPr>
          <w:rFonts w:ascii="Arial" w:cs="Arial" w:eastAsia="Arial" w:hAnsi="Arial"/>
          <w:sz w:val="22"/>
          <w:szCs w:val="22"/>
        </w:rPr>
        <w:t xml:space="preserve">Creating a charitable pledge that is irrevocable once made</w:t>
      </w:r>
    </w:p>
    <w:p>
      <w:pPr>
        <w:pStyle w:val="ListParagraph"/>
        <w:numPr>
          <w:ilvl w:val="0"/>
          <w:numId w:val="2"/>
        </w:numPr>
        <w:spacing w:before="40" w:after="40"/>
      </w:pPr>
      <w:r>
        <w:rPr>
          <w:rFonts w:ascii="Arial" w:cs="Arial" w:eastAsia="Arial" w:hAnsi="Arial"/>
          <w:sz w:val="22"/>
          <w:szCs w:val="22"/>
        </w:rPr>
        <w:t xml:space="preserve">Funding a trust-equivalent structure without needing a lawyer or trustee</w:t>
      </w:r>
    </w:p>
    <w:p>
      <w:pPr>
        <w:pStyle w:val="ListParagraph"/>
        <w:numPr>
          <w:ilvl w:val="0"/>
          <w:numId w:val="2"/>
        </w:numPr>
        <w:spacing w:before="40" w:after="40"/>
      </w:pPr>
      <w:r>
        <w:rPr>
          <w:rFonts w:ascii="Arial" w:cs="Arial" w:eastAsia="Arial" w:hAnsi="Arial"/>
          <w:sz w:val="22"/>
          <w:szCs w:val="22"/>
        </w:rPr>
        <w:t xml:space="preserve">Making a conditional gift that releases only when conditions are verified</w:t>
      </w:r>
    </w:p>
    <w:p>
      <w:r>
        <w:br w:type="page"/>
      </w:r>
    </w:p>
    <w:p>
      <w:pPr>
        <w:pStyle w:val="Heading1"/>
        <w:spacing w:before="400" w:after="120"/>
      </w:pPr>
      <w:r>
        <w:rPr>
          <w:rFonts w:ascii="Arial" w:cs="Arial" w:eastAsia="Arial" w:hAnsi="Arial"/>
          <w:b/>
          <w:bCs/>
          <w:color w:val="C9A84C"/>
          <w:sz w:val="36"/>
          <w:szCs w:val="36"/>
        </w:rPr>
        <w:t xml:space="preserve">B.2 Debt Payments and On-Chain Credit Reporting</w:t>
      </w:r>
    </w:p>
    <w:p>
      <w:pPr>
        <w:spacing w:before="60" w:after="120"/>
        <w:jc w:val="both"/>
      </w:pPr>
      <w:r>
        <w:rPr>
          <w:rFonts w:ascii="Arial" w:cs="Arial" w:eastAsia="Arial" w:hAnsi="Arial"/>
          <w:b w:val="false"/>
          <w:bCs w:val="false"/>
          <w:i w:val="false"/>
          <w:iCs w:val="false"/>
          <w:color w:val="000000"/>
          <w:sz w:val="22"/>
          <w:szCs w:val="22"/>
        </w:rPr>
        <w:t xml:space="preserve">How does lending work on ChronX, and what makes it different from a traditional loan?</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Every loan is a series of promises: a borrower promises to pay a lender a specific amount on a specific schedule. Today, those promises live in a PDF contract that can be disputed, a bank database that can fail, or a court order that takes years to enforce.</w:t>
      </w:r>
    </w:p>
    <w:p>
      <w:pPr>
        <w:spacing w:before="60" w:after="120"/>
        <w:jc w:val="both"/>
      </w:pPr>
      <w:r>
        <w:rPr>
          <w:rFonts w:ascii="Arial" w:cs="Arial" w:eastAsia="Arial" w:hAnsi="Arial"/>
          <w:b w:val="false"/>
          <w:bCs w:val="false"/>
          <w:i w:val="false"/>
          <w:iCs w:val="false"/>
          <w:color w:val="000000"/>
          <w:sz w:val="22"/>
          <w:szCs w:val="22"/>
        </w:rPr>
        <w:t xml:space="preserve">On ChronX, the repayment schedule is written directly onto the blockchain — permanently, immutably, and publicly. MISAI watches the schedule automatically. When payments arrive, they are marked complete. When payments don't arrive, a DefaultRecord is published. The entire history of the loan — every payment, every default, every reinstatement — is on the public ledger, forever.</w:t>
      </w:r>
    </w:p>
    <w:p>
      <w:pPr>
        <w:pStyle w:val="Heading2"/>
        <w:spacing w:before="280" w:after="120"/>
      </w:pPr>
      <w:r>
        <w:rPr>
          <w:rFonts w:ascii="Arial" w:cs="Arial" w:eastAsia="Arial" w:hAnsi="Arial"/>
          <w:b/>
          <w:bCs/>
          <w:color w:val="000000"/>
          <w:sz w:val="28"/>
          <w:szCs w:val="28"/>
        </w:rPr>
        <w:t xml:space="preserve">What Is a DefaultRecord?</w:t>
      </w:r>
    </w:p>
    <w:p>
      <w:pPr>
        <w:spacing w:before="60" w:after="120"/>
        <w:jc w:val="both"/>
      </w:pPr>
      <w:r>
        <w:rPr>
          <w:rFonts w:ascii="Arial" w:cs="Arial" w:eastAsia="Arial" w:hAnsi="Arial"/>
          <w:b w:val="false"/>
          <w:bCs w:val="false"/>
          <w:i w:val="false"/>
          <w:iCs w:val="false"/>
          <w:color w:val="000000"/>
          <w:sz w:val="22"/>
          <w:szCs w:val="22"/>
        </w:rPr>
        <w:t xml:space="preserve">A DefaultRecord is the ChronX equivalent of a negative credit event — but more powerful than anything in the traditional credit system. It cannot be disputed. It cannot be sealed. It cannot expire after seven years. It is cryptographically signed, timestamped, and permanently attached to the borrower's wallet address.</w:t>
      </w:r>
    </w:p>
    <w:p>
      <w:pPr>
        <w:spacing w:before="60" w:after="120"/>
        <w:jc w:val="both"/>
      </w:pPr>
      <w:r>
        <w:rPr>
          <w:rFonts w:ascii="Arial" w:cs="Arial" w:eastAsia="Arial" w:hAnsi="Arial"/>
          <w:b w:val="false"/>
          <w:bCs w:val="false"/>
          <w:i w:val="false"/>
          <w:iCs w:val="false"/>
          <w:color w:val="000000"/>
          <w:sz w:val="22"/>
          <w:szCs w:val="22"/>
        </w:rPr>
        <w:t xml:space="preserve">Any future lender who queries that wallet address will see the complete loan history. Not a credit score — the actual record. Every payment made on time, every payment missed, and exactly how the default was resolved.</w:t>
      </w:r>
    </w:p>
    <w:p>
      <w:pPr>
        <w:pStyle w:val="Heading2"/>
        <w:spacing w:before="280" w:after="120"/>
      </w:pPr>
      <w:r>
        <w:rPr>
          <w:rFonts w:ascii="Arial" w:cs="Arial" w:eastAsia="Arial" w:hAnsi="Arial"/>
          <w:b/>
          <w:bCs/>
          <w:color w:val="000000"/>
          <w:sz w:val="28"/>
          <w:szCs w:val="28"/>
        </w:rPr>
        <w:t xml:space="preserve">What Happens When a Loan Defaults?</w:t>
      </w:r>
    </w:p>
    <w:p>
      <w:pPr>
        <w:spacing w:before="60" w:after="120"/>
        <w:jc w:val="both"/>
      </w:pPr>
      <w:r>
        <w:rPr>
          <w:rFonts w:ascii="Arial" w:cs="Arial" w:eastAsia="Arial" w:hAnsi="Arial"/>
          <w:b w:val="false"/>
          <w:bCs w:val="false"/>
          <w:i w:val="false"/>
          <w:iCs w:val="false"/>
          <w:color w:val="000000"/>
          <w:sz w:val="22"/>
          <w:szCs w:val="22"/>
        </w:rPr>
        <w:t xml:space="preserve">MISAI's role in a default is deliberately limited. MISAI sends one notification to the borrower. One notification to the lender. Publishes the DefaultRecord. Then exits.</w:t>
      </w:r>
    </w:p>
    <w:p>
      <w:pPr>
        <w:spacing w:before="60" w:after="120"/>
        <w:jc w:val="both"/>
      </w:pPr>
      <w:r>
        <w:rPr>
          <w:rFonts w:ascii="Arial" w:cs="Arial" w:eastAsia="Arial" w:hAnsi="Arial"/>
          <w:b w:val="false"/>
          <w:bCs w:val="false"/>
          <w:i w:val="false"/>
          <w:iCs w:val="false"/>
          <w:color w:val="000000"/>
          <w:sz w:val="22"/>
          <w:szCs w:val="22"/>
        </w:rPr>
        <w:t xml:space="preserve">ChronX is not a collection agency. It does not pursue borrowers. It does not garnish wages or freeze accounts. The DefaultRecord is the enforcement mechanism — the permanent public record that follows the borrower's wallet address everywhere, making future borrowing harder until the record is resolved.</w:t>
      </w:r>
    </w:p>
    <w:p>
      <w:pPr>
        <w:spacing w:before="60" w:after="120"/>
        <w:jc w:val="both"/>
      </w:pPr>
      <w:r>
        <w:rPr>
          <w:rFonts w:ascii="Arial" w:cs="Arial" w:eastAsia="Arial" w:hAnsi="Arial"/>
          <w:b w:val="false"/>
          <w:bCs w:val="false"/>
          <w:i w:val="false"/>
          <w:iCs w:val="false"/>
          <w:color w:val="000000"/>
          <w:sz w:val="22"/>
          <w:szCs w:val="22"/>
        </w:rPr>
        <w:t xml:space="preserve">The parties may then pursue whatever legal remedies are available in their jurisdiction, with the on-chain record as evidence.</w:t>
      </w:r>
    </w:p>
    <w:p>
      <w:pPr>
        <w:pStyle w:val="Heading2"/>
        <w:spacing w:before="280" w:after="120"/>
      </w:pPr>
      <w:r>
        <w:rPr>
          <w:rFonts w:ascii="Arial" w:cs="Arial" w:eastAsia="Arial" w:hAnsi="Arial"/>
          <w:b/>
          <w:bCs/>
          <w:color w:val="000000"/>
          <w:sz w:val="28"/>
          <w:szCs w:val="28"/>
        </w:rPr>
        <w:t xml:space="preserve">Can a Default Be Fixed?</w:t>
      </w:r>
    </w:p>
    <w:p>
      <w:pPr>
        <w:spacing w:before="60" w:after="120"/>
        <w:jc w:val="both"/>
      </w:pPr>
      <w:r>
        <w:rPr>
          <w:rFonts w:ascii="Arial" w:cs="Arial" w:eastAsia="Arial" w:hAnsi="Arial"/>
          <w:b w:val="false"/>
          <w:bCs w:val="false"/>
          <w:i w:val="false"/>
          <w:iCs w:val="false"/>
          <w:color w:val="000000"/>
          <w:sz w:val="22"/>
          <w:szCs w:val="22"/>
        </w:rPr>
        <w:t xml:space="preserve">Yes — through LoanReinstatement. If both the lender and borrower agree, the loan can be reinstated at any time. There is no time limit. A court-ordered reinstatement twenty years later is as valid as one issued the next day. Both parties sign a reinstatement transaction on-chain. The original DefaultRecord remains visible alongside the reinstatement. The complete history is always shown — not rewritten.</w:t>
      </w:r>
    </w:p>
    <w:p>
      <w:pPr>
        <w:pStyle w:val="Heading2"/>
        <w:spacing w:before="280" w:after="120"/>
      </w:pPr>
      <w:r>
        <w:rPr>
          <w:rFonts w:ascii="Arial" w:cs="Arial" w:eastAsia="Arial" w:hAnsi="Arial"/>
          <w:b/>
          <w:bCs/>
          <w:color w:val="000000"/>
          <w:sz w:val="28"/>
          <w:szCs w:val="28"/>
        </w:rPr>
        <w:t xml:space="preserve">What Is a LoanWriteOff?</w:t>
      </w:r>
    </w:p>
    <w:p>
      <w:pPr>
        <w:spacing w:before="60" w:after="120"/>
        <w:jc w:val="both"/>
      </w:pPr>
      <w:r>
        <w:rPr>
          <w:rFonts w:ascii="Arial" w:cs="Arial" w:eastAsia="Arial" w:hAnsi="Arial"/>
          <w:b w:val="false"/>
          <w:bCs w:val="false"/>
          <w:i w:val="false"/>
          <w:iCs w:val="false"/>
          <w:color w:val="000000"/>
          <w:sz w:val="22"/>
          <w:szCs w:val="22"/>
        </w:rPr>
        <w:t xml:space="preserve">A lender who decides the debt is uncollectable can unilaterally write it off. The LoanWriteOff transaction is irrevocable and requires only the lender's signature. The resulting on-chain record provides cryptographically signed, timestamped documentation of the discharge — suitable for tax filings in most jurisdictions, equivalent to a 1099-C in the United States.</w:t>
      </w:r>
    </w:p>
    <w:p>
      <w:pPr>
        <w:pStyle w:val="Heading2"/>
        <w:spacing w:before="280" w:after="120"/>
      </w:pPr>
      <w:r>
        <w:rPr>
          <w:rFonts w:ascii="Arial" w:cs="Arial" w:eastAsia="Arial" w:hAnsi="Arial"/>
          <w:b/>
          <w:bCs/>
          <w:color w:val="000000"/>
          <w:sz w:val="28"/>
          <w:szCs w:val="28"/>
        </w:rPr>
        <w:t xml:space="preserve">What Currencies Can Loans Be Denominated In?</w:t>
      </w:r>
    </w:p>
    <w:p>
      <w:pPr>
        <w:spacing w:before="60" w:after="120"/>
        <w:jc w:val="both"/>
      </w:pPr>
      <w:r>
        <w:rPr>
          <w:rFonts w:ascii="Arial" w:cs="Arial" w:eastAsia="Arial" w:hAnsi="Arial"/>
          <w:b w:val="false"/>
          <w:bCs w:val="false"/>
          <w:i w:val="false"/>
          <w:iCs w:val="false"/>
          <w:color w:val="000000"/>
          <w:sz w:val="22"/>
          <w:szCs w:val="22"/>
        </w:rPr>
        <w:t xml:space="preserve">Any loan can be denominated in USD, EUR, BTC, ETH, or native KX using the PAY_AS system. A USD-denominated loan means the borrower owes a dollar amount — not a KX amount. MISAI calculates the KX equivalent on the day of each payment using the 7-day moving average price. Both parties know exactly what they owe in real-world terms.</w:t>
      </w:r>
    </w:p>
    <w:p>
      <w:r>
        <w:br w:type="page"/>
      </w:r>
    </w:p>
    <w:p>
      <w:pPr>
        <w:pStyle w:val="Heading1"/>
        <w:spacing w:before="400" w:after="120"/>
      </w:pPr>
      <w:r>
        <w:rPr>
          <w:rFonts w:ascii="Arial" w:cs="Arial" w:eastAsia="Arial" w:hAnsi="Arial"/>
          <w:b/>
          <w:bCs/>
          <w:color w:val="C9A84C"/>
          <w:sz w:val="36"/>
          <w:szCs w:val="36"/>
        </w:rPr>
        <w:t xml:space="preserve">B.3 AI-Managed Funds and MISAI</w:t>
      </w:r>
    </w:p>
    <w:p>
      <w:pPr>
        <w:spacing w:before="60" w:after="120"/>
        <w:jc w:val="both"/>
      </w:pPr>
      <w:r>
        <w:rPr>
          <w:rFonts w:ascii="Arial" w:cs="Arial" w:eastAsia="Arial" w:hAnsi="Arial"/>
          <w:b w:val="false"/>
          <w:bCs w:val="false"/>
          <w:i w:val="false"/>
          <w:iCs w:val="false"/>
          <w:color w:val="000000"/>
          <w:sz w:val="22"/>
          <w:szCs w:val="22"/>
        </w:rPr>
        <w:t xml:space="preserve">What does it mean for an AI to manage a ChronX promise, and how does the money actually move?</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A TYPE M (MISAI Lock) is a ChronX promise with a twist: instead of the KX sitting locked on the blockchain doing nothing for twenty years, it is handed to MISAI to invest and grow. At maturity, MISAI returns whatever it has earned — hopefully more than it started with — to the beneficiary.</w:t>
      </w:r>
    </w:p>
    <w:p>
      <w:pPr>
        <w:spacing w:before="60" w:after="120"/>
        <w:jc w:val="both"/>
      </w:pPr>
      <w:r>
        <w:rPr>
          <w:rFonts w:ascii="Arial" w:cs="Arial" w:eastAsia="Arial" w:hAnsi="Arial"/>
          <w:b w:val="false"/>
          <w:bCs w:val="false"/>
          <w:i w:val="false"/>
          <w:iCs w:val="false"/>
          <w:color w:val="000000"/>
          <w:sz w:val="22"/>
          <w:szCs w:val="22"/>
        </w:rPr>
        <w:t xml:space="preserve">Think of it as a digital endowment. You lock in the principal today. MISAI manages it. The beneficiary receives the grown proceeds at a future date you specify.</w:t>
      </w:r>
    </w:p>
    <w:p>
      <w:pPr>
        <w:pStyle w:val="Heading2"/>
        <w:spacing w:before="280" w:after="120"/>
      </w:pPr>
      <w:r>
        <w:rPr>
          <w:rFonts w:ascii="Arial" w:cs="Arial" w:eastAsia="Arial" w:hAnsi="Arial"/>
          <w:b/>
          <w:bCs/>
          <w:color w:val="000000"/>
          <w:sz w:val="28"/>
          <w:szCs w:val="28"/>
        </w:rPr>
        <w:t xml:space="preserve">How Does the Money Actually Move?</w:t>
      </w:r>
    </w:p>
    <w:p>
      <w:pPr>
        <w:spacing w:before="60" w:after="120"/>
        <w:jc w:val="both"/>
      </w:pPr>
      <w:r>
        <w:rPr>
          <w:rFonts w:ascii="Arial" w:cs="Arial" w:eastAsia="Arial" w:hAnsi="Arial"/>
          <w:b w:val="false"/>
          <w:bCs w:val="false"/>
          <w:i w:val="false"/>
          <w:iCs w:val="false"/>
          <w:color w:val="000000"/>
          <w:sz w:val="22"/>
          <w:szCs w:val="22"/>
        </w:rPr>
        <w:t xml:space="preserve">This is where it gets technically interesting — and important to understand clearly.</w:t>
      </w:r>
    </w:p>
    <w:p>
      <w:pPr>
        <w:spacing w:before="60" w:after="120"/>
        <w:jc w:val="both"/>
      </w:pPr>
      <w:r>
        <w:rPr>
          <w:rFonts w:ascii="Arial" w:cs="Arial" w:eastAsia="Arial" w:hAnsi="Arial"/>
          <w:b w:val="false"/>
          <w:bCs w:val="false"/>
          <w:i w:val="false"/>
          <w:iCs w:val="false"/>
          <w:color w:val="000000"/>
          <w:sz w:val="22"/>
          <w:szCs w:val="22"/>
        </w:rPr>
        <w:t xml:space="preserve">When you create a TYPE M lock, the KX is locked on the DAG. It does not immediately go anywhere. MISAI periodically queries the blockchain for TYPE M locks it is authorized to manage. When it finds yours, it requests the investable tranche from the protocol. The ChronX node validates that MISAI is a bonded executor and releases the specified fraction of the KX to MISAI's executor wallet.</w:t>
      </w:r>
    </w:p>
    <w:p>
      <w:pPr>
        <w:spacing w:before="60" w:after="120"/>
        <w:jc w:val="both"/>
      </w:pPr>
      <w:r>
        <w:rPr>
          <w:rFonts w:ascii="Arial" w:cs="Arial" w:eastAsia="Arial" w:hAnsi="Arial"/>
          <w:b w:val="false"/>
          <w:bCs w:val="false"/>
          <w:i w:val="false"/>
          <w:iCs w:val="false"/>
          <w:color w:val="000000"/>
          <w:sz w:val="22"/>
          <w:szCs w:val="22"/>
        </w:rPr>
        <w:t xml:space="preserve">MISAI then converts the KX to USDC via XChan — the protocol's native exchange. It now holds USDC, which it uses to execute the investment mandate you specified (growth, conservative, balanced, etc.) through its connected brokerage layer.</w:t>
      </w:r>
    </w:p>
    <w:p>
      <w:pPr>
        <w:spacing w:before="60" w:after="120"/>
        <w:jc w:val="both"/>
      </w:pPr>
      <w:r>
        <w:rPr>
          <w:rFonts w:ascii="Arial" w:cs="Arial" w:eastAsia="Arial" w:hAnsi="Arial"/>
          <w:b w:val="false"/>
          <w:bCs w:val="false"/>
          <w:i w:val="false"/>
          <w:iCs w:val="false"/>
          <w:color w:val="000000"/>
          <w:sz w:val="22"/>
          <w:szCs w:val="22"/>
        </w:rPr>
        <w:t xml:space="preserve">At maturity, MISAI exits its positions, converts the USDC proceeds back to KX via XChan at the prevailing market price, and delivers the resulting KX to the beneficiary wallet you specified. Every step of this process — every decision, every trade, every conversion — is committed to the permanent public record on the DAG before execution.</w:t>
      </w:r>
    </w:p>
    <w:p>
      <w:pPr>
        <w:pStyle w:val="Heading2"/>
        <w:spacing w:before="280" w:after="120"/>
      </w:pPr>
      <w:r>
        <w:rPr>
          <w:rFonts w:ascii="Arial" w:cs="Arial" w:eastAsia="Arial" w:hAnsi="Arial"/>
          <w:b/>
          <w:bCs/>
          <w:color w:val="000000"/>
          <w:sz w:val="28"/>
          <w:szCs w:val="28"/>
        </w:rPr>
        <w:t xml:space="preserve">What If MISAI Loses Money?</w:t>
      </w:r>
    </w:p>
    <w:p>
      <w:pPr>
        <w:spacing w:before="60" w:after="120"/>
        <w:jc w:val="both"/>
      </w:pPr>
      <w:r>
        <w:rPr>
          <w:rFonts w:ascii="Arial" w:cs="Arial" w:eastAsia="Arial" w:hAnsi="Arial"/>
          <w:b w:val="false"/>
          <w:bCs w:val="false"/>
          <w:i w:val="false"/>
          <w:iCs w:val="false"/>
          <w:color w:val="000000"/>
          <w:sz w:val="22"/>
          <w:szCs w:val="22"/>
        </w:rPr>
        <w:t xml:space="preserve">The AI Agent Risk Axiom is explicit: the grantor acknowledges that AI management may result in gains or losses up to and including total loss. This is not hidden in fine print. It is encoded immutably at genesis and displayed to every user creating a TYPE M lock.</w:t>
      </w:r>
    </w:p>
    <w:p>
      <w:pPr>
        <w:spacing w:before="60" w:after="120"/>
        <w:jc w:val="both"/>
      </w:pPr>
      <w:r>
        <w:rPr>
          <w:rFonts w:ascii="Arial" w:cs="Arial" w:eastAsia="Arial" w:hAnsi="Arial"/>
          <w:b w:val="false"/>
          <w:bCs w:val="false"/>
          <w:i w:val="false"/>
          <w:iCs w:val="false"/>
          <w:color w:val="000000"/>
          <w:sz w:val="22"/>
          <w:szCs w:val="22"/>
        </w:rPr>
        <w:t xml:space="preserve">MISAI is not a guaranteed return product. It is an autonomous executor of an investment mandate. Markets go down. Algorithms make mistakes. The protocol records everything and delivers the result, whatever it is.</w:t>
      </w:r>
    </w:p>
    <w:p>
      <w:pPr>
        <w:pStyle w:val="Heading2"/>
        <w:spacing w:before="280" w:after="120"/>
      </w:pPr>
      <w:r>
        <w:rPr>
          <w:rFonts w:ascii="Arial" w:cs="Arial" w:eastAsia="Arial" w:hAnsi="Arial"/>
          <w:b/>
          <w:bCs/>
          <w:color w:val="000000"/>
          <w:sz w:val="28"/>
          <w:szCs w:val="28"/>
        </w:rPr>
        <w:t xml:space="preserve">What Does MISAI Never Do?</w:t>
      </w:r>
    </w:p>
    <w:p>
      <w:pPr>
        <w:spacing w:before="60" w:after="120"/>
        <w:jc w:val="both"/>
      </w:pPr>
      <w:r>
        <w:rPr>
          <w:rFonts w:ascii="Arial" w:cs="Arial" w:eastAsia="Arial" w:hAnsi="Arial"/>
          <w:b w:val="false"/>
          <w:bCs w:val="false"/>
          <w:i w:val="false"/>
          <w:iCs w:val="false"/>
          <w:color w:val="000000"/>
          <w:sz w:val="22"/>
          <w:szCs w:val="22"/>
        </w:rPr>
        <w:t xml:space="preserve">MISAI never holds funds longer than operationally necessary to execute its mandate. MISAI never makes decisions without recording them publicly first. MISAI never acts outside the mandate you encoded at creation. And the MISAI decision agent is always separate from the MISAI custody wallet — Axiom IV (Separation) is enforced at the protocol level, not merely promised in a terms-of-service document.</w:t>
      </w:r>
    </w:p>
    <w:p>
      <w:pPr>
        <w:pStyle w:val="Heading2"/>
        <w:spacing w:before="280" w:after="120"/>
      </w:pPr>
      <w:r>
        <w:rPr>
          <w:rFonts w:ascii="Arial" w:cs="Arial" w:eastAsia="Arial" w:hAnsi="Arial"/>
          <w:b/>
          <w:bCs/>
          <w:color w:val="000000"/>
          <w:sz w:val="28"/>
          <w:szCs w:val="28"/>
        </w:rPr>
        <w:t xml:space="preserve">Who Oversees MISAI?</w:t>
      </w:r>
    </w:p>
    <w:p>
      <w:pPr>
        <w:spacing w:before="60" w:after="120"/>
        <w:jc w:val="both"/>
      </w:pPr>
      <w:r>
        <w:rPr>
          <w:rFonts w:ascii="Arial" w:cs="Arial" w:eastAsia="Arial" w:hAnsi="Arial"/>
          <w:b w:val="false"/>
          <w:bCs w:val="false"/>
          <w:i w:val="false"/>
          <w:iCs w:val="false"/>
          <w:color w:val="000000"/>
          <w:sz w:val="22"/>
          <w:szCs w:val="22"/>
        </w:rPr>
        <w:t xml:space="preserve">MISAI is backed by a 10,000,000 KX performance bond. The six AI Agent Axioms — encoded immutably at genesis — govern every action MISAI takes. These axioms cannot be changed by any person, governance body, or software update. If MISAI violates them, the violation is permanently recorded on the public DAG.</w:t>
      </w:r>
    </w:p>
    <w:p>
      <w:pPr>
        <w:pStyle w:val="Heading2"/>
        <w:spacing w:before="280" w:after="120"/>
      </w:pPr>
      <w:r>
        <w:rPr>
          <w:rFonts w:ascii="Arial" w:cs="Arial" w:eastAsia="Arial" w:hAnsi="Arial"/>
          <w:b/>
          <w:bCs/>
          <w:color w:val="000000"/>
          <w:sz w:val="28"/>
          <w:szCs w:val="28"/>
        </w:rPr>
        <w:t xml:space="preserve">What Is the Future Vision for AI-Managed Promises?</w:t>
      </w:r>
    </w:p>
    <w:p>
      <w:pPr>
        <w:spacing w:before="60" w:after="120"/>
        <w:jc w:val="both"/>
      </w:pPr>
      <w:r>
        <w:rPr>
          <w:rFonts w:ascii="Arial" w:cs="Arial" w:eastAsia="Arial" w:hAnsi="Arial"/>
          <w:b w:val="false"/>
          <w:bCs w:val="false"/>
          <w:i w:val="false"/>
          <w:iCs w:val="false"/>
          <w:color w:val="000000"/>
          <w:sz w:val="22"/>
          <w:szCs w:val="22"/>
        </w:rPr>
        <w:t xml:space="preserve">Future protocol versions will explore AI-managed growth promises — time-locked obligations that invest their underlying value during the lock period, with proceeds delivered at maturity in any PAY_AS denomination. This requires a fully operational brokerage connection layer and the appropriate regulatory framework. It is a Genesis 11+ milestone and is not available today. The architecture anticipates and supports it; the execution infrastructure is being built.</w:t>
      </w:r>
    </w:p>
    <w:p>
      <w:r>
        <w:br w:type="page"/>
      </w:r>
    </w:p>
    <w:p>
      <w:pPr>
        <w:pStyle w:val="Heading1"/>
        <w:spacing w:before="400" w:after="120"/>
      </w:pPr>
      <w:r>
        <w:rPr>
          <w:rFonts w:ascii="Arial" w:cs="Arial" w:eastAsia="Arial" w:hAnsi="Arial"/>
          <w:b/>
          <w:bCs/>
          <w:color w:val="C9A84C"/>
          <w:sz w:val="36"/>
          <w:szCs w:val="36"/>
        </w:rPr>
        <w:t xml:space="preserve">B.4 Currency Risk and HedgeX</w:t>
      </w:r>
    </w:p>
    <w:p>
      <w:pPr>
        <w:spacing w:before="60" w:after="120"/>
        <w:jc w:val="both"/>
      </w:pPr>
      <w:r>
        <w:rPr>
          <w:rFonts w:ascii="Arial" w:cs="Arial" w:eastAsia="Arial" w:hAnsi="Arial"/>
          <w:b w:val="false"/>
          <w:bCs w:val="false"/>
          <w:i w:val="false"/>
          <w:iCs w:val="false"/>
          <w:color w:val="000000"/>
          <w:sz w:val="22"/>
          <w:szCs w:val="22"/>
        </w:rPr>
        <w:t xml:space="preserve">Why does currency risk matter on ChronX, and how does HedgeX solve it?</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Imagine you lend someone $10,000 worth of KX today when KX is worth $0.003. They owe you $10,000 in ten years. But what if KX is worth $1.00 in ten years? Your borrower now needs to pay you 10,000 KX — which cost them $10,000 to acquire today but could cost $10,000,000 to acquire then. The loan has become unpayable.</w:t>
      </w:r>
    </w:p>
    <w:p>
      <w:pPr>
        <w:spacing w:before="60" w:after="120"/>
        <w:jc w:val="both"/>
      </w:pPr>
      <w:r>
        <w:rPr>
          <w:rFonts w:ascii="Arial" w:cs="Arial" w:eastAsia="Arial" w:hAnsi="Arial"/>
          <w:b w:val="false"/>
          <w:bCs w:val="false"/>
          <w:i w:val="false"/>
          <w:iCs w:val="false"/>
          <w:color w:val="000000"/>
          <w:sz w:val="22"/>
          <w:szCs w:val="22"/>
        </w:rPr>
        <w:t xml:space="preserve">This is currency risk. It exists in every cross-currency loan in the world. Banks charge fees to manage it. HedgeX makes it available peer-to-peer, on-chain, for any amount, with no bank in the middle.</w:t>
      </w:r>
    </w:p>
    <w:p>
      <w:pPr>
        <w:pStyle w:val="Heading2"/>
        <w:spacing w:before="280" w:after="120"/>
      </w:pPr>
      <w:r>
        <w:rPr>
          <w:rFonts w:ascii="Arial" w:cs="Arial" w:eastAsia="Arial" w:hAnsi="Arial"/>
          <w:b/>
          <w:bCs/>
          <w:color w:val="000000"/>
          <w:sz w:val="28"/>
          <w:szCs w:val="28"/>
        </w:rPr>
        <w:t xml:space="preserve">How Does a Hedge Work?</w:t>
      </w:r>
    </w:p>
    <w:p>
      <w:pPr>
        <w:spacing w:before="60" w:after="120"/>
        <w:jc w:val="both"/>
      </w:pPr>
      <w:r>
        <w:rPr>
          <w:rFonts w:ascii="Arial" w:cs="Arial" w:eastAsia="Arial" w:hAnsi="Arial"/>
          <w:b w:val="false"/>
          <w:bCs w:val="false"/>
          <w:i w:val="false"/>
          <w:iCs w:val="false"/>
          <w:color w:val="000000"/>
          <w:sz w:val="22"/>
          <w:szCs w:val="22"/>
        </w:rPr>
        <w:t xml:space="preserve">A borrower who wants protection posts a hedge campaign on HedgeX, specifying the amount of coverage needed and the premium they are willing to pay — say, 8% annual USDC yield. KX holders who believe KX will hold its value (or go up) can pledge their KX as hedge coverage in exchange for that USDC yield.</w:t>
      </w:r>
    </w:p>
    <w:p>
      <w:pPr>
        <w:spacing w:before="60" w:after="120"/>
        <w:jc w:val="both"/>
      </w:pPr>
      <w:r>
        <w:rPr>
          <w:rFonts w:ascii="Arial" w:cs="Arial" w:eastAsia="Arial" w:hAnsi="Arial"/>
          <w:b w:val="false"/>
          <w:bCs w:val="false"/>
          <w:i w:val="false"/>
          <w:iCs w:val="false"/>
          <w:color w:val="000000"/>
          <w:sz w:val="22"/>
          <w:szCs w:val="22"/>
        </w:rPr>
        <w:t xml:space="preserve">If KX goes up, the hedge provider benefits — they pledged KX that is now worth more, and they earned USDC yield along the way. If KX goes down, the borrower benefits — they are protected against repaying more KX than the USD value of their loan.</w:t>
      </w:r>
    </w:p>
    <w:p>
      <w:pPr>
        <w:pStyle w:val="Heading2"/>
        <w:spacing w:before="280" w:after="120"/>
      </w:pPr>
      <w:r>
        <w:rPr>
          <w:rFonts w:ascii="Arial" w:cs="Arial" w:eastAsia="Arial" w:hAnsi="Arial"/>
          <w:b/>
          <w:bCs/>
          <w:color w:val="000000"/>
          <w:sz w:val="28"/>
          <w:szCs w:val="28"/>
        </w:rPr>
        <w:t xml:space="preserve">Who Takes the Risk?</w:t>
      </w:r>
    </w:p>
    <w:p>
      <w:pPr>
        <w:spacing w:before="60" w:after="120"/>
        <w:jc w:val="both"/>
      </w:pPr>
      <w:r>
        <w:rPr>
          <w:rFonts w:ascii="Arial" w:cs="Arial" w:eastAsia="Arial" w:hAnsi="Arial"/>
          <w:b w:val="false"/>
          <w:bCs w:val="false"/>
          <w:i w:val="false"/>
          <w:iCs w:val="false"/>
          <w:color w:val="000000"/>
          <w:sz w:val="22"/>
          <w:szCs w:val="22"/>
        </w:rPr>
        <w:t xml:space="preserve">The hedge provider — the KX holder who pledged coverage — takes the risk that KX will decline in USD value. They are compensated with USDC premiums for taking that risk. If KX declines significantly, they may end up providing more coverage than they anticipated. This is why the pledge amounts, premiums, and coverage terms are all specified and agreed to before the hedge is funded.</w:t>
      </w:r>
    </w:p>
    <w:p>
      <w:pPr>
        <w:pStyle w:val="Heading2"/>
        <w:spacing w:before="280" w:after="120"/>
      </w:pPr>
      <w:r>
        <w:rPr>
          <w:rFonts w:ascii="Arial" w:cs="Arial" w:eastAsia="Arial" w:hAnsi="Arial"/>
          <w:b/>
          <w:bCs/>
          <w:color w:val="000000"/>
          <w:sz w:val="28"/>
          <w:szCs w:val="28"/>
        </w:rPr>
        <w:t xml:space="preserve">What If the Campaign Doesn't Fill?</w:t>
      </w:r>
    </w:p>
    <w:p>
      <w:pPr>
        <w:spacing w:before="60" w:after="120"/>
        <w:jc w:val="both"/>
      </w:pPr>
      <w:r>
        <w:rPr>
          <w:rFonts w:ascii="Arial" w:cs="Arial" w:eastAsia="Arial" w:hAnsi="Arial"/>
          <w:b w:val="false"/>
          <w:bCs w:val="false"/>
          <w:i w:val="false"/>
          <w:iCs w:val="false"/>
          <w:color w:val="000000"/>
          <w:sz w:val="22"/>
          <w:szCs w:val="22"/>
        </w:rPr>
        <w:t xml:space="preserve">If a hedge campaign does not reach its minimum coverage threshold before the deadline, all pledges are automatically returned to their owners. No funds are lost. The borrower simply proceeds without a hedge — or posts a new campaign with a higher premium.</w:t>
      </w:r>
    </w:p>
    <w:p>
      <w:pPr>
        <w:pStyle w:val="Heading2"/>
        <w:spacing w:before="280" w:after="120"/>
      </w:pPr>
      <w:r>
        <w:rPr>
          <w:rFonts w:ascii="Arial" w:cs="Arial" w:eastAsia="Arial" w:hAnsi="Arial"/>
          <w:b/>
          <w:bCs/>
          <w:color w:val="000000"/>
          <w:sz w:val="28"/>
          <w:szCs w:val="28"/>
        </w:rPr>
        <w:t xml:space="preserve">Is HedgeX Only for Loans?</w:t>
      </w:r>
    </w:p>
    <w:p>
      <w:pPr>
        <w:spacing w:before="60" w:after="120"/>
        <w:jc w:val="both"/>
      </w:pPr>
      <w:r>
        <w:rPr>
          <w:rFonts w:ascii="Arial" w:cs="Arial" w:eastAsia="Arial" w:hAnsi="Arial"/>
          <w:b w:val="false"/>
          <w:bCs w:val="false"/>
          <w:i w:val="false"/>
          <w:iCs w:val="false"/>
          <w:color w:val="000000"/>
          <w:sz w:val="22"/>
          <w:szCs w:val="22"/>
        </w:rPr>
        <w:t xml:space="preserve">HedgeX is designed primarily to support PAY_AS loan obligations, but it can be used for any long-horizon KX position where a holder wants downside protection. A KX holder who wants to earn USDC yield on their existing position without selling their KX is a natural hedge provider.</w:t>
      </w:r>
    </w:p>
    <w:p>
      <w:r>
        <w:br w:type="page"/>
      </w:r>
    </w:p>
    <w:p>
      <w:pPr>
        <w:pStyle w:val="Heading1"/>
        <w:spacing w:before="400" w:after="120"/>
      </w:pPr>
      <w:r>
        <w:rPr>
          <w:rFonts w:ascii="Arial" w:cs="Arial" w:eastAsia="Arial" w:hAnsi="Arial"/>
          <w:b/>
          <w:bCs/>
          <w:color w:val="C9A84C"/>
          <w:sz w:val="36"/>
          <w:szCs w:val="36"/>
        </w:rPr>
        <w:t xml:space="preserve">B.5 Protocol Identity and Badges</w:t>
      </w:r>
    </w:p>
    <w:p>
      <w:pPr>
        <w:spacing w:before="60" w:after="120"/>
        <w:jc w:val="both"/>
      </w:pPr>
      <w:r>
        <w:rPr>
          <w:rFonts w:ascii="Arial" w:cs="Arial" w:eastAsia="Arial" w:hAnsi="Arial"/>
          <w:b w:val="false"/>
          <w:bCs w:val="false"/>
          <w:i w:val="false"/>
          <w:iCs w:val="false"/>
          <w:color w:val="000000"/>
          <w:sz w:val="22"/>
          <w:szCs w:val="22"/>
        </w:rPr>
        <w:t xml:space="preserve">ChronX includes a lightweight identity and recognition layer built on top of its on-chain identity primitives.</w:t>
      </w:r>
    </w:p>
    <w:p>
      <w:pPr>
        <w:pStyle w:val="Heading2"/>
        <w:spacing w:before="280" w:after="120"/>
      </w:pPr>
      <w:r>
        <w:rPr>
          <w:rFonts w:ascii="Arial" w:cs="Arial" w:eastAsia="Arial" w:hAnsi="Arial"/>
          <w:b/>
          <w:bCs/>
          <w:color w:val="000000"/>
          <w:sz w:val="28"/>
          <w:szCs w:val="28"/>
        </w:rPr>
        <w:t xml:space="preserve">What Are Badges?</w:t>
      </w:r>
    </w:p>
    <w:p>
      <w:pPr>
        <w:spacing w:before="60" w:after="120"/>
        <w:jc w:val="both"/>
      </w:pPr>
      <w:r>
        <w:rPr>
          <w:rFonts w:ascii="Arial" w:cs="Arial" w:eastAsia="Arial" w:hAnsi="Arial"/>
          <w:b w:val="false"/>
          <w:bCs w:val="false"/>
          <w:i w:val="false"/>
          <w:iCs w:val="false"/>
          <w:color w:val="000000"/>
          <w:sz w:val="22"/>
          <w:szCs w:val="22"/>
        </w:rPr>
        <w:t xml:space="preserve">Badges are visual recognition tokens attached to a ChronX wallet address. They are not financial instruments — they carry no KX value and confer no protocol rights. They are a way for the protocol, its partners, and its community to recognize participants publicly.</w:t>
      </w:r>
    </w:p>
    <w:p>
      <w:pPr>
        <w:spacing w:before="60" w:after="120"/>
        <w:jc w:val="both"/>
      </w:pPr>
      <w:r>
        <w:rPr>
          <w:rFonts w:ascii="Arial" w:cs="Arial" w:eastAsia="Arial" w:hAnsi="Arial"/>
          <w:b w:val="false"/>
          <w:bCs w:val="false"/>
          <w:i w:val="false"/>
          <w:iCs w:val="false"/>
          <w:color w:val="000000"/>
          <w:sz w:val="22"/>
          <w:szCs w:val="22"/>
        </w:rPr>
        <w:t xml:space="preserve">Examples of current badges: Founding Team (gold, issued to early collaborators), KXGO Bronze/Silver/Gold (issued by the KXGO gaming platform for performance milestones), and Partner badges (issued via the ChronX Badge Partner Program to affiliated organizations).</w:t>
      </w:r>
    </w:p>
    <w:p>
      <w:pPr>
        <w:pStyle w:val="Heading2"/>
        <w:spacing w:before="280" w:after="120"/>
      </w:pPr>
      <w:r>
        <w:rPr>
          <w:rFonts w:ascii="Arial" w:cs="Arial" w:eastAsia="Arial" w:hAnsi="Arial"/>
          <w:b/>
          <w:bCs/>
          <w:color w:val="000000"/>
          <w:sz w:val="28"/>
          <w:szCs w:val="28"/>
        </w:rPr>
        <w:t xml:space="preserve">How Are Badges Issued?</w:t>
      </w:r>
    </w:p>
    <w:p>
      <w:pPr>
        <w:spacing w:before="60" w:after="120"/>
        <w:jc w:val="both"/>
      </w:pPr>
      <w:r>
        <w:rPr>
          <w:rFonts w:ascii="Arial" w:cs="Arial" w:eastAsia="Arial" w:hAnsi="Arial"/>
          <w:b w:val="false"/>
          <w:bCs w:val="false"/>
          <w:i w:val="false"/>
          <w:iCs w:val="false"/>
          <w:color w:val="000000"/>
          <w:sz w:val="22"/>
          <w:szCs w:val="22"/>
        </w:rPr>
        <w:t xml:space="preserve">Permanent, identity-level badges (such as Founding Team) are issued as TYPE L (Ledger Entry) transactions — on-chain, signed by a bonded agent, and permanently visible in the protocol's identity index. Dynamic badges (such as KXGO tiers, which can change as a user's performance changes) are managed server-side by the issuing platform and displayed in the wallet via the badge API.</w:t>
      </w:r>
    </w:p>
    <w:p>
      <w:pPr>
        <w:pStyle w:val="Heading2"/>
        <w:spacing w:before="280" w:after="120"/>
      </w:pPr>
      <w:r>
        <w:rPr>
          <w:rFonts w:ascii="Arial" w:cs="Arial" w:eastAsia="Arial" w:hAnsi="Arial"/>
          <w:b/>
          <w:bCs/>
          <w:color w:val="000000"/>
          <w:sz w:val="28"/>
          <w:szCs w:val="28"/>
        </w:rPr>
        <w:t xml:space="preserve">Why Do Badges Matter?</w:t>
      </w:r>
    </w:p>
    <w:p>
      <w:pPr>
        <w:spacing w:before="60" w:after="120"/>
        <w:jc w:val="both"/>
      </w:pPr>
      <w:r>
        <w:rPr>
          <w:rFonts w:ascii="Arial" w:cs="Arial" w:eastAsia="Arial" w:hAnsi="Arial"/>
          <w:b w:val="false"/>
          <w:bCs w:val="false"/>
          <w:i w:val="false"/>
          <w:iCs w:val="false"/>
          <w:color w:val="000000"/>
          <w:sz w:val="22"/>
          <w:szCs w:val="22"/>
        </w:rPr>
        <w:t xml:space="preserve">For long-horizon protocols, identity continuity matters. A wallet address that has carried a Founding Team badge since genesis means something different in 2050 than an anonymous address. Badges create a lightweight, opt-in identity layer that enriches the human context of on-chain promises — without ever requiring personal data to be stored on the public ledger.</w:t>
      </w:r>
    </w:p>
    <w:p>
      <w:pPr>
        <w:pBdr>
          <w:bottom w:val="single" w:color="C9A84C" w:sz="4" w:space="1"/>
        </w:pBdr>
        <w:spacing w:before="200" w:after="200"/>
      </w:pPr>
      <w:r>
        <w:t xml:space="preserve"/>
      </w:r>
    </w:p>
    <w:p>
      <w:pPr>
        <w:spacing w:before="200" w:after="80"/>
        <w:jc w:val="center"/>
      </w:pPr>
      <w:r>
        <w:rPr>
          <w:rFonts w:ascii="Arial" w:cs="Arial" w:eastAsia="Arial" w:hAnsi="Arial"/>
          <w:i/>
          <w:iCs/>
          <w:color w:val="666666"/>
          <w:sz w:val="20"/>
          <w:szCs w:val="20"/>
        </w:rPr>
        <w:t xml:space="preserve">End of Exhibit B</w:t>
      </w:r>
    </w:p>
    <w:p>
      <w:pPr>
        <w:spacing w:before="0" w:after="0"/>
        <w:jc w:val="center"/>
      </w:pPr>
      <w:r>
        <w:rPr>
          <w:rFonts w:ascii="Arial" w:cs="Arial" w:eastAsia="Arial" w:hAnsi="Arial"/>
          <w:color w:val="666666"/>
          <w:sz w:val="18"/>
          <w:szCs w:val="18"/>
        </w:rPr>
        <w:t xml:space="preserve">ChronX Protocol Whitepaper v5.3  |  chronx.io  |  ICO: September 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C9A84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c88389e05d5f858a0dc5ba3aba47a65fc520f51.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2026-03-20T22:04:51.052Z</dcterms:created>
  <dcterms:modified xsi:type="dcterms:W3CDTF">2026-03-20T22:04:51.053Z</dcterms:modified>
</cp:coreProperties>
</file>

<file path=docProps/custom.xml><?xml version="1.0" encoding="utf-8"?>
<Properties xmlns="http://schemas.openxmlformats.org/officeDocument/2006/custom-properties" xmlns:vt="http://schemas.openxmlformats.org/officeDocument/2006/docPropsVTypes"/>
</file>