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1a1a2e"/>
          <w:sz w:val="56"/>
          <w:szCs w:val="56"/>
        </w:rPr>
        <w:t xml:space="preserve">CHRONX PROTOCOL</w:t>
      </w:r>
    </w:p>
    <w:p>
      <w:pPr>
        <w:spacing w:before="0" w:after="200"/>
        <w:jc w:val="center"/>
      </w:pPr>
      <w:r>
        <w:rPr>
          <w:rFonts w:ascii="Arial" w:cs="Arial" w:eastAsia="Arial" w:hAnsi="Arial"/>
          <w:color w:val="B8860B"/>
          <w:sz w:val="32"/>
          <w:szCs w:val="32"/>
        </w:rPr>
        <w:t xml:space="preserve">Whitepaper v5.1</w:t>
      </w:r>
    </w:p>
    <w:p>
      <w:pPr>
        <w:spacing w:before="0" w:after="400"/>
        <w:jc w:val="center"/>
      </w:pPr>
      <w:r>
        <w:rPr>
          <w:rFonts w:ascii="Arial" w:cs="Arial" w:eastAsia="Arial" w:hAnsi="Arial"/>
          <w:i/>
          <w:iCs/>
          <w:color w:val="444444"/>
          <w:sz w:val="28"/>
          <w:szCs w:val="28"/>
        </w:rPr>
        <w:t xml:space="preserve">The Future Payment Protocol</w:t>
      </w:r>
    </w:p>
    <w:p>
      <w:pPr>
        <w:spacing w:before="0" w:after="200"/>
        <w:jc w:val="center"/>
      </w:pPr>
      <w:r>
        <w:rPr>
          <w:rFonts w:ascii="Arial" w:cs="Arial" w:eastAsia="Arial" w:hAnsi="Arial"/>
          <w:color w:val="555555"/>
          <w:sz w:val="24"/>
          <w:szCs w:val="24"/>
        </w:rPr>
        <w:t xml:space="preserve">The Ledger for Long-Horizon Human Promises</w:t>
      </w:r>
    </w:p>
    <w:p>
      <w:pPr>
        <w:pBdr>
          <w:bottom w:val="single" w:color="B8860B" w:sz="4" w:space="1"/>
        </w:pBdr>
        <w:spacing w:before="200" w:after="200"/>
      </w:pPr>
      <w:r>
        <w:t xml:space="preserve"/>
      </w:r>
    </w:p>
    <w:p>
      <w:pPr>
        <w:spacing w:before="200" w:after="100"/>
        <w:jc w:val="center"/>
      </w:pPr>
      <w:r>
        <w:rPr>
          <w:rFonts w:ascii="Arial" w:cs="Arial" w:eastAsia="Arial" w:hAnsi="Arial"/>
          <w:color w:val="666666"/>
          <w:sz w:val="22"/>
          <w:szCs w:val="22"/>
        </w:rPr>
        <w:t xml:space="preserve">Genesis 9 • Post-Quantum Cryptography • Zero Fees</w:t>
      </w:r>
    </w:p>
    <w:p>
      <w:pPr>
        <w:spacing w:before="100" w:after="100"/>
        <w:jc w:val="center"/>
      </w:pPr>
      <w:r>
        <w:rPr>
          <w:rFonts w:ascii="Arial" w:cs="Arial" w:eastAsia="Arial" w:hAnsi="Arial"/>
          <w:b/>
          <w:bCs/>
          <w:color w:val="1a1a2e"/>
          <w:sz w:val="22"/>
          <w:szCs w:val="22"/>
        </w:rPr>
        <w:t xml:space="preserve">ICO: September 22, 2026</w:t>
      </w:r>
    </w:p>
    <w:p>
      <w:pPr>
        <w:spacing w:before="100" w:after="2000"/>
        <w:jc w:val="center"/>
      </w:pPr>
      <w:r>
        <w:rPr>
          <w:rFonts w:ascii="Arial" w:cs="Arial" w:eastAsia="Arial" w:hAnsi="Arial"/>
          <w:color w:val="B8860B"/>
          <w:sz w:val="22"/>
          <w:szCs w:val="22"/>
        </w:rPr>
        <w:t xml:space="preserve">chronx.io</w:t>
      </w:r>
    </w:p>
    <w:p>
      <w:r>
        <w:br w:type="page"/>
      </w:r>
    </w:p>
    <w:p>
      <w:pPr>
        <w:pStyle w:val="Heading1"/>
        <w:spacing w:before="400" w:after="200"/>
      </w:pPr>
      <w:r>
        <w:rPr>
          <w:rFonts w:ascii="Arial" w:cs="Arial" w:eastAsia="Arial" w:hAnsi="Arial"/>
          <w:b/>
          <w:bCs/>
          <w:color w:val="1a1a2e"/>
          <w:sz w:val="36"/>
          <w:szCs w:val="36"/>
        </w:rPr>
        <w:t xml:space="preserve">1. Executive Summary</w:t>
      </w:r>
    </w:p>
    <w:p>
      <w:pPr>
        <w:spacing w:before="120" w:after="120"/>
      </w:pPr>
      <w:r>
        <w:rPr>
          <w:rFonts w:ascii="Arial" w:cs="Arial" w:eastAsia="Arial" w:hAnsi="Arial"/>
          <w:b w:val="false"/>
          <w:bCs w:val="false"/>
          <w:i w:val="false"/>
          <w:iCs w:val="false"/>
          <w:color w:val="000000"/>
          <w:sz w:val="22"/>
          <w:szCs w:val="22"/>
        </w:rPr>
        <w:t xml:space="preserve">ChronX is a purpose-built blockchain protocol designed for one thing: making financial promises that are guaranteed to be kept. Whether a payment is due tomorrow or in one hundred years, ChronX ensures it arrives automatically, securely, and without fees.</w:t>
      </w:r>
    </w:p>
    <w:p>
      <w:pPr>
        <w:spacing w:before="120" w:after="120"/>
      </w:pPr>
      <w:r>
        <w:rPr>
          <w:rFonts w:ascii="Arial" w:cs="Arial" w:eastAsia="Arial" w:hAnsi="Arial"/>
          <w:b w:val="false"/>
          <w:bCs w:val="false"/>
          <w:i w:val="false"/>
          <w:iCs w:val="false"/>
          <w:color w:val="000000"/>
          <w:sz w:val="22"/>
          <w:szCs w:val="22"/>
        </w:rPr>
        <w:t xml:space="preserve">Unlike general-purpose blockchains that were retrofitted for payments, ChronX was built from the ground up for long-horizon financial obligations. Every element of the protocol — from post-quantum cryptography to the MISAI artificial intelligence layer — serves this single purpose.</w:t>
      </w:r>
    </w:p>
    <w:p>
      <w:pPr>
        <w:pBdr>
          <w:left w:val="single" w:color="B8860B" w:sz="12" w:space="8"/>
        </w:pBdr>
        <w:spacing w:before="160" w:after="160"/>
        <w:ind w:left="720" w:right="720"/>
      </w:pPr>
      <w:r>
        <w:rPr>
          <w:rFonts w:ascii="Arial" w:cs="Arial" w:eastAsia="Arial" w:hAnsi="Arial"/>
          <w:i/>
          <w:iCs/>
          <w:color w:val="333333"/>
          <w:sz w:val="22"/>
          <w:szCs w:val="22"/>
        </w:rPr>
        <w:t xml:space="preserve">"ChronX does not merely record that a promise was made. ChronX guarantees the promise is kept."</w:t>
      </w:r>
    </w:p>
    <w:p>
      <w:pPr>
        <w:spacing w:before="120" w:after="120"/>
      </w:pPr>
      <w:r>
        <w:rPr>
          <w:rFonts w:ascii="Arial" w:cs="Arial" w:eastAsia="Arial" w:hAnsi="Arial"/>
          <w:b w:val="false"/>
          <w:bCs w:val="false"/>
          <w:i w:val="false"/>
          <w:iCs w:val="false"/>
          <w:color w:val="000000"/>
          <w:sz w:val="22"/>
          <w:szCs w:val="22"/>
        </w:rPr>
        <w:t xml:space="preserve">Key facts:</w:t>
      </w:r>
    </w:p>
    <w:p>
      <w:pPr>
        <w:pStyle w:val="ListParagraph"/>
        <w:numPr>
          <w:ilvl w:val="0"/>
          <w:numId w:val="2"/>
        </w:numPr>
        <w:spacing w:before="60" w:after="60"/>
      </w:pPr>
      <w:r>
        <w:rPr>
          <w:rFonts w:ascii="Arial" w:cs="Arial" w:eastAsia="Arial" w:hAnsi="Arial"/>
          <w:sz w:val="22"/>
          <w:szCs w:val="22"/>
        </w:rPr>
        <w:t xml:space="preserve">Fixed supply: 8,270,000,000 KX tokens. No inflation. Ever.</w:t>
      </w:r>
    </w:p>
    <w:p>
      <w:pPr>
        <w:pStyle w:val="ListParagraph"/>
        <w:numPr>
          <w:ilvl w:val="0"/>
          <w:numId w:val="2"/>
        </w:numPr>
        <w:spacing w:before="60" w:after="60"/>
      </w:pPr>
      <w:r>
        <w:rPr>
          <w:rFonts w:ascii="Arial" w:cs="Arial" w:eastAsia="Arial" w:hAnsi="Arial"/>
          <w:sz w:val="22"/>
          <w:szCs w:val="22"/>
        </w:rPr>
        <w:t xml:space="preserve">Zero transaction fees on all transfers and promises.</w:t>
      </w:r>
    </w:p>
    <w:p>
      <w:pPr>
        <w:pStyle w:val="ListParagraph"/>
        <w:numPr>
          <w:ilvl w:val="0"/>
          <w:numId w:val="2"/>
        </w:numPr>
        <w:spacing w:before="60" w:after="60"/>
      </w:pPr>
      <w:r>
        <w:rPr>
          <w:rFonts w:ascii="Arial" w:cs="Arial" w:eastAsia="Arial" w:hAnsi="Arial"/>
          <w:sz w:val="22"/>
          <w:szCs w:val="22"/>
        </w:rPr>
        <w:t xml:space="preserve">Post-quantum cryptography (CRYSTALS-Dilithium2) — secure against future quantum computers.</w:t>
      </w:r>
    </w:p>
    <w:p>
      <w:pPr>
        <w:pStyle w:val="ListParagraph"/>
        <w:numPr>
          <w:ilvl w:val="0"/>
          <w:numId w:val="2"/>
        </w:numPr>
        <w:spacing w:before="60" w:after="60"/>
      </w:pPr>
      <w:r>
        <w:rPr>
          <w:rFonts w:ascii="Arial" w:cs="Arial" w:eastAsia="Arial" w:hAnsi="Arial"/>
          <w:sz w:val="22"/>
          <w:szCs w:val="22"/>
        </w:rPr>
        <w:t xml:space="preserve">Time-locked payments: schedule any payment from one second to one hundred years in the future.</w:t>
      </w:r>
    </w:p>
    <w:p>
      <w:pPr>
        <w:pStyle w:val="ListParagraph"/>
        <w:numPr>
          <w:ilvl w:val="0"/>
          <w:numId w:val="2"/>
        </w:numPr>
        <w:spacing w:before="60" w:after="60"/>
      </w:pPr>
      <w:r>
        <w:rPr>
          <w:rFonts w:ascii="Arial" w:cs="Arial" w:eastAsia="Arial" w:hAnsi="Arial"/>
          <w:sz w:val="22"/>
          <w:szCs w:val="22"/>
        </w:rPr>
        <w:t xml:space="preserve">MISAI: the world’s first AI loan servicer and investment mandate executor, built into the protocol.</w:t>
      </w:r>
    </w:p>
    <w:p>
      <w:pPr>
        <w:pStyle w:val="ListParagraph"/>
        <w:numPr>
          <w:ilvl w:val="0"/>
          <w:numId w:val="2"/>
        </w:numPr>
        <w:spacing w:before="60" w:after="60"/>
      </w:pPr>
      <w:r>
        <w:rPr>
          <w:rFonts w:ascii="Arial" w:cs="Arial" w:eastAsia="Arial" w:hAnsi="Arial"/>
          <w:sz w:val="22"/>
          <w:szCs w:val="22"/>
        </w:rPr>
        <w:t xml:space="preserve">Verifas: a human attestation layer for long-horizon delivery when original contact information is no longer valid.</w:t>
      </w:r>
    </w:p>
    <w:p>
      <w:pPr>
        <w:pStyle w:val="ListParagraph"/>
        <w:numPr>
          <w:ilvl w:val="0"/>
          <w:numId w:val="2"/>
        </w:numPr>
        <w:spacing w:before="60" w:after="60"/>
      </w:pPr>
      <w:r>
        <w:rPr>
          <w:rFonts w:ascii="Arial" w:cs="Arial" w:eastAsia="Arial" w:hAnsi="Arial"/>
          <w:sz w:val="22"/>
          <w:szCs w:val="22"/>
        </w:rPr>
        <w:t xml:space="preserve">ICO: September 22, 2026 at $0.00319 per KX.</w:t>
      </w:r>
    </w:p>
    <w:p>
      <w:pPr>
        <w:pBdr>
          <w:bottom w:val="single" w:color="B8860B" w:sz="4" w:space="1"/>
        </w:pBdr>
        <w:spacing w:before="200" w:after="200"/>
      </w:pPr>
      <w:r>
        <w:t xml:space="preserve"/>
      </w:r>
    </w:p>
    <w:p>
      <w:pPr>
        <w:pStyle w:val="Heading1"/>
        <w:spacing w:before="400" w:after="200"/>
      </w:pPr>
      <w:r>
        <w:rPr>
          <w:rFonts w:ascii="Arial" w:cs="Arial" w:eastAsia="Arial" w:hAnsi="Arial"/>
          <w:b/>
          <w:bCs/>
          <w:color w:val="1a1a2e"/>
          <w:sz w:val="36"/>
          <w:szCs w:val="36"/>
        </w:rPr>
        <w:t xml:space="preserve">2. The Problem ChronX Solves</w:t>
      </w:r>
    </w:p>
    <w:p>
      <w:pPr>
        <w:spacing w:before="120" w:after="120"/>
      </w:pPr>
      <w:r>
        <w:rPr>
          <w:rFonts w:ascii="Arial" w:cs="Arial" w:eastAsia="Arial" w:hAnsi="Arial"/>
          <w:b w:val="false"/>
          <w:bCs w:val="false"/>
          <w:i w:val="false"/>
          <w:iCs w:val="false"/>
          <w:color w:val="000000"/>
          <w:sz w:val="22"/>
          <w:szCs w:val="22"/>
        </w:rPr>
        <w:t xml:space="preserve">Every financial system in the world relies on promises. A mortgage is a promise to pay monthly for thirty years. A bond is a promise to pay coupons annually and return principal at maturity. Child support is a promise enforced by a court. A charitable pledge is a promise to give when conditions are met.</w:t>
      </w:r>
    </w:p>
    <w:p>
      <w:pPr>
        <w:spacing w:before="120" w:after="120"/>
      </w:pPr>
      <w:r>
        <w:rPr>
          <w:rFonts w:ascii="Arial" w:cs="Arial" w:eastAsia="Arial" w:hAnsi="Arial"/>
          <w:b w:val="false"/>
          <w:bCs w:val="false"/>
          <w:i w:val="false"/>
          <w:iCs w:val="false"/>
          <w:color w:val="000000"/>
          <w:sz w:val="22"/>
          <w:szCs w:val="22"/>
        </w:rPr>
        <w:t xml:space="preserve">These promises have one thing in common: they depend entirely on human institutions — banks, courts, lawyers, collection agencies — to enforce them. When those institutions fail, the promises fail.</w:t>
      </w:r>
    </w:p>
    <w:p>
      <w:pPr>
        <w:pStyle w:val="Heading2"/>
        <w:spacing w:before="300" w:after="160"/>
      </w:pPr>
      <w:r>
        <w:rPr>
          <w:rFonts w:ascii="Arial" w:cs="Arial" w:eastAsia="Arial" w:hAnsi="Arial"/>
          <w:b/>
          <w:bCs/>
          <w:color w:val="1a1a2e"/>
          <w:sz w:val="28"/>
          <w:szCs w:val="28"/>
        </w:rPr>
        <w:t xml:space="preserve">2.1 The Enforcement Gap</w:t>
      </w:r>
    </w:p>
    <w:p>
      <w:pPr>
        <w:spacing w:before="120" w:after="120"/>
      </w:pPr>
      <w:r>
        <w:rPr>
          <w:rFonts w:ascii="Arial" w:cs="Arial" w:eastAsia="Arial" w:hAnsi="Arial"/>
          <w:b w:val="false"/>
          <w:bCs w:val="false"/>
          <w:i w:val="false"/>
          <w:iCs w:val="false"/>
          <w:color w:val="000000"/>
          <w:sz w:val="22"/>
          <w:szCs w:val="22"/>
        </w:rPr>
        <w:t xml:space="preserve">Traditional finance enforces promises through intermediaries. Each intermediary adds cost, delay, and the possibility of failure. A cross-border wire transfer involves up to seven correspondent banks, each charging fees and taking days. A court order for child support requires ongoing legal proceedings to enforce. A bond maturity payment requires a trustee to remain solvent and honest for thirty years.</w:t>
      </w:r>
    </w:p>
    <w:p>
      <w:pPr>
        <w:spacing w:before="120" w:after="120"/>
      </w:pPr>
      <w:r>
        <w:rPr>
          <w:rFonts w:ascii="Arial" w:cs="Arial" w:eastAsia="Arial" w:hAnsi="Arial"/>
          <w:b w:val="false"/>
          <w:bCs w:val="false"/>
          <w:i w:val="false"/>
          <w:iCs w:val="false"/>
          <w:color w:val="000000"/>
          <w:sz w:val="22"/>
          <w:szCs w:val="22"/>
        </w:rPr>
        <w:t xml:space="preserve">ChronX removes every intermediary. A promise made on ChronX enforces itself. The protocol is the contract, the bank, and the court — simultaneously.</w:t>
      </w:r>
    </w:p>
    <w:p>
      <w:pPr>
        <w:pStyle w:val="Heading2"/>
        <w:spacing w:before="300" w:after="160"/>
      </w:pPr>
      <w:r>
        <w:rPr>
          <w:rFonts w:ascii="Arial" w:cs="Arial" w:eastAsia="Arial" w:hAnsi="Arial"/>
          <w:b/>
          <w:bCs/>
          <w:color w:val="1a1a2e"/>
          <w:sz w:val="28"/>
          <w:szCs w:val="28"/>
        </w:rPr>
        <w:t xml:space="preserve">2.2 The Time Horizon Problem</w:t>
      </w:r>
    </w:p>
    <w:p>
      <w:pPr>
        <w:spacing w:before="120" w:after="120"/>
      </w:pPr>
      <w:r>
        <w:rPr>
          <w:rFonts w:ascii="Arial" w:cs="Arial" w:eastAsia="Arial" w:hAnsi="Arial"/>
          <w:b w:val="false"/>
          <w:bCs w:val="false"/>
          <w:i w:val="false"/>
          <w:iCs w:val="false"/>
          <w:color w:val="000000"/>
          <w:sz w:val="22"/>
          <w:szCs w:val="22"/>
        </w:rPr>
        <w:t xml:space="preserve">Most blockchain technology focuses on speed: transactions confirmed in seconds. ChronX solves the opposite problem: promises that must be honored over decades. No existing blockchain was designed to manage a payment scheduled one hundred years in the future, with the recipient’s identity verified by a bonded human attestor if the original email address no longer exists.</w:t>
      </w:r>
    </w:p>
    <w:p>
      <w:pPr>
        <w:pBdr>
          <w:bottom w:val="single" w:color="B8860B" w:sz="4" w:space="1"/>
        </w:pBdr>
        <w:spacing w:before="200" w:after="200"/>
      </w:pPr>
      <w:r>
        <w:t xml:space="preserve"/>
      </w:r>
    </w:p>
    <w:p>
      <w:pPr>
        <w:pStyle w:val="Heading1"/>
        <w:spacing w:before="400" w:after="200"/>
      </w:pPr>
      <w:r>
        <w:rPr>
          <w:rFonts w:ascii="Arial" w:cs="Arial" w:eastAsia="Arial" w:hAnsi="Arial"/>
          <w:b/>
          <w:bCs/>
          <w:color w:val="1a1a2e"/>
          <w:sz w:val="36"/>
          <w:szCs w:val="36"/>
        </w:rPr>
        <w:t xml:space="preserve">3. The KX Token: A Utility, Not an Investment</w:t>
      </w:r>
    </w:p>
    <w:p>
      <w:pPr>
        <w:spacing w:before="120" w:after="120"/>
      </w:pPr>
      <w:r>
        <w:rPr>
          <w:rFonts w:ascii="Arial" w:cs="Arial" w:eastAsia="Arial" w:hAnsi="Arial"/>
          <w:b w:val="false"/>
          <w:bCs w:val="false"/>
          <w:i w:val="false"/>
          <w:iCs w:val="false"/>
          <w:color w:val="000000"/>
          <w:sz w:val="22"/>
          <w:szCs w:val="22"/>
        </w:rPr>
        <w:t xml:space="preserve">KX is the transport mechanism of the ChronX protocol. It is the fuel that moves value through time — not a speculative asset.</w:t>
      </w:r>
    </w:p>
    <w:p>
      <w:pPr>
        <w:pStyle w:val="Heading2"/>
        <w:spacing w:before="300" w:after="160"/>
      </w:pPr>
      <w:r>
        <w:rPr>
          <w:rFonts w:ascii="Arial" w:cs="Arial" w:eastAsia="Arial" w:hAnsi="Arial"/>
          <w:b/>
          <w:bCs/>
          <w:color w:val="1a1a2e"/>
          <w:sz w:val="28"/>
          <w:szCs w:val="28"/>
        </w:rPr>
        <w:t xml:space="preserve">3.1 What KX Does</w:t>
      </w:r>
    </w:p>
    <w:p>
      <w:pPr>
        <w:spacing w:before="120" w:after="120"/>
      </w:pPr>
      <w:r>
        <w:rPr>
          <w:rFonts w:ascii="Arial" w:cs="Arial" w:eastAsia="Arial" w:hAnsi="Arial"/>
          <w:b w:val="false"/>
          <w:bCs w:val="false"/>
          <w:i w:val="false"/>
          <w:iCs w:val="false"/>
          <w:color w:val="000000"/>
          <w:sz w:val="22"/>
          <w:szCs w:val="22"/>
        </w:rPr>
        <w:t xml:space="preserve">KX serves three functions within the protocol:</w:t>
      </w:r>
    </w:p>
    <w:p>
      <w:pPr>
        <w:pStyle w:val="ListParagraph"/>
        <w:numPr>
          <w:ilvl w:val="0"/>
          <w:numId w:val="2"/>
        </w:numPr>
        <w:spacing w:before="60" w:after="60"/>
      </w:pPr>
      <w:r>
        <w:rPr>
          <w:rFonts w:ascii="Arial" w:cs="Arial" w:eastAsia="Arial" w:hAnsi="Arial"/>
          <w:sz w:val="22"/>
          <w:szCs w:val="22"/>
        </w:rPr>
        <w:t xml:space="preserve">Unit of transport: KX carries value from sender to recipient across time.</w:t>
      </w:r>
    </w:p>
    <w:p>
      <w:pPr>
        <w:pStyle w:val="ListParagraph"/>
        <w:numPr>
          <w:ilvl w:val="0"/>
          <w:numId w:val="2"/>
        </w:numPr>
        <w:spacing w:before="60" w:after="60"/>
      </w:pPr>
      <w:r>
        <w:rPr>
          <w:rFonts w:ascii="Arial" w:cs="Arial" w:eastAsia="Arial" w:hAnsi="Arial"/>
          <w:sz w:val="22"/>
          <w:szCs w:val="22"/>
        </w:rPr>
        <w:t xml:space="preserve">Unit of settlement: all ChronX promises are settled in KX.</w:t>
      </w:r>
    </w:p>
    <w:p>
      <w:pPr>
        <w:pStyle w:val="ListParagraph"/>
        <w:numPr>
          <w:ilvl w:val="0"/>
          <w:numId w:val="2"/>
        </w:numPr>
        <w:spacing w:before="60" w:after="60"/>
      </w:pPr>
      <w:r>
        <w:rPr>
          <w:rFonts w:ascii="Arial" w:cs="Arial" w:eastAsia="Arial" w:hAnsi="Arial"/>
          <w:sz w:val="22"/>
          <w:szCs w:val="22"/>
        </w:rPr>
        <w:t xml:space="preserve">Unit of governance: KX is used to pay for protocol services including MISAI mandates and Verifas attestations.</w:t>
      </w:r>
    </w:p>
    <w:p>
      <w:pPr>
        <w:pStyle w:val="Heading2"/>
        <w:spacing w:before="300" w:after="160"/>
      </w:pPr>
      <w:r>
        <w:rPr>
          <w:rFonts w:ascii="Arial" w:cs="Arial" w:eastAsia="Arial" w:hAnsi="Arial"/>
          <w:b/>
          <w:bCs/>
          <w:color w:val="1a1a2e"/>
          <w:sz w:val="28"/>
          <w:szCs w:val="28"/>
        </w:rPr>
        <w:t xml:space="preserve">3.2 PAY_AS: The Denomination System</w:t>
      </w:r>
    </w:p>
    <w:p>
      <w:pPr>
        <w:spacing w:before="120" w:after="120"/>
      </w:pPr>
      <w:r>
        <w:rPr>
          <w:rFonts w:ascii="Arial" w:cs="Arial" w:eastAsia="Arial" w:hAnsi="Arial"/>
          <w:b w:val="false"/>
          <w:bCs w:val="false"/>
          <w:i w:val="false"/>
          <w:iCs w:val="false"/>
          <w:color w:val="000000"/>
          <w:sz w:val="22"/>
          <w:szCs w:val="22"/>
        </w:rPr>
        <w:t xml:space="preserve">ChronX v5.1 introduces PAY_AS — a denomination system that fundamentally clarifies KX’s status as a utility token.</w:t>
      </w:r>
    </w:p>
    <w:p>
      <w:pPr>
        <w:spacing w:before="120" w:after="120"/>
      </w:pPr>
      <w:r>
        <w:rPr>
          <w:rFonts w:ascii="Arial" w:cs="Arial" w:eastAsia="Arial" w:hAnsi="Arial"/>
          <w:b w:val="false"/>
          <w:bCs w:val="false"/>
          <w:i w:val="false"/>
          <w:iCs w:val="false"/>
          <w:color w:val="000000"/>
          <w:sz w:val="22"/>
          <w:szCs w:val="22"/>
        </w:rPr>
        <w:t xml:space="preserve">When a loan or promise is denominated using PAY_AS, the obligation is expressed in a real-world currency (USD, EUR, etc.) and ChronX automatically calculates the KX equivalent at maturity using the MISAI price oracle. The borrower and lender agree on a dollar amount; KX is simply the pipe through which that dollar value flows.</w:t>
      </w:r>
    </w:p>
    <w:p>
      <w:pPr>
        <w:pBdr>
          <w:left w:val="single" w:color="B8860B" w:sz="12" w:space="8"/>
        </w:pBdr>
        <w:spacing w:before="160" w:after="160"/>
        <w:ind w:left="720" w:right="720"/>
      </w:pPr>
      <w:r>
        <w:rPr>
          <w:rFonts w:ascii="Arial" w:cs="Arial" w:eastAsia="Arial" w:hAnsi="Arial"/>
          <w:i/>
          <w:iCs/>
          <w:color w:val="333333"/>
          <w:sz w:val="22"/>
          <w:szCs w:val="22"/>
        </w:rPr>
        <w:t xml:space="preserve">"A user creating a USD-denominated promise is no more speculating on KX than a wire transfer customer is speculating on SWIFT message fees. KX is the fee, the pipe, and the settlement layer — not the investment."</w:t>
      </w:r>
    </w:p>
    <w:p>
      <w:pPr>
        <w:spacing w:before="120" w:after="120"/>
      </w:pPr>
      <w:r>
        <w:rPr>
          <w:rFonts w:ascii="Arial" w:cs="Arial" w:eastAsia="Arial" w:hAnsi="Arial"/>
          <w:b w:val="false"/>
          <w:bCs w:val="false"/>
          <w:i w:val="false"/>
          <w:iCs w:val="false"/>
          <w:color w:val="000000"/>
          <w:sz w:val="22"/>
          <w:szCs w:val="22"/>
        </w:rPr>
        <w:t xml:space="preserve">PAY_AS denomination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Fixed KX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Traditional mode. Amount is fixed in KX at creation. Default for all existing transactions.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USD at Creation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Amount fixed in USD value at the time the promise is created. MISAI calculates KX equivalent at maturity.</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USD at Maturity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Amount fixed in USD. KX equivalent calculated on the day of delivery using the 7-day moving average price.</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EUR at Creation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USD at Creation but denominated in Euros.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EUR at Maturity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USD at Maturity but denominated in Euros.</w:t>
            </w:r>
          </w:p>
        </w:tc>
      </w:tr>
    </w:tbl>
    <w:p>
      <w:pPr>
        <w:pStyle w:val="Heading2"/>
        <w:spacing w:before="300" w:after="160"/>
      </w:pPr>
      <w:r>
        <w:rPr>
          <w:rFonts w:ascii="Arial" w:cs="Arial" w:eastAsia="Arial" w:hAnsi="Arial"/>
          <w:b/>
          <w:bCs/>
          <w:color w:val="1a1a2e"/>
          <w:sz w:val="28"/>
          <w:szCs w:val="28"/>
        </w:rPr>
        <w:t xml:space="preserve">3.3 The Howey Test and KX</w:t>
      </w:r>
    </w:p>
    <w:p>
      <w:pPr>
        <w:spacing w:before="120" w:after="120"/>
      </w:pPr>
      <w:r>
        <w:rPr>
          <w:rFonts w:ascii="Arial" w:cs="Arial" w:eastAsia="Arial" w:hAnsi="Arial"/>
          <w:b w:val="false"/>
          <w:bCs w:val="false"/>
          <w:i w:val="false"/>
          <w:iCs w:val="false"/>
          <w:color w:val="000000"/>
          <w:sz w:val="22"/>
          <w:szCs w:val="22"/>
        </w:rPr>
        <w:t xml:space="preserve">The U.S. Securities and Exchange Commission’s Howey Test defines a security as an investment of money in a common enterprise with an expectation of profit from the efforts of others. KX fails this test on the critical third element: when KX is used in a PAY_AS transaction, the user has no expectation of profit from the KX price. They are indifferent to the KX price. They specified a dollar amount; ChronX delivers that dollar amount. KX is a transport utility, not a speculative vehicle.</w:t>
      </w:r>
    </w:p>
    <w:p>
      <w:pPr>
        <w:pBdr>
          <w:bottom w:val="single" w:color="B8860B" w:sz="4" w:space="1"/>
        </w:pBdr>
        <w:spacing w:before="200" w:after="200"/>
      </w:pPr>
      <w:r>
        <w:t xml:space="preserve"/>
      </w:r>
    </w:p>
    <w:p>
      <w:pPr>
        <w:pStyle w:val="Heading1"/>
        <w:spacing w:before="400" w:after="200"/>
      </w:pPr>
      <w:r>
        <w:rPr>
          <w:rFonts w:ascii="Arial" w:cs="Arial" w:eastAsia="Arial" w:hAnsi="Arial"/>
          <w:b/>
          <w:bCs/>
          <w:color w:val="1a1a2e"/>
          <w:sz w:val="36"/>
          <w:szCs w:val="36"/>
        </w:rPr>
        <w:t xml:space="preserve">4. Protocol Payment Types</w:t>
      </w:r>
    </w:p>
    <w:p>
      <w:pPr>
        <w:spacing w:before="120" w:after="120"/>
      </w:pPr>
      <w:r>
        <w:rPr>
          <w:rFonts w:ascii="Arial" w:cs="Arial" w:eastAsia="Arial" w:hAnsi="Arial"/>
          <w:b w:val="false"/>
          <w:bCs w:val="false"/>
          <w:i w:val="false"/>
          <w:iCs w:val="false"/>
          <w:color w:val="000000"/>
          <w:sz w:val="22"/>
          <w:szCs w:val="22"/>
        </w:rPr>
        <w:t xml:space="preserve">ChronX supports ten payment types, covering every category of financial obligation from simple transfers to complex multi-party conditional agreements.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KX transfer between wallets. Zero fees. Instant settlement.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Recipient-gated payment request. Sender creates; recipient pays on their schedule.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Authorization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Pre-authorized variable draws up to a ceiling. Ideal for subscription billing.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Interest Bearing Deposit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Principal plus fixed interest obligation at maturity.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Validity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M-of-N attestor-released payment. Funds release only when conditions are verified.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Ledger Entry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Bonded agent identity verification and promise chain anchoring.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Wallet Group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Multi-wallet group creation and management for coordinated payments.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Request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On-chain payment request with deep link support.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MISAI Lock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AI-managed investment and loan mandate. Funds managed by MISAI executor.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Debt Instrument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loan with full payment schedule, PAY_AS denomination, and MISAI servicing.</w:t>
            </w:r>
          </w:p>
        </w:tc>
      </w:tr>
    </w:tbl>
    <w:p>
      <w:pPr>
        <w:pBdr>
          <w:bottom w:val="single" w:color="B8860B" w:sz="4" w:space="1"/>
        </w:pBdr>
        <w:spacing w:before="200" w:after="200"/>
      </w:pPr>
      <w:r>
        <w:t xml:space="preserve"/>
      </w:r>
    </w:p>
    <w:p>
      <w:r>
        <w:br w:type="page"/>
      </w:r>
    </w:p>
    <w:p>
      <w:pPr>
        <w:pStyle w:val="Heading1"/>
        <w:spacing w:before="400" w:after="200"/>
      </w:pPr>
      <w:r>
        <w:rPr>
          <w:rFonts w:ascii="Arial" w:cs="Arial" w:eastAsia="Arial" w:hAnsi="Arial"/>
          <w:b/>
          <w:bCs/>
          <w:color w:val="1a1a2e"/>
          <w:sz w:val="36"/>
          <w:szCs w:val="36"/>
        </w:rPr>
        <w:t xml:space="preserve">5. ChronX as Credit Infrastructure</w:t>
      </w:r>
    </w:p>
    <w:p>
      <w:pPr>
        <w:spacing w:before="120" w:after="120"/>
      </w:pPr>
      <w:r>
        <w:rPr>
          <w:rFonts w:ascii="Arial" w:cs="Arial" w:eastAsia="Arial" w:hAnsi="Arial"/>
          <w:b w:val="false"/>
          <w:bCs w:val="false"/>
          <w:i w:val="false"/>
          <w:iCs w:val="false"/>
          <w:color w:val="000000"/>
          <w:sz w:val="22"/>
          <w:szCs w:val="22"/>
        </w:rPr>
        <w:t xml:space="preserve">ChronX is not a lending protocol. It does not create credit. What ChronX provides is the enforcement infrastructure for any credit agreement that humans choose to make.</w:t>
      </w:r>
    </w:p>
    <w:p>
      <w:pPr>
        <w:spacing w:before="120" w:after="120"/>
      </w:pPr>
      <w:r>
        <w:rPr>
          <w:rFonts w:ascii="Arial" w:cs="Arial" w:eastAsia="Arial" w:hAnsi="Arial"/>
          <w:b w:val="false"/>
          <w:bCs w:val="false"/>
          <w:i w:val="false"/>
          <w:iCs w:val="false"/>
          <w:color w:val="000000"/>
          <w:sz w:val="22"/>
          <w:szCs w:val="22"/>
        </w:rPr>
        <w:t xml:space="preserve">Every loan, in every currency, in every country, has one thing in common: a repayment schedule. That schedule is a series of promises. Today, those promises live in PDF contracts that can be disputed, bank databases that can fail, and court orders that take years to enforce. ChronX makes repayment schedules immutable, automatic, and self-enforcing.</w:t>
      </w:r>
    </w:p>
    <w:p>
      <w:pPr>
        <w:pBdr>
          <w:left w:val="single" w:color="B8860B" w:sz="12" w:space="8"/>
        </w:pBdr>
        <w:spacing w:before="160" w:after="160"/>
        <w:ind w:left="720" w:right="720"/>
      </w:pPr>
      <w:r>
        <w:rPr>
          <w:rFonts w:ascii="Arial" w:cs="Arial" w:eastAsia="Arial" w:hAnsi="Arial"/>
          <w:i/>
          <w:iCs/>
          <w:color w:val="333333"/>
          <w:sz w:val="22"/>
          <w:szCs w:val="22"/>
        </w:rPr>
        <w:t xml:space="preserve">"ChronX does not create credit. ChronX makes the repayment of credit inevitable."</w:t>
      </w:r>
    </w:p>
    <w:p>
      <w:pPr>
        <w:pStyle w:val="Heading2"/>
        <w:spacing w:before="300" w:after="160"/>
      </w:pPr>
      <w:r>
        <w:rPr>
          <w:rFonts w:ascii="Arial" w:cs="Arial" w:eastAsia="Arial" w:hAnsi="Arial"/>
          <w:b/>
          <w:bCs/>
          <w:color w:val="1a1a2e"/>
          <w:sz w:val="28"/>
          <w:szCs w:val="28"/>
        </w:rPr>
        <w:t xml:space="preserve">5.1 How a Loan Works on ChronX</w:t>
      </w:r>
    </w:p>
    <w:p>
      <w:pPr>
        <w:spacing w:before="120" w:after="120"/>
      </w:pPr>
      <w:r>
        <w:rPr>
          <w:rFonts w:ascii="Arial" w:cs="Arial" w:eastAsia="Arial" w:hAnsi="Arial"/>
          <w:b w:val="false"/>
          <w:bCs w:val="false"/>
          <w:i w:val="false"/>
          <w:iCs w:val="false"/>
          <w:color w:val="000000"/>
          <w:sz w:val="22"/>
          <w:szCs w:val="22"/>
        </w:rPr>
        <w:t xml:space="preserve">A loan on ChronX involves two parties agreeing to terms, with those terms encoded immutably on the blockchain. The process is straightforward:</w:t>
      </w:r>
    </w:p>
    <w:p>
      <w:pPr>
        <w:pStyle w:val="ListParagraph"/>
        <w:numPr>
          <w:ilvl w:val="0"/>
          <w:numId w:val="2"/>
        </w:numPr>
        <w:spacing w:before="60" w:after="60"/>
      </w:pPr>
      <w:r>
        <w:rPr>
          <w:rFonts w:ascii="Arial" w:cs="Arial" w:eastAsia="Arial" w:hAnsi="Arial"/>
          <w:sz w:val="22"/>
          <w:szCs w:val="22"/>
        </w:rPr>
        <w:t xml:space="preserve">Lender sends KX to borrower (a TYPE T transfer).</w:t>
      </w:r>
    </w:p>
    <w:p>
      <w:pPr>
        <w:pStyle w:val="ListParagraph"/>
        <w:numPr>
          <w:ilvl w:val="0"/>
          <w:numId w:val="2"/>
        </w:numPr>
        <w:spacing w:before="60" w:after="60"/>
      </w:pPr>
      <w:r>
        <w:rPr>
          <w:rFonts w:ascii="Arial" w:cs="Arial" w:eastAsia="Arial" w:hAnsi="Arial"/>
          <w:sz w:val="22"/>
          <w:szCs w:val="22"/>
        </w:rPr>
        <w:t xml:space="preserve">Both parties create a TYPE D (Debt Instrument) agreement encoding the full repayment schedule.</w:t>
      </w:r>
    </w:p>
    <w:p>
      <w:pPr>
        <w:pStyle w:val="ListParagraph"/>
        <w:numPr>
          <w:ilvl w:val="0"/>
          <w:numId w:val="2"/>
        </w:numPr>
        <w:spacing w:before="60" w:after="60"/>
      </w:pPr>
      <w:r>
        <w:rPr>
          <w:rFonts w:ascii="Arial" w:cs="Arial" w:eastAsia="Arial" w:hAnsi="Arial"/>
          <w:sz w:val="22"/>
          <w:szCs w:val="22"/>
        </w:rPr>
        <w:t xml:space="preserve">MISAI monitors the schedule automatically.</w:t>
      </w:r>
    </w:p>
    <w:p>
      <w:pPr>
        <w:pStyle w:val="ListParagraph"/>
        <w:numPr>
          <w:ilvl w:val="0"/>
          <w:numId w:val="2"/>
        </w:numPr>
        <w:spacing w:before="60" w:after="60"/>
      </w:pPr>
      <w:r>
        <w:rPr>
          <w:rFonts w:ascii="Arial" w:cs="Arial" w:eastAsia="Arial" w:hAnsi="Arial"/>
          <w:sz w:val="22"/>
          <w:szCs w:val="22"/>
        </w:rPr>
        <w:t xml:space="preserve">If a payment is received: MISAI marks it complete. The record is permanent.</w:t>
      </w:r>
    </w:p>
    <w:p>
      <w:pPr>
        <w:pStyle w:val="ListParagraph"/>
        <w:numPr>
          <w:ilvl w:val="0"/>
          <w:numId w:val="2"/>
        </w:numPr>
        <w:spacing w:before="60" w:after="60"/>
      </w:pPr>
      <w:r>
        <w:rPr>
          <w:rFonts w:ascii="Arial" w:cs="Arial" w:eastAsia="Arial" w:hAnsi="Arial"/>
          <w:sz w:val="22"/>
          <w:szCs w:val="22"/>
        </w:rPr>
        <w:t xml:space="preserve">If a payment is missed beyond the grace period: MISAI sends one notice to each party and publishes a default record. Then MISAI’s role ends. Both parties may wish to consult legal counsel.</w:t>
      </w:r>
    </w:p>
    <w:p>
      <w:pPr>
        <w:spacing w:before="120" w:after="120"/>
      </w:pPr>
      <w:r>
        <w:rPr>
          <w:rFonts w:ascii="Arial" w:cs="Arial" w:eastAsia="Arial" w:hAnsi="Arial"/>
          <w:b w:val="false"/>
          <w:bCs w:val="false"/>
          <w:i w:val="false"/>
          <w:iCs w:val="false"/>
          <w:color w:val="000000"/>
          <w:sz w:val="22"/>
          <w:szCs w:val="22"/>
        </w:rPr>
        <w:t xml:space="preserve">ChronX makes no promises it cannot keep. It keeps every promise it makes.</w:t>
      </w:r>
    </w:p>
    <w:p>
      <w:pPr>
        <w:pStyle w:val="Heading2"/>
        <w:spacing w:before="300" w:after="160"/>
      </w:pPr>
      <w:r>
        <w:rPr>
          <w:rFonts w:ascii="Arial" w:cs="Arial" w:eastAsia="Arial" w:hAnsi="Arial"/>
          <w:b/>
          <w:bCs/>
          <w:color w:val="1a1a2e"/>
          <w:sz w:val="28"/>
          <w:szCs w:val="28"/>
        </w:rPr>
        <w:t xml:space="preserve">5.2 Payment Schedule Flexibility</w:t>
      </w:r>
    </w:p>
    <w:p>
      <w:pPr>
        <w:spacing w:before="120" w:after="120"/>
      </w:pPr>
      <w:r>
        <w:rPr>
          <w:rFonts w:ascii="Arial" w:cs="Arial" w:eastAsia="Arial" w:hAnsi="Arial"/>
          <w:b w:val="false"/>
          <w:bCs w:val="false"/>
          <w:i w:val="false"/>
          <w:iCs w:val="false"/>
          <w:color w:val="000000"/>
          <w:sz w:val="22"/>
          <w:szCs w:val="22"/>
        </w:rPr>
        <w:t xml:space="preserve">ChronX supports every payment structure used in modern finance, from the simplest to the most complex: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Bullet Loan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principal and interest due at maturity. One payment. Ideal for bridge loans and zero-coupon bonds.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Interest Only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Periodic interest payments with full principal due at maturity. Matches corporate bond structures.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Amortizing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periodic payments covering both principal and interest. Standard mortgage and auto loan structure.</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Custom Schedule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arbitrary combination of payment dates and amounts. Grace periods, balloon payments, revenue-based structures.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High Frequency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 every hour, minute, or second. Designed for AI agents settling trading obligations in real time.</w:t>
            </w:r>
          </w:p>
        </w:tc>
      </w:tr>
    </w:tbl>
    <w:p>
      <w:pPr>
        <w:pStyle w:val="Heading2"/>
        <w:spacing w:before="300" w:after="160"/>
      </w:pPr>
      <w:r>
        <w:rPr>
          <w:rFonts w:ascii="Arial" w:cs="Arial" w:eastAsia="Arial" w:hAnsi="Arial"/>
          <w:b/>
          <w:bCs/>
          <w:color w:val="1a1a2e"/>
          <w:sz w:val="28"/>
          <w:szCs w:val="28"/>
        </w:rPr>
        <w:t xml:space="preserve">5.3 Default and MISAI’s Role</w:t>
      </w:r>
    </w:p>
    <w:p>
      <w:pPr>
        <w:spacing w:before="120" w:after="120"/>
      </w:pPr>
      <w:r>
        <w:rPr>
          <w:rFonts w:ascii="Arial" w:cs="Arial" w:eastAsia="Arial" w:hAnsi="Arial"/>
          <w:b w:val="false"/>
          <w:bCs w:val="false"/>
          <w:i w:val="false"/>
          <w:iCs w:val="false"/>
          <w:color w:val="000000"/>
          <w:sz w:val="22"/>
          <w:szCs w:val="22"/>
        </w:rPr>
        <w:t xml:space="preserve">MISAI’s role in loan servicing is deliberately limited. ChronX is not a collection agency, a court, or an arbiter of disputes. MISAI’s complete role on default:</w:t>
      </w:r>
    </w:p>
    <w:p>
      <w:pPr>
        <w:pStyle w:val="ListParagraph"/>
        <w:numPr>
          <w:ilvl w:val="0"/>
          <w:numId w:val="2"/>
        </w:numPr>
        <w:spacing w:before="60" w:after="60"/>
      </w:pPr>
      <w:r>
        <w:rPr>
          <w:rFonts w:ascii="Arial" w:cs="Arial" w:eastAsia="Arial" w:hAnsi="Arial"/>
          <w:sz w:val="22"/>
          <w:szCs w:val="22"/>
        </w:rPr>
        <w:t xml:space="preserve">Send one poke notification to the borrower’s wallet.</w:t>
      </w:r>
    </w:p>
    <w:p>
      <w:pPr>
        <w:pStyle w:val="ListParagraph"/>
        <w:numPr>
          <w:ilvl w:val="0"/>
          <w:numId w:val="2"/>
        </w:numPr>
        <w:spacing w:before="60" w:after="60"/>
      </w:pPr>
      <w:r>
        <w:rPr>
          <w:rFonts w:ascii="Arial" w:cs="Arial" w:eastAsia="Arial" w:hAnsi="Arial"/>
          <w:sz w:val="22"/>
          <w:szCs w:val="22"/>
        </w:rPr>
        <w:t xml:space="preserve">Send one notification to the lender’s wallet.</w:t>
      </w:r>
    </w:p>
    <w:p>
      <w:pPr>
        <w:pStyle w:val="ListParagraph"/>
        <w:numPr>
          <w:ilvl w:val="0"/>
          <w:numId w:val="2"/>
        </w:numPr>
        <w:spacing w:before="60" w:after="60"/>
      </w:pPr>
      <w:r>
        <w:rPr>
          <w:rFonts w:ascii="Arial" w:cs="Arial" w:eastAsia="Arial" w:hAnsi="Arial"/>
          <w:sz w:val="22"/>
          <w:szCs w:val="22"/>
        </w:rPr>
        <w:t xml:space="preserve">Publish one DefaultRecord to the DAG, recording the date, amounts, and outstanding balance.</w:t>
      </w:r>
    </w:p>
    <w:p>
      <w:pPr>
        <w:pStyle w:val="ListParagraph"/>
        <w:numPr>
          <w:ilvl w:val="0"/>
          <w:numId w:val="2"/>
        </w:numPr>
        <w:spacing w:before="60" w:after="60"/>
      </w:pPr>
      <w:r>
        <w:rPr>
          <w:rFonts w:ascii="Arial" w:cs="Arial" w:eastAsia="Arial" w:hAnsi="Arial"/>
          <w:sz w:val="22"/>
          <w:szCs w:val="22"/>
        </w:rPr>
        <w:t xml:space="preserve">Exit. Done.</w:t>
      </w:r>
    </w:p>
    <w:p>
      <w:pPr>
        <w:spacing w:before="120" w:after="120"/>
      </w:pPr>
      <w:r>
        <w:rPr>
          <w:rFonts w:ascii="Arial" w:cs="Arial" w:eastAsia="Arial" w:hAnsi="Arial"/>
          <w:b w:val="false"/>
          <w:bCs w:val="false"/>
          <w:i w:val="false"/>
          <w:iCs w:val="false"/>
          <w:color w:val="000000"/>
          <w:sz w:val="22"/>
          <w:szCs w:val="22"/>
        </w:rPr>
        <w:t xml:space="preserve">The DefaultRecord is permanent and publicly visible. Every future lender who queries that wallet address will see it. ChronX’s permanent public record is more powerful than any credit bureau — it cannot be disputed, sealed, or expunged after seven years.</w:t>
      </w:r>
    </w:p>
    <w:p>
      <w:pPr>
        <w:pStyle w:val="Heading2"/>
        <w:spacing w:before="300" w:after="160"/>
      </w:pPr>
      <w:r>
        <w:rPr>
          <w:rFonts w:ascii="Arial" w:cs="Arial" w:eastAsia="Arial" w:hAnsi="Arial"/>
          <w:b/>
          <w:bCs/>
          <w:color w:val="1a1a2e"/>
          <w:sz w:val="28"/>
          <w:szCs w:val="28"/>
        </w:rPr>
        <w:t xml:space="preserve">5.4 Reinstatement — No Time Limit</w:t>
      </w:r>
    </w:p>
    <w:p>
      <w:pPr>
        <w:spacing w:before="120" w:after="120"/>
      </w:pPr>
      <w:r>
        <w:rPr>
          <w:rFonts w:ascii="Arial" w:cs="Arial" w:eastAsia="Arial" w:hAnsi="Arial"/>
          <w:b w:val="false"/>
          <w:bCs w:val="false"/>
          <w:i w:val="false"/>
          <w:iCs w:val="false"/>
          <w:color w:val="000000"/>
          <w:sz w:val="22"/>
          <w:szCs w:val="22"/>
        </w:rPr>
        <w:t xml:space="preserve">A defaulted loan may be reinstated at any time if both the lender and borrower agree. There is no time limit on reinstatement. A court order issued twenty years after the original default is as valid as one issued the next day. Both parties sign a LoanReinstatement transaction on-chain, MISAI verifies the cure payment was made, and the loan resumes on its new schedule.</w:t>
      </w:r>
    </w:p>
    <w:p>
      <w:pPr>
        <w:spacing w:before="120" w:after="120"/>
      </w:pPr>
      <w:r>
        <w:rPr>
          <w:rFonts w:ascii="Arial" w:cs="Arial" w:eastAsia="Arial" w:hAnsi="Arial"/>
          <w:b w:val="false"/>
          <w:bCs w:val="false"/>
          <w:i w:val="false"/>
          <w:iCs w:val="false"/>
          <w:color w:val="000000"/>
          <w:sz w:val="22"/>
          <w:szCs w:val="22"/>
        </w:rPr>
        <w:t xml:space="preserve">The original default record remains on the DAG alongside the reinstatement record. The complete history is always visible.</w:t>
      </w:r>
    </w:p>
    <w:p>
      <w:pPr>
        <w:pStyle w:val="Heading2"/>
        <w:spacing w:before="300" w:after="160"/>
      </w:pPr>
      <w:r>
        <w:rPr>
          <w:rFonts w:ascii="Arial" w:cs="Arial" w:eastAsia="Arial" w:hAnsi="Arial"/>
          <w:b/>
          <w:bCs/>
          <w:color w:val="1a1a2e"/>
          <w:sz w:val="28"/>
          <w:szCs w:val="28"/>
        </w:rPr>
        <w:t xml:space="preserve">5.5 Write-Off and Tax Documentation</w:t>
      </w:r>
    </w:p>
    <w:p>
      <w:pPr>
        <w:spacing w:before="120" w:after="120"/>
      </w:pPr>
      <w:r>
        <w:rPr>
          <w:rFonts w:ascii="Arial" w:cs="Arial" w:eastAsia="Arial" w:hAnsi="Arial"/>
          <w:b w:val="false"/>
          <w:bCs w:val="false"/>
          <w:i w:val="false"/>
          <w:iCs w:val="false"/>
          <w:color w:val="000000"/>
          <w:sz w:val="22"/>
          <w:szCs w:val="22"/>
        </w:rPr>
        <w:t xml:space="preserve">A lender may unilaterally write off a defaulted loan by submitting a LoanWriteOff transaction. This is irrevocable and requires only the lender’s signature. The write-off record on the ChronX DAG provides cryptographically signed, timestamped documentation of the discharge — suitable for tax filings in most jurisdictions (equivalent to a 1099-C in the United States).</w:t>
      </w:r>
    </w:p>
    <w:p>
      <w:pPr>
        <w:spacing w:before="120" w:after="120"/>
      </w:pPr>
      <w:r>
        <w:rPr>
          <w:rFonts w:ascii="Arial" w:cs="Arial" w:eastAsia="Arial" w:hAnsi="Arial"/>
          <w:b w:val="false"/>
          <w:bCs w:val="false"/>
          <w:i w:val="false"/>
          <w:iCs w:val="false"/>
          <w:color w:val="000000"/>
          <w:sz w:val="22"/>
          <w:szCs w:val="22"/>
        </w:rPr>
        <w:t xml:space="preserve">The borrower’s default record remains visible. The lender’s write-off record adds a second chapter to the same story.</w:t>
      </w:r>
    </w:p>
    <w:p>
      <w:pPr>
        <w:pStyle w:val="Heading2"/>
        <w:spacing w:before="300" w:after="160"/>
      </w:pPr>
      <w:r>
        <w:rPr>
          <w:rFonts w:ascii="Arial" w:cs="Arial" w:eastAsia="Arial" w:hAnsi="Arial"/>
          <w:b/>
          <w:bCs/>
          <w:color w:val="1a1a2e"/>
          <w:sz w:val="28"/>
          <w:szCs w:val="28"/>
        </w:rPr>
        <w:t xml:space="preserve">5.6 Early Payoff</w:t>
      </w:r>
    </w:p>
    <w:p>
      <w:pPr>
        <w:spacing w:before="120" w:after="120"/>
      </w:pPr>
      <w:r>
        <w:rPr>
          <w:rFonts w:ascii="Arial" w:cs="Arial" w:eastAsia="Arial" w:hAnsi="Arial"/>
          <w:b w:val="false"/>
          <w:bCs w:val="false"/>
          <w:i w:val="false"/>
          <w:iCs w:val="false"/>
          <w:color w:val="000000"/>
          <w:sz w:val="22"/>
          <w:szCs w:val="22"/>
        </w:rPr>
        <w:t xml:space="preserve">Loan terms set at creation govern whether early payoff is permitted, and on what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Prohibited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Lender locked in the full interest stream. Common in bonds and fixed-rate instruments.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Allowed at Par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Borrower pays outstanding principal only. Remaining interest forgiven. Common in friendly loans.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With Penalty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Borrower pays principal plus a percentage penalty. Compensates lender for lost yield.</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With Discount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Borrower pays less than the full outstanding balance. Lender prefers early liquidity over full yield.</w:t>
            </w:r>
          </w:p>
        </w:tc>
      </w:tr>
    </w:tbl>
    <w:p>
      <w:pPr>
        <w:pBdr>
          <w:bottom w:val="single" w:color="B8860B" w:sz="4" w:space="1"/>
        </w:pBdr>
        <w:spacing w:before="200" w:after="200"/>
      </w:pPr>
      <w:r>
        <w:t xml:space="preserve"/>
      </w:r>
    </w:p>
    <w:p>
      <w:pPr>
        <w:pStyle w:val="Heading1"/>
        <w:spacing w:before="400" w:after="200"/>
      </w:pPr>
      <w:r>
        <w:rPr>
          <w:rFonts w:ascii="Arial" w:cs="Arial" w:eastAsia="Arial" w:hAnsi="Arial"/>
          <w:b/>
          <w:bCs/>
          <w:color w:val="1a1a2e"/>
          <w:sz w:val="36"/>
          <w:szCs w:val="36"/>
        </w:rPr>
        <w:t xml:space="preserve">6. Late Fee Schedules</w:t>
      </w:r>
    </w:p>
    <w:p>
      <w:pPr>
        <w:spacing w:before="120" w:after="120"/>
      </w:pPr>
      <w:r>
        <w:rPr>
          <w:rFonts w:ascii="Arial" w:cs="Arial" w:eastAsia="Arial" w:hAnsi="Arial"/>
          <w:b w:val="false"/>
          <w:bCs w:val="false"/>
          <w:i w:val="false"/>
          <w:iCs w:val="false"/>
          <w:color w:val="000000"/>
          <w:sz w:val="22"/>
          <w:szCs w:val="22"/>
        </w:rPr>
        <w:t xml:space="preserve">Late fees on ChronX are encoded at loan creation. Both parties agree to the schedule before any funds move. There are no surprise fees and no room for dispute about what was agreed.</w:t>
      </w:r>
    </w:p>
    <w:p>
      <w:pPr>
        <w:spacing w:before="120" w:after="120"/>
      </w:pPr>
      <w:r>
        <w:rPr>
          <w:rFonts w:ascii="Arial" w:cs="Arial" w:eastAsia="Arial" w:hAnsi="Arial"/>
          <w:b w:val="false"/>
          <w:bCs w:val="false"/>
          <w:i w:val="false"/>
          <w:iCs w:val="false"/>
          <w:color w:val="000000"/>
          <w:sz w:val="22"/>
          <w:szCs w:val="22"/>
        </w:rPr>
        <w:t xml:space="preserve">Three late fee structures are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None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late fee. Some flexible or friendly loans operate this way.</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Flat Fee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single fixed KX amount charged when payment is overdue. Simple and predictable.</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Tiered Escalating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 fee percentages apply at different overdue thresholds. Mirrors standard commercial lending practice.</w:t>
            </w:r>
          </w:p>
        </w:tc>
      </w:tr>
    </w:tbl>
    <w:p>
      <w:pPr>
        <w:spacing w:before="120" w:after="120"/>
      </w:pPr>
      <w:r>
        <w:rPr>
          <w:rFonts w:ascii="Arial" w:cs="Arial" w:eastAsia="Arial" w:hAnsi="Arial"/>
          <w:b w:val="false"/>
          <w:bCs w:val="false"/>
          <w:i w:val="false"/>
          <w:iCs w:val="false"/>
          <w:color w:val="000000"/>
          <w:sz w:val="22"/>
          <w:szCs w:val="22"/>
        </w:rPr>
        <w:t xml:space="preserve">Example tiered schedule:</w:t>
      </w:r>
    </w:p>
    <w:p>
      <w:pPr>
        <w:pStyle w:val="ListParagraph"/>
        <w:numPr>
          <w:ilvl w:val="0"/>
          <w:numId w:val="2"/>
        </w:numPr>
        <w:spacing w:before="60" w:after="60"/>
      </w:pPr>
      <w:r>
        <w:rPr>
          <w:rFonts w:ascii="Arial" w:cs="Arial" w:eastAsia="Arial" w:hAnsi="Arial"/>
          <w:sz w:val="22"/>
          <w:szCs w:val="22"/>
        </w:rPr>
        <w:t xml:space="preserve">Days 1–15 overdue: 2% of missed payment amount</w:t>
      </w:r>
    </w:p>
    <w:p>
      <w:pPr>
        <w:pStyle w:val="ListParagraph"/>
        <w:numPr>
          <w:ilvl w:val="0"/>
          <w:numId w:val="2"/>
        </w:numPr>
        <w:spacing w:before="60" w:after="60"/>
      </w:pPr>
      <w:r>
        <w:rPr>
          <w:rFonts w:ascii="Arial" w:cs="Arial" w:eastAsia="Arial" w:hAnsi="Arial"/>
          <w:sz w:val="22"/>
          <w:szCs w:val="22"/>
        </w:rPr>
        <w:t xml:space="preserve">Days 16–30 overdue: 5% of missed payment amount</w:t>
      </w:r>
    </w:p>
    <w:p>
      <w:pPr>
        <w:pStyle w:val="ListParagraph"/>
        <w:numPr>
          <w:ilvl w:val="0"/>
          <w:numId w:val="2"/>
        </w:numPr>
        <w:spacing w:before="60" w:after="60"/>
      </w:pPr>
      <w:r>
        <w:rPr>
          <w:rFonts w:ascii="Arial" w:cs="Arial" w:eastAsia="Arial" w:hAnsi="Arial"/>
          <w:sz w:val="22"/>
          <w:szCs w:val="22"/>
        </w:rPr>
        <w:t xml:space="preserve">Day 30+: Grace period ends. MISAI issues default notice. Late fees freeze at this calculation and are included in the DefaultRecord. No further automated fee accrual after MISAI exits.</w:t>
      </w:r>
    </w:p>
    <w:p>
      <w:pPr>
        <w:pBdr>
          <w:bottom w:val="single" w:color="B8860B" w:sz="4" w:space="1"/>
        </w:pBdr>
        <w:spacing w:before="200" w:after="200"/>
      </w:pPr>
      <w:r>
        <w:t xml:space="preserve"/>
      </w:r>
    </w:p>
    <w:p>
      <w:r>
        <w:br w:type="page"/>
      </w:r>
    </w:p>
    <w:p>
      <w:pPr>
        <w:pStyle w:val="Heading1"/>
        <w:spacing w:before="400" w:after="200"/>
      </w:pPr>
      <w:r>
        <w:rPr>
          <w:rFonts w:ascii="Arial" w:cs="Arial" w:eastAsia="Arial" w:hAnsi="Arial"/>
          <w:b/>
          <w:bCs/>
          <w:color w:val="1a1a2e"/>
          <w:sz w:val="36"/>
          <w:szCs w:val="36"/>
        </w:rPr>
        <w:t xml:space="preserve">7. Currency Risk and the ChronX Hedge System</w:t>
      </w:r>
    </w:p>
    <w:p>
      <w:pPr>
        <w:spacing w:before="120" w:after="120"/>
      </w:pPr>
      <w:r>
        <w:rPr>
          <w:rFonts w:ascii="Arial" w:cs="Arial" w:eastAsia="Arial" w:hAnsi="Arial"/>
          <w:b w:val="false"/>
          <w:bCs w:val="false"/>
          <w:i w:val="false"/>
          <w:iCs w:val="false"/>
          <w:color w:val="000000"/>
          <w:sz w:val="22"/>
          <w:szCs w:val="22"/>
        </w:rPr>
        <w:t xml:space="preserve">A significant challenge with any long-horizon obligation denominated in a volatile asset is currency risk. If you borrow 10,000,000 KX today when KX is worth $0.00319, and KX rises to $1.00 over ten years, your $31,900 loan now costs $10,000,000 to repay. ChronX addresses this with a built-in hedge system.</w:t>
      </w:r>
    </w:p>
    <w:p>
      <w:pPr>
        <w:pStyle w:val="Heading2"/>
        <w:spacing w:before="300" w:after="160"/>
      </w:pPr>
      <w:r>
        <w:rPr>
          <w:rFonts w:ascii="Arial" w:cs="Arial" w:eastAsia="Arial" w:hAnsi="Arial"/>
          <w:b/>
          <w:bCs/>
          <w:color w:val="1a1a2e"/>
          <w:sz w:val="28"/>
          <w:szCs w:val="28"/>
        </w:rPr>
        <w:t xml:space="preserve">7.1 How Currency Risk Works on ChronX</w:t>
      </w:r>
    </w:p>
    <w:p>
      <w:pPr>
        <w:spacing w:before="120" w:after="120"/>
      </w:pPr>
      <w:r>
        <w:rPr>
          <w:rFonts w:ascii="Arial" w:cs="Arial" w:eastAsia="Arial" w:hAnsi="Arial"/>
          <w:b w:val="false"/>
          <w:bCs w:val="false"/>
          <w:i w:val="false"/>
          <w:iCs w:val="false"/>
          <w:color w:val="000000"/>
          <w:sz w:val="22"/>
          <w:szCs w:val="22"/>
        </w:rPr>
        <w:t xml:space="preserve">When KX is used as the transport for a USD-denominated obligation (using PAY_AS), the MISAI price oracle calculates the KX equivalent at maturity using the 7-day moving average of the KX/USDC price from the protocol’s Uniswap liquidity pool. This manipulation-resistant calculation protects both parties from single-day price anomalies.</w:t>
      </w:r>
    </w:p>
    <w:p>
      <w:pPr>
        <w:spacing w:before="120" w:after="120"/>
      </w:pPr>
      <w:r>
        <w:rPr>
          <w:rFonts w:ascii="Arial" w:cs="Arial" w:eastAsia="Arial" w:hAnsi="Arial"/>
          <w:b w:val="false"/>
          <w:bCs w:val="false"/>
          <w:i w:val="false"/>
          <w:iCs w:val="false"/>
          <w:color w:val="000000"/>
          <w:sz w:val="22"/>
          <w:szCs w:val="22"/>
        </w:rPr>
        <w:t xml:space="preserve">If the MISAI oracle is unavailable at maturity, ChronX retries every six hours for three days. If still unavailable after three days, both parties are notified and may agree to use the last known price, wait longer, or manually specify the settlement amount.</w:t>
      </w:r>
    </w:p>
    <w:p>
      <w:pPr>
        <w:pStyle w:val="Heading2"/>
        <w:spacing w:before="300" w:after="160"/>
      </w:pPr>
      <w:r>
        <w:rPr>
          <w:rFonts w:ascii="Arial" w:cs="Arial" w:eastAsia="Arial" w:hAnsi="Arial"/>
          <w:b/>
          <w:bCs/>
          <w:color w:val="1a1a2e"/>
          <w:sz w:val="28"/>
          <w:szCs w:val="28"/>
        </w:rPr>
        <w:t xml:space="preserve">7.2 Hedge Requirements</w:t>
      </w:r>
    </w:p>
    <w:p>
      <w:pPr>
        <w:spacing w:before="120" w:after="120"/>
      </w:pPr>
      <w:r>
        <w:rPr>
          <w:rFonts w:ascii="Arial" w:cs="Arial" w:eastAsia="Arial" w:hAnsi="Arial"/>
          <w:b w:val="false"/>
          <w:bCs w:val="false"/>
          <w:i w:val="false"/>
          <w:iCs w:val="false"/>
          <w:color w:val="000000"/>
          <w:sz w:val="22"/>
          <w:szCs w:val="22"/>
        </w:rPr>
        <w:t xml:space="preserve">A lender may require that a loan be hedged before funds are disbursed. The hedge requirement is encoded in the loan agreement at creation. MISAI verifies the hedge exists before releasing loan funds — if no qualifying hedge exists, the loan does not proceed.</w:t>
      </w:r>
    </w:p>
    <w:p>
      <w:pPr>
        <w:spacing w:before="120" w:after="120"/>
      </w:pPr>
      <w:r>
        <w:rPr>
          <w:rFonts w:ascii="Arial" w:cs="Arial" w:eastAsia="Arial" w:hAnsi="Arial"/>
          <w:b w:val="false"/>
          <w:bCs w:val="false"/>
          <w:i w:val="false"/>
          <w:iCs w:val="false"/>
          <w:color w:val="000000"/>
          <w:sz w:val="22"/>
          <w:szCs w:val="22"/>
        </w:rPr>
        <w:t xml:space="preserve">Hedge coverage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Principal Only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Hedge covers return of the original KX principal in USD terms. Lender bears interest currency risk.</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Principal and Interest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Hedge covers the full repayment obligation in USD terms. Neither party bears currency risk.</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Partial (e.g. 80%)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Lender requires at least 80% coverage. Both parties accept currency risk on the remaining 20%.</w:t>
            </w:r>
          </w:p>
        </w:tc>
      </w:tr>
    </w:tbl>
    <w:p>
      <w:pPr>
        <w:pBdr>
          <w:left w:val="single" w:color="B8860B" w:sz="12" w:space="8"/>
        </w:pBdr>
        <w:spacing w:before="160" w:after="160"/>
        <w:ind w:left="720" w:right="720"/>
      </w:pPr>
      <w:r>
        <w:rPr>
          <w:rFonts w:ascii="Arial" w:cs="Arial" w:eastAsia="Arial" w:hAnsi="Arial"/>
          <w:i/>
          <w:iCs/>
          <w:color w:val="333333"/>
          <w:sz w:val="22"/>
          <w:szCs w:val="22"/>
        </w:rPr>
        <w:t xml:space="preserve">"I will make this loan if at least 80% is hedged — we both take the risk on any balance."</w:t>
      </w:r>
    </w:p>
    <w:p>
      <w:pPr>
        <w:pStyle w:val="Heading2"/>
        <w:spacing w:before="300" w:after="160"/>
      </w:pPr>
      <w:r>
        <w:rPr>
          <w:rFonts w:ascii="Arial" w:cs="Arial" w:eastAsia="Arial" w:hAnsi="Arial"/>
          <w:b/>
          <w:bCs/>
          <w:color w:val="1a1a2e"/>
          <w:sz w:val="28"/>
          <w:szCs w:val="28"/>
        </w:rPr>
        <w:t xml:space="preserve">7.3 HedgeX: The Peer-to-Peer Hedge Marketplace</w:t>
      </w:r>
    </w:p>
    <w:p>
      <w:pPr>
        <w:spacing w:before="120" w:after="120"/>
      </w:pPr>
      <w:r>
        <w:rPr>
          <w:rFonts w:ascii="Arial" w:cs="Arial" w:eastAsia="Arial" w:hAnsi="Arial"/>
          <w:b w:val="false"/>
          <w:bCs w:val="false"/>
          <w:i w:val="false"/>
          <w:iCs w:val="false"/>
          <w:color w:val="000000"/>
          <w:sz w:val="22"/>
          <w:szCs w:val="22"/>
        </w:rPr>
        <w:t xml:space="preserve">HedgeX is a peer-to-peer marketplace that connects borrowers seeking currency risk protection with KX holders willing to provide it. ChronX does not issue, underwrite, guarantee, or take positions in any hedge contract. All contracts are directly between participants.</w:t>
      </w:r>
    </w:p>
    <w:p>
      <w:pPr>
        <w:spacing w:before="120" w:after="120"/>
      </w:pPr>
      <w:r>
        <w:rPr>
          <w:rFonts w:ascii="Arial" w:cs="Arial" w:eastAsia="Arial" w:hAnsi="Arial"/>
          <w:b w:val="false"/>
          <w:bCs w:val="false"/>
          <w:i w:val="false"/>
          <w:iCs w:val="false"/>
          <w:color w:val="000000"/>
          <w:sz w:val="22"/>
          <w:szCs w:val="22"/>
        </w:rPr>
        <w:t xml:space="preserve">How it works:</w:t>
      </w:r>
    </w:p>
    <w:p>
      <w:pPr>
        <w:pStyle w:val="ListParagraph"/>
        <w:numPr>
          <w:ilvl w:val="0"/>
          <w:numId w:val="2"/>
        </w:numPr>
        <w:spacing w:before="60" w:after="60"/>
      </w:pPr>
      <w:r>
        <w:rPr>
          <w:rFonts w:ascii="Arial" w:cs="Arial" w:eastAsia="Arial" w:hAnsi="Arial"/>
          <w:sz w:val="22"/>
          <w:szCs w:val="22"/>
        </w:rPr>
        <w:t xml:space="preserve">A borrower posts a hedge campaign specifying the coverage needed and the premium offered (e.g., 8% annual USDC yield).</w:t>
      </w:r>
    </w:p>
    <w:p>
      <w:pPr>
        <w:pStyle w:val="ListParagraph"/>
        <w:numPr>
          <w:ilvl w:val="0"/>
          <w:numId w:val="2"/>
        </w:numPr>
        <w:spacing w:before="60" w:after="60"/>
      </w:pPr>
      <w:r>
        <w:rPr>
          <w:rFonts w:ascii="Arial" w:cs="Arial" w:eastAsia="Arial" w:hAnsi="Arial"/>
          <w:sz w:val="22"/>
          <w:szCs w:val="22"/>
        </w:rPr>
        <w:t xml:space="preserve">Individual KX holders pledge any amount — as little as 16 KX — to fund the campaign.</w:t>
      </w:r>
    </w:p>
    <w:p>
      <w:pPr>
        <w:pStyle w:val="ListParagraph"/>
        <w:numPr>
          <w:ilvl w:val="0"/>
          <w:numId w:val="2"/>
        </w:numPr>
        <w:spacing w:before="60" w:after="60"/>
      </w:pPr>
      <w:r>
        <w:rPr>
          <w:rFonts w:ascii="Arial" w:cs="Arial" w:eastAsia="Arial" w:hAnsi="Arial"/>
          <w:sz w:val="22"/>
          <w:szCs w:val="22"/>
        </w:rPr>
        <w:t xml:space="preserve">If the campaign reaches its minimum coverage threshold before the deadline, the hedge is funded and the loan proceeds.</w:t>
      </w:r>
    </w:p>
    <w:p>
      <w:pPr>
        <w:pStyle w:val="ListParagraph"/>
        <w:numPr>
          <w:ilvl w:val="0"/>
          <w:numId w:val="2"/>
        </w:numPr>
        <w:spacing w:before="60" w:after="60"/>
      </w:pPr>
      <w:r>
        <w:rPr>
          <w:rFonts w:ascii="Arial" w:cs="Arial" w:eastAsia="Arial" w:hAnsi="Arial"/>
          <w:sz w:val="22"/>
          <w:szCs w:val="22"/>
        </w:rPr>
        <w:t xml:space="preserve">If the campaign fails to reach its threshold, all pledges are automatically returned. No funds are lost.</w:t>
      </w:r>
    </w:p>
    <w:p>
      <w:pPr>
        <w:pStyle w:val="ListParagraph"/>
        <w:numPr>
          <w:ilvl w:val="0"/>
          <w:numId w:val="2"/>
        </w:numPr>
        <w:spacing w:before="60" w:after="60"/>
      </w:pPr>
      <w:r>
        <w:rPr>
          <w:rFonts w:ascii="Arial" w:cs="Arial" w:eastAsia="Arial" w:hAnsi="Arial"/>
          <w:sz w:val="22"/>
          <w:szCs w:val="22"/>
        </w:rPr>
        <w:t xml:space="preserve">MISAI monitors the hedge and distributes USDC premiums automatically on schedule.</w:t>
      </w:r>
    </w:p>
    <w:p>
      <w:pPr>
        <w:spacing w:before="120" w:after="120"/>
      </w:pPr>
      <w:r>
        <w:rPr>
          <w:rFonts w:ascii="Arial" w:cs="Arial" w:eastAsia="Arial" w:hAnsi="Arial"/>
          <w:b w:val="false"/>
          <w:bCs w:val="false"/>
          <w:i w:val="false"/>
          <w:iCs w:val="false"/>
          <w:color w:val="000000"/>
          <w:sz w:val="22"/>
          <w:szCs w:val="22"/>
        </w:rPr>
        <w:t xml:space="preserve">For hedge providers, this represents a new asset class: pledge KX (a volatile asset), earn USDC (a stable asset), and receive KX back at term end. For KX believers who hold the token regardless, this generates yield from an existing position without selling.</w:t>
      </w:r>
    </w:p>
    <w:p>
      <w:pPr>
        <w:pBdr>
          <w:left w:val="single" w:color="B8860B" w:sz="12" w:space="8"/>
        </w:pBdr>
        <w:spacing w:before="160" w:after="160"/>
        <w:ind w:left="720" w:right="720"/>
      </w:pPr>
      <w:r>
        <w:rPr>
          <w:rFonts w:ascii="Arial" w:cs="Arial" w:eastAsia="Arial" w:hAnsi="Arial"/>
          <w:i/>
          <w:iCs/>
          <w:color w:val="333333"/>
          <w:sz w:val="22"/>
          <w:szCs w:val="22"/>
        </w:rPr>
        <w:t xml:space="preserve">"For the first time in financial history, the tools of institutional currency risk management are available to every human with a wallet."</w:t>
      </w:r>
    </w:p>
    <w:p>
      <w:pPr>
        <w:pStyle w:val="Heading2"/>
        <w:spacing w:before="300" w:after="160"/>
      </w:pPr>
      <w:r>
        <w:rPr>
          <w:rFonts w:ascii="Arial" w:cs="Arial" w:eastAsia="Arial" w:hAnsi="Arial"/>
          <w:b/>
          <w:bCs/>
          <w:color w:val="1a1a2e"/>
          <w:sz w:val="28"/>
          <w:szCs w:val="28"/>
        </w:rPr>
        <w:t xml:space="preserve">7.4 Financial Instrument Mapping</w:t>
      </w:r>
    </w:p>
    <w:p>
      <w:pPr>
        <w:spacing w:before="120" w:after="120"/>
      </w:pPr>
      <w:r>
        <w:rPr>
          <w:rFonts w:ascii="Arial" w:cs="Arial" w:eastAsia="Arial" w:hAnsi="Arial"/>
          <w:b w:val="false"/>
          <w:bCs w:val="false"/>
          <w:i w:val="false"/>
          <w:iCs w:val="false"/>
          <w:color w:val="000000"/>
          <w:sz w:val="22"/>
          <w:szCs w:val="22"/>
        </w:rPr>
        <w:t xml:space="preserve">The following table shows how traditional financial instruments map to existing ChronX primitives. The following table shows how traditional financial instruments map to ChronX primitives. Instruments that appear complex in traditional finance map cleanly to existing ChronX payment types, the MISAI AI layer, or the PAY_AS and hedge systems introduced in Genesis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Instrument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ChronX Solution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Bond coupon payments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CASCADE (N annual stages) + PAY_AS USD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supported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Mortgage / amortizing loan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D loan, monthly stages, PAY_AS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Genesis 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Alimony / child support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CASCADE monthly + MISAI monitoring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supported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 surety bond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V + Verifas attestor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supported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Insurance claim payout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V + Verifas attestor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supported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 billing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C credit authorization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supported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Charitable pledge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CASCADE + TYPE V matching condition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supported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Dividend distribution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G group + CASCADE proportional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supported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Options / derivatives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M + MISAI price oracle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MISAI layer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rate loan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D + PAY_AS maturity + oracle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Genesis 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Currency hedge / swap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HedgeX P2P marketplace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Genesis 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Court-ordered obligations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CASCADE + permanent DAG record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supported</w:t>
            </w:r>
          </w:p>
        </w:tc>
      </w:tr>
    </w:tbl>
    <w:p>
      <w:pPr>
        <w:pBdr>
          <w:bottom w:val="single" w:color="B8860B" w:sz="4" w:space="1"/>
        </w:pBdr>
        <w:spacing w:before="200" w:after="200"/>
      </w:pPr>
      <w:r>
        <w:t xml:space="preserve"/>
      </w:r>
    </w:p>
    <w:p>
      <w:r>
        <w:br w:type="page"/>
      </w:r>
    </w:p>
    <w:p>
      <w:pPr>
        <w:pStyle w:val="Heading1"/>
        <w:spacing w:before="400" w:after="200"/>
      </w:pPr>
      <w:r>
        <w:rPr>
          <w:rFonts w:ascii="Arial" w:cs="Arial" w:eastAsia="Arial" w:hAnsi="Arial"/>
          <w:b/>
          <w:bCs/>
          <w:color w:val="1a1a2e"/>
          <w:sz w:val="36"/>
          <w:szCs w:val="36"/>
        </w:rPr>
        <w:t xml:space="preserve">8. MISAI: The AI Executor Layer</w:t>
      </w:r>
    </w:p>
    <w:p>
      <w:pPr>
        <w:spacing w:before="120" w:after="120"/>
      </w:pPr>
      <w:r>
        <w:rPr>
          <w:rFonts w:ascii="Arial" w:cs="Arial" w:eastAsia="Arial" w:hAnsi="Arial"/>
          <w:b w:val="false"/>
          <w:bCs w:val="false"/>
          <w:i w:val="false"/>
          <w:iCs w:val="false"/>
          <w:color w:val="000000"/>
          <w:sz w:val="22"/>
          <w:szCs w:val="22"/>
        </w:rPr>
        <w:t xml:space="preserve">MISAI is the artificial intelligence layer of the ChronX protocol. It is the world’s first AI system purpose-built to manage long-horizon financial obligations on a blockchain.</w:t>
      </w:r>
    </w:p>
    <w:p>
      <w:pPr>
        <w:spacing w:before="120" w:after="120"/>
      </w:pPr>
      <w:r>
        <w:rPr>
          <w:rFonts w:ascii="Arial" w:cs="Arial" w:eastAsia="Arial" w:hAnsi="Arial"/>
          <w:b w:val="false"/>
          <w:bCs w:val="false"/>
          <w:i w:val="false"/>
          <w:iCs w:val="false"/>
          <w:color w:val="000000"/>
          <w:sz w:val="22"/>
          <w:szCs w:val="22"/>
        </w:rPr>
        <w:t xml:space="preserve">MISAI operates on a fundamental principle of separation, encoded as one of the six AI Agent Axioms in the ChronX genesis:</w:t>
      </w:r>
    </w:p>
    <w:p>
      <w:pPr>
        <w:pBdr>
          <w:left w:val="single" w:color="B8860B" w:sz="12" w:space="8"/>
        </w:pBdr>
        <w:spacing w:before="160" w:after="160"/>
        <w:ind w:left="720" w:right="720"/>
      </w:pPr>
      <w:r>
        <w:rPr>
          <w:rFonts w:ascii="Arial" w:cs="Arial" w:eastAsia="Arial" w:hAnsi="Arial"/>
          <w:i/>
          <w:iCs/>
          <w:color w:val="333333"/>
          <w:sz w:val="22"/>
          <w:szCs w:val="22"/>
        </w:rPr>
        <w:t xml:space="preserve">Axiom IV — Separation: The agent that decides does not hold funds. The agent that holds does not decide.</w:t>
      </w:r>
    </w:p>
    <w:p>
      <w:pPr>
        <w:spacing w:before="120" w:after="120"/>
      </w:pPr>
      <w:r>
        <w:rPr>
          <w:rFonts w:ascii="Arial" w:cs="Arial" w:eastAsia="Arial" w:hAnsi="Arial"/>
          <w:b w:val="false"/>
          <w:bCs w:val="false"/>
          <w:i w:val="false"/>
          <w:iCs w:val="false"/>
          <w:color w:val="000000"/>
          <w:sz w:val="22"/>
          <w:szCs w:val="22"/>
        </w:rPr>
        <w:t xml:space="preserve">MISAI never holds funds. It executes mandates. The KX always remains in protocol-controlled locks until delivery conditions are met.</w:t>
      </w:r>
    </w:p>
    <w:p>
      <w:pPr>
        <w:pStyle w:val="Heading2"/>
        <w:spacing w:before="300" w:after="160"/>
      </w:pPr>
      <w:r>
        <w:rPr>
          <w:rFonts w:ascii="Arial" w:cs="Arial" w:eastAsia="Arial" w:hAnsi="Arial"/>
          <w:b/>
          <w:bCs/>
          <w:color w:val="1a1a2e"/>
          <w:sz w:val="28"/>
          <w:szCs w:val="28"/>
        </w:rPr>
        <w:t xml:space="preserve">8.1 MISAI as Loan Servicer</w:t>
      </w:r>
    </w:p>
    <w:p>
      <w:pPr>
        <w:spacing w:before="120" w:after="120"/>
      </w:pPr>
      <w:r>
        <w:rPr>
          <w:rFonts w:ascii="Arial" w:cs="Arial" w:eastAsia="Arial" w:hAnsi="Arial"/>
          <w:b w:val="false"/>
          <w:bCs w:val="false"/>
          <w:i w:val="false"/>
          <w:iCs w:val="false"/>
          <w:color w:val="000000"/>
          <w:sz w:val="22"/>
          <w:szCs w:val="22"/>
        </w:rPr>
        <w:t xml:space="preserve">In the context of ChronX loan primitives (Genesis 9), MISAI performs the following automated functions:</w:t>
      </w:r>
    </w:p>
    <w:p>
      <w:pPr>
        <w:pStyle w:val="ListParagraph"/>
        <w:numPr>
          <w:ilvl w:val="0"/>
          <w:numId w:val="2"/>
        </w:numPr>
        <w:spacing w:before="60" w:after="60"/>
      </w:pPr>
      <w:r>
        <w:rPr>
          <w:rFonts w:ascii="Arial" w:cs="Arial" w:eastAsia="Arial" w:hAnsi="Arial"/>
          <w:sz w:val="22"/>
          <w:szCs w:val="22"/>
        </w:rPr>
        <w:t xml:space="preserve">Monitors payment schedules and marks stages complete when payments are received on-chain.</w:t>
      </w:r>
    </w:p>
    <w:p>
      <w:pPr>
        <w:pStyle w:val="ListParagraph"/>
        <w:numPr>
          <w:ilvl w:val="0"/>
          <w:numId w:val="2"/>
        </w:numPr>
        <w:spacing w:before="60" w:after="60"/>
      </w:pPr>
      <w:r>
        <w:rPr>
          <w:rFonts w:ascii="Arial" w:cs="Arial" w:eastAsia="Arial" w:hAnsi="Arial"/>
          <w:sz w:val="22"/>
          <w:szCs w:val="22"/>
        </w:rPr>
        <w:t xml:space="preserve">Sends pre-payment reminder pokes three days before each scheduled payment.</w:t>
      </w:r>
    </w:p>
    <w:p>
      <w:pPr>
        <w:pStyle w:val="ListParagraph"/>
        <w:numPr>
          <w:ilvl w:val="0"/>
          <w:numId w:val="2"/>
        </w:numPr>
        <w:spacing w:before="60" w:after="60"/>
      </w:pPr>
      <w:r>
        <w:rPr>
          <w:rFonts w:ascii="Arial" w:cs="Arial" w:eastAsia="Arial" w:hAnsi="Arial"/>
          <w:sz w:val="22"/>
          <w:szCs w:val="22"/>
        </w:rPr>
        <w:t xml:space="preserve">Calculates accrued late fees according to the schedule agreed at loan creation.</w:t>
      </w:r>
    </w:p>
    <w:p>
      <w:pPr>
        <w:pStyle w:val="ListParagraph"/>
        <w:numPr>
          <w:ilvl w:val="0"/>
          <w:numId w:val="2"/>
        </w:numPr>
        <w:spacing w:before="60" w:after="60"/>
      </w:pPr>
      <w:r>
        <w:rPr>
          <w:rFonts w:ascii="Arial" w:cs="Arial" w:eastAsia="Arial" w:hAnsi="Arial"/>
          <w:sz w:val="22"/>
          <w:szCs w:val="22"/>
        </w:rPr>
        <w:t xml:space="preserve">At the end of the grace period, publishes a DefaultRecord (once), notifies both parties, and exits.</w:t>
      </w:r>
    </w:p>
    <w:p>
      <w:pPr>
        <w:pStyle w:val="ListParagraph"/>
        <w:numPr>
          <w:ilvl w:val="0"/>
          <w:numId w:val="2"/>
        </w:numPr>
        <w:spacing w:before="60" w:after="60"/>
      </w:pPr>
      <w:r>
        <w:rPr>
          <w:rFonts w:ascii="Arial" w:cs="Arial" w:eastAsia="Arial" w:hAnsi="Arial"/>
          <w:sz w:val="22"/>
          <w:szCs w:val="22"/>
        </w:rPr>
        <w:t xml:space="preserve">Reactivates immediately if both parties sign a LoanReinstatement transaction.</w:t>
      </w:r>
    </w:p>
    <w:p>
      <w:pPr>
        <w:pStyle w:val="ListParagraph"/>
        <w:numPr>
          <w:ilvl w:val="0"/>
          <w:numId w:val="2"/>
        </w:numPr>
        <w:spacing w:before="60" w:after="60"/>
      </w:pPr>
      <w:r>
        <w:rPr>
          <w:rFonts w:ascii="Arial" w:cs="Arial" w:eastAsia="Arial" w:hAnsi="Arial"/>
          <w:sz w:val="22"/>
          <w:szCs w:val="22"/>
        </w:rPr>
        <w:t xml:space="preserve">Publishes a LoanCompletion record when all stages are confirmed paid.</w:t>
      </w:r>
    </w:p>
    <w:p>
      <w:pPr>
        <w:spacing w:before="120" w:after="120"/>
      </w:pPr>
      <w:r>
        <w:rPr>
          <w:rFonts w:ascii="Arial" w:cs="Arial" w:eastAsia="Arial" w:hAnsi="Arial"/>
          <w:b w:val="false"/>
          <w:bCs w:val="false"/>
          <w:i w:val="false"/>
          <w:iCs w:val="false"/>
          <w:color w:val="000000"/>
          <w:sz w:val="22"/>
          <w:szCs w:val="22"/>
        </w:rPr>
        <w:t xml:space="preserve">MISAI does not pursue borrowers, enforce legal obligations, or act as an arbiter. When a loan defaults, MISAI records the fact and steps aside. What happens between consenting adults after that is a matter for the legal systems of their respective jurisdictions.</w:t>
      </w:r>
    </w:p>
    <w:p>
      <w:pPr>
        <w:pStyle w:val="Heading2"/>
        <w:spacing w:before="300" w:after="160"/>
      </w:pPr>
      <w:r>
        <w:rPr>
          <w:rFonts w:ascii="Arial" w:cs="Arial" w:eastAsia="Arial" w:hAnsi="Arial"/>
          <w:b/>
          <w:bCs/>
          <w:color w:val="1a1a2e"/>
          <w:sz w:val="28"/>
          <w:szCs w:val="28"/>
        </w:rPr>
        <w:t xml:space="preserve">8.2 MISAI as Investment Executor</w:t>
      </w:r>
    </w:p>
    <w:p>
      <w:pPr>
        <w:spacing w:before="120" w:after="120"/>
      </w:pPr>
      <w:r>
        <w:rPr>
          <w:rFonts w:ascii="Arial" w:cs="Arial" w:eastAsia="Arial" w:hAnsi="Arial"/>
          <w:b w:val="false"/>
          <w:bCs w:val="false"/>
          <w:i w:val="false"/>
          <w:iCs w:val="false"/>
          <w:color w:val="000000"/>
          <w:sz w:val="22"/>
          <w:szCs w:val="22"/>
        </w:rPr>
        <w:t xml:space="preserve">Beyond loan servicing, MISAI manages investment mandates for the MISAI investment platform. Investors encode a mandate at inception — specifying risk tolerance, target allocation, and return expectations — and MISAI executes on that mandate autonomously, subject to the six AI Agent Axioms.</w:t>
      </w:r>
    </w:p>
    <w:p>
      <w:pPr>
        <w:spacing w:before="120" w:after="120"/>
      </w:pPr>
      <w:r>
        <w:rPr>
          <w:rFonts w:ascii="Arial" w:cs="Arial" w:eastAsia="Arial" w:hAnsi="Arial"/>
          <w:b w:val="false"/>
          <w:bCs w:val="false"/>
          <w:i w:val="false"/>
          <w:iCs w:val="false"/>
          <w:color w:val="000000"/>
          <w:sz w:val="22"/>
          <w:szCs w:val="22"/>
        </w:rPr>
        <w:t xml:space="preserve">MISAI is not a human financial advisor. It does not provide advice. It executes instructions. The grantor’s intent, once encoded, is carried forward by the algorithm. The algorithm may evolve. The intent does not.</w:t>
      </w:r>
    </w:p>
    <w:p>
      <w:pPr>
        <w:pStyle w:val="Heading2"/>
        <w:spacing w:before="300" w:after="160"/>
      </w:pPr>
      <w:r>
        <w:rPr>
          <w:rFonts w:ascii="Arial" w:cs="Arial" w:eastAsia="Arial" w:hAnsi="Arial"/>
          <w:b/>
          <w:bCs/>
          <w:color w:val="1a1a2e"/>
          <w:sz w:val="28"/>
          <w:szCs w:val="28"/>
        </w:rPr>
        <w:t xml:space="preserve">8.3 The Oracle System</w:t>
      </w:r>
    </w:p>
    <w:p>
      <w:pPr>
        <w:spacing w:before="120" w:after="120"/>
      </w:pPr>
      <w:r>
        <w:rPr>
          <w:rFonts w:ascii="Arial" w:cs="Arial" w:eastAsia="Arial" w:hAnsi="Arial"/>
          <w:b w:val="false"/>
          <w:bCs w:val="false"/>
          <w:i w:val="false"/>
          <w:iCs w:val="false"/>
          <w:color w:val="000000"/>
          <w:sz w:val="22"/>
          <w:szCs w:val="22"/>
        </w:rPr>
        <w:t xml:space="preserve">For PAY_AS calculations and hedge settlements, MISAI maintains a real-time oracle of the KX/USDC exchange rate, sourced from the protocol’s Uniswap v3 liquidity pool on the Base network. MISAI calculates and stores a 7-day moving average, updated every six hours, to provide manipulation-resistant price data for long-horizon obligation settlement.</w:t>
      </w:r>
    </w:p>
    <w:p>
      <w:pPr>
        <w:pBdr>
          <w:bottom w:val="single" w:color="B8860B" w:sz="4" w:space="1"/>
        </w:pBdr>
        <w:spacing w:before="200" w:after="200"/>
      </w:pPr>
      <w:r>
        <w:t xml:space="preserve"/>
      </w:r>
    </w:p>
    <w:p>
      <w:pPr>
        <w:pStyle w:val="Heading1"/>
        <w:spacing w:before="400" w:after="200"/>
      </w:pPr>
      <w:r>
        <w:rPr>
          <w:rFonts w:ascii="Arial" w:cs="Arial" w:eastAsia="Arial" w:hAnsi="Arial"/>
          <w:b/>
          <w:bCs/>
          <w:color w:val="1a1a2e"/>
          <w:sz w:val="36"/>
          <w:szCs w:val="36"/>
        </w:rPr>
        <w:t xml:space="preserve">9. Verifas: The Human Attestation Layer</w:t>
      </w:r>
    </w:p>
    <w:p>
      <w:pPr>
        <w:spacing w:before="120" w:after="120"/>
      </w:pPr>
      <w:r>
        <w:rPr>
          <w:rFonts w:ascii="Arial" w:cs="Arial" w:eastAsia="Arial" w:hAnsi="Arial"/>
          <w:b w:val="false"/>
          <w:bCs w:val="false"/>
          <w:i w:val="false"/>
          <w:iCs w:val="false"/>
          <w:color w:val="000000"/>
          <w:sz w:val="22"/>
          <w:szCs w:val="22"/>
        </w:rPr>
        <w:t xml:space="preserve">Verifas solves one specific problem: what happens when a long-horizon promise matures and the original contact information for the recipient is no longer valid?</w:t>
      </w:r>
    </w:p>
    <w:p>
      <w:pPr>
        <w:spacing w:before="120" w:after="120"/>
      </w:pPr>
      <w:r>
        <w:rPr>
          <w:rFonts w:ascii="Arial" w:cs="Arial" w:eastAsia="Arial" w:hAnsi="Arial"/>
          <w:b w:val="false"/>
          <w:bCs w:val="false"/>
          <w:i w:val="false"/>
          <w:iCs w:val="false"/>
          <w:color w:val="000000"/>
          <w:sz w:val="22"/>
          <w:szCs w:val="22"/>
        </w:rPr>
        <w:t xml:space="preserve">A promise made today to an email address that no longer exists in twenty years is not a failed promise — it is a promise waiting for a human to verify the recipient’s new identity. Verifas provides that verification.</w:t>
      </w:r>
    </w:p>
    <w:p>
      <w:pPr>
        <w:pBdr>
          <w:left w:val="single" w:color="B8860B" w:sz="12" w:space="8"/>
        </w:pBdr>
        <w:spacing w:before="160" w:after="160"/>
        <w:ind w:left="720" w:right="720"/>
      </w:pPr>
      <w:r>
        <w:rPr>
          <w:rFonts w:ascii="Arial" w:cs="Arial" w:eastAsia="Arial" w:hAnsi="Arial"/>
          <w:i/>
          <w:iCs/>
          <w:color w:val="333333"/>
          <w:sz w:val="22"/>
          <w:szCs w:val="22"/>
        </w:rPr>
        <w:t xml:space="preserve">"Verifas does one thing: confirms that this person, at this wallet address, is the intended recipient of a promise made long ago."</w:t>
      </w:r>
    </w:p>
    <w:p>
      <w:pPr>
        <w:spacing w:before="120" w:after="120"/>
      </w:pPr>
      <w:r>
        <w:rPr>
          <w:rFonts w:ascii="Arial" w:cs="Arial" w:eastAsia="Arial" w:hAnsi="Arial"/>
          <w:b w:val="false"/>
          <w:bCs w:val="false"/>
          <w:i w:val="false"/>
          <w:iCs w:val="false"/>
          <w:color w:val="000000"/>
          <w:sz w:val="22"/>
          <w:szCs w:val="22"/>
        </w:rPr>
        <w:t xml:space="preserve">Verifas is not a dispute resolution service. It is not a collection agency. It does not enforce obligations, adjudicate claims, or pursue borrowers. It is an identity attestation service for long-horizon promises — nothing more.</w:t>
      </w:r>
    </w:p>
    <w:p>
      <w:pPr>
        <w:pStyle w:val="Heading2"/>
        <w:spacing w:before="300" w:after="160"/>
      </w:pPr>
      <w:r>
        <w:rPr>
          <w:rFonts w:ascii="Arial" w:cs="Arial" w:eastAsia="Arial" w:hAnsi="Arial"/>
          <w:b/>
          <w:bCs/>
          <w:color w:val="1a1a2e"/>
          <w:sz w:val="28"/>
          <w:szCs w:val="28"/>
        </w:rPr>
        <w:t xml:space="preserve">9.1 The Beneficiary Context System</w:t>
      </w:r>
    </w:p>
    <w:p>
      <w:pPr>
        <w:spacing w:before="120" w:after="120"/>
      </w:pPr>
      <w:r>
        <w:rPr>
          <w:rFonts w:ascii="Arial" w:cs="Arial" w:eastAsia="Arial" w:hAnsi="Arial"/>
          <w:b w:val="false"/>
          <w:bCs w:val="false"/>
          <w:i w:val="false"/>
          <w:iCs w:val="false"/>
          <w:color w:val="000000"/>
          <w:sz w:val="22"/>
          <w:szCs w:val="22"/>
        </w:rPr>
        <w:t xml:space="preserve">For promises over one year, the ChronX desktop wallet prompts the sender to provide additional beneficiary context: full name, city, and any other identifying information that would help locate the recipient (or their next of kin) decades in the future.</w:t>
      </w:r>
    </w:p>
    <w:p>
      <w:pPr>
        <w:spacing w:before="120" w:after="120"/>
      </w:pPr>
      <w:r>
        <w:rPr>
          <w:rFonts w:ascii="Arial" w:cs="Arial" w:eastAsia="Arial" w:hAnsi="Arial"/>
          <w:b w:val="false"/>
          <w:bCs w:val="false"/>
          <w:i w:val="false"/>
          <w:iCs w:val="false"/>
          <w:color w:val="000000"/>
          <w:sz w:val="22"/>
          <w:szCs w:val="22"/>
        </w:rPr>
        <w:t xml:space="preserve">This information is stored encrypted in the promise memo and is accessible only to bonded Verifas attestors, and only after the promise matures and the 90-day standard delivery window has elapsed without delivery.</w:t>
      </w:r>
    </w:p>
    <w:p>
      <w:pPr>
        <w:spacing w:before="120" w:after="120"/>
      </w:pPr>
      <w:r>
        <w:rPr>
          <w:rFonts w:ascii="Arial" w:cs="Arial" w:eastAsia="Arial" w:hAnsi="Arial"/>
          <w:b w:val="false"/>
          <w:bCs w:val="false"/>
          <w:i w:val="false"/>
          <w:iCs w:val="false"/>
          <w:color w:val="000000"/>
          <w:sz w:val="22"/>
          <w:szCs w:val="22"/>
        </w:rPr>
        <w:t xml:space="preserve">Mobile wallets support promises up to one year. Desktop wallets support promises of any duration, with beneficiary context strongly recommended for promises over one year. This limitation is intentional: email addresses are generally reliable over one year, but long-horizon promises require the additional context that only the desktop interface prompts for.</w:t>
      </w:r>
    </w:p>
    <w:p>
      <w:pPr>
        <w:pBdr>
          <w:bottom w:val="single" w:color="B8860B" w:sz="4" w:space="1"/>
        </w:pBdr>
        <w:spacing w:before="200" w:after="200"/>
      </w:pPr>
      <w:r>
        <w:t xml:space="preserve"/>
      </w:r>
    </w:p>
    <w:p>
      <w:pPr>
        <w:pStyle w:val="Heading1"/>
        <w:spacing w:before="400" w:after="200"/>
      </w:pPr>
      <w:r>
        <w:rPr>
          <w:rFonts w:ascii="Arial" w:cs="Arial" w:eastAsia="Arial" w:hAnsi="Arial"/>
          <w:b/>
          <w:bCs/>
          <w:color w:val="1a1a2e"/>
          <w:sz w:val="36"/>
          <w:szCs w:val="36"/>
        </w:rPr>
        <w:t xml:space="preserve">10. The Promise Axioms</w:t>
      </w:r>
    </w:p>
    <w:p>
      <w:pPr>
        <w:spacing w:before="120" w:after="120"/>
      </w:pPr>
      <w:r>
        <w:rPr>
          <w:rFonts w:ascii="Arial" w:cs="Arial" w:eastAsia="Arial" w:hAnsi="Arial"/>
          <w:b w:val="false"/>
          <w:bCs w:val="false"/>
          <w:i w:val="false"/>
          <w:iCs w:val="false"/>
          <w:color w:val="000000"/>
          <w:sz w:val="22"/>
          <w:szCs w:val="22"/>
        </w:rPr>
        <w:t xml:space="preserve">Four axioms govern all ChronX promises, encoded immutably at genesis:</w:t>
      </w:r>
    </w:p>
    <w:p>
      <w:pPr>
        <w:pStyle w:val="ListParagraph"/>
        <w:numPr>
          <w:ilvl w:val="0"/>
          <w:numId w:val="2"/>
        </w:numPr>
        <w:spacing w:before="60" w:after="60"/>
      </w:pPr>
      <w:r>
        <w:rPr>
          <w:rFonts w:ascii="Arial" w:cs="Arial" w:eastAsia="Arial" w:hAnsi="Arial"/>
          <w:sz w:val="22"/>
          <w:szCs w:val="22"/>
        </w:rPr>
        <w:t xml:space="preserve">Intent Is the Master — The grantor’s intent is the master. Once a promise is made and the cancellation window closes, it is irrevocable. No person, institution, or governance body can recall it.</w:t>
      </w:r>
    </w:p>
    <w:p>
      <w:pPr>
        <w:pStyle w:val="ListParagraph"/>
        <w:numPr>
          <w:ilvl w:val="0"/>
          <w:numId w:val="2"/>
        </w:numPr>
        <w:spacing w:before="60" w:after="60"/>
      </w:pPr>
      <w:r>
        <w:rPr>
          <w:rFonts w:ascii="Arial" w:cs="Arial" w:eastAsia="Arial" w:hAnsi="Arial"/>
          <w:sz w:val="22"/>
          <w:szCs w:val="22"/>
        </w:rPr>
        <w:t xml:space="preserve">Funds Are Never Lost — Promised funds are never lost. A promise unclaimed by its intended beneficiary within 90 days of maturity is held by the Verified Delivery Protocol. A promise unclaimed for 100 years beyond maturity is transferred to the Humanity Stake, governed for the benefit of all.</w:t>
      </w:r>
    </w:p>
    <w:p>
      <w:pPr>
        <w:pStyle w:val="ListParagraph"/>
        <w:numPr>
          <w:ilvl w:val="0"/>
          <w:numId w:val="2"/>
        </w:numPr>
        <w:spacing w:before="60" w:after="60"/>
      </w:pPr>
      <w:r>
        <w:rPr>
          <w:rFonts w:ascii="Arial" w:cs="Arial" w:eastAsia="Arial" w:hAnsi="Arial"/>
          <w:sz w:val="22"/>
          <w:szCs w:val="22"/>
        </w:rPr>
        <w:t xml:space="preserve">The Protocol Enforces Delivery — No custodian, no lawyer, no intermediary is required for a promise between a sender and a reachable recipient. The blockchain is the contract.</w:t>
      </w:r>
    </w:p>
    <w:p>
      <w:pPr>
        <w:pStyle w:val="ListParagraph"/>
        <w:numPr>
          <w:ilvl w:val="0"/>
          <w:numId w:val="2"/>
        </w:numPr>
        <w:spacing w:before="60" w:after="60"/>
      </w:pPr>
      <w:r>
        <w:rPr>
          <w:rFonts w:ascii="Arial" w:cs="Arial" w:eastAsia="Arial" w:hAnsi="Arial"/>
          <w:sz w:val="22"/>
          <w:szCs w:val="22"/>
        </w:rPr>
        <w:t xml:space="preserve">The Law — All promises and their fulfillment remain subject to the laws of applicable jurisdictions.</w:t>
      </w:r>
    </w:p>
    <w:p>
      <w:pPr>
        <w:pBdr>
          <w:bottom w:val="single" w:color="B8860B" w:sz="4" w:space="1"/>
        </w:pBdr>
        <w:spacing w:before="200" w:after="200"/>
      </w:pPr>
      <w:r>
        <w:t xml:space="preserve"/>
      </w:r>
    </w:p>
    <w:p>
      <w:pPr>
        <w:pStyle w:val="Heading1"/>
        <w:spacing w:before="400" w:after="200"/>
      </w:pPr>
      <w:r>
        <w:rPr>
          <w:rFonts w:ascii="Arial" w:cs="Arial" w:eastAsia="Arial" w:hAnsi="Arial"/>
          <w:b/>
          <w:bCs/>
          <w:color w:val="1a1a2e"/>
          <w:sz w:val="36"/>
          <w:szCs w:val="36"/>
        </w:rPr>
        <w:t xml:space="preserve">11. The AI Agent Axioms</w:t>
      </w:r>
    </w:p>
    <w:p>
      <w:pPr>
        <w:spacing w:before="120" w:after="120"/>
      </w:pPr>
      <w:r>
        <w:rPr>
          <w:rFonts w:ascii="Arial" w:cs="Arial" w:eastAsia="Arial" w:hAnsi="Arial"/>
          <w:b w:val="false"/>
          <w:bCs w:val="false"/>
          <w:i w:val="false"/>
          <w:iCs w:val="false"/>
          <w:color w:val="000000"/>
          <w:sz w:val="22"/>
          <w:szCs w:val="22"/>
        </w:rPr>
        <w:t xml:space="preserve">Six axioms govern all AI agents operating on the ChronX protocol, encoded immutably at genesis:</w:t>
      </w:r>
    </w:p>
    <w:p>
      <w:pPr>
        <w:pStyle w:val="ListParagraph"/>
        <w:numPr>
          <w:ilvl w:val="0"/>
          <w:numId w:val="2"/>
        </w:numPr>
        <w:spacing w:before="60" w:after="60"/>
      </w:pPr>
      <w:r>
        <w:rPr>
          <w:rFonts w:ascii="Arial" w:cs="Arial" w:eastAsia="Arial" w:hAnsi="Arial"/>
          <w:sz w:val="22"/>
          <w:szCs w:val="22"/>
        </w:rPr>
        <w:t xml:space="preserve">Mandate — The grantor’s intent, once encoded, is carried forward by autonomous software. Algorithms may evolve. The intent does not.</w:t>
      </w:r>
    </w:p>
    <w:p>
      <w:pPr>
        <w:pStyle w:val="ListParagraph"/>
        <w:numPr>
          <w:ilvl w:val="0"/>
          <w:numId w:val="2"/>
        </w:numPr>
        <w:spacing w:before="60" w:after="60"/>
      </w:pPr>
      <w:r>
        <w:rPr>
          <w:rFonts w:ascii="Arial" w:cs="Arial" w:eastAsia="Arial" w:hAnsi="Arial"/>
          <w:sz w:val="22"/>
          <w:szCs w:val="22"/>
        </w:rPr>
        <w:t xml:space="preserve">Transparency — An AI agent must commit to a permanent public record before acting. Every decision is publicly verifiable. There are no private actions.</w:t>
      </w:r>
    </w:p>
    <w:p>
      <w:pPr>
        <w:pStyle w:val="ListParagraph"/>
        <w:numPr>
          <w:ilvl w:val="0"/>
          <w:numId w:val="2"/>
        </w:numPr>
        <w:spacing w:before="60" w:after="60"/>
      </w:pPr>
      <w:r>
        <w:rPr>
          <w:rFonts w:ascii="Arial" w:cs="Arial" w:eastAsia="Arial" w:hAnsi="Arial"/>
          <w:sz w:val="22"/>
          <w:szCs w:val="22"/>
        </w:rPr>
        <w:t xml:space="preserve">Risk — The grantor acknowledges that AI management of any investment tranche may result in gains or losses up to and including total loss.</w:t>
      </w:r>
    </w:p>
    <w:p>
      <w:pPr>
        <w:pStyle w:val="ListParagraph"/>
        <w:numPr>
          <w:ilvl w:val="0"/>
          <w:numId w:val="2"/>
        </w:numPr>
        <w:spacing w:before="60" w:after="60"/>
      </w:pPr>
      <w:r>
        <w:rPr>
          <w:rFonts w:ascii="Arial" w:cs="Arial" w:eastAsia="Arial" w:hAnsi="Arial"/>
          <w:sz w:val="22"/>
          <w:szCs w:val="22"/>
        </w:rPr>
        <w:t xml:space="preserve">Separation — The agent that decides does not hold funds. The agent that holds does not decide.</w:t>
      </w:r>
    </w:p>
    <w:p>
      <w:pPr>
        <w:pStyle w:val="ListParagraph"/>
        <w:numPr>
          <w:ilvl w:val="0"/>
          <w:numId w:val="2"/>
        </w:numPr>
        <w:spacing w:before="60" w:after="60"/>
      </w:pPr>
      <w:r>
        <w:rPr>
          <w:rFonts w:ascii="Arial" w:cs="Arial" w:eastAsia="Arial" w:hAnsi="Arial"/>
          <w:sz w:val="22"/>
          <w:szCs w:val="22"/>
        </w:rPr>
        <w:t xml:space="preserve">Coordination — An agent is not the only actor. Before acting, an agent must account for the aggregate effect of similarly situated agents acting on similar instructions.</w:t>
      </w:r>
    </w:p>
    <w:p>
      <w:pPr>
        <w:pStyle w:val="ListParagraph"/>
        <w:numPr>
          <w:ilvl w:val="0"/>
          <w:numId w:val="2"/>
        </w:numPr>
        <w:spacing w:before="60" w:after="60"/>
      </w:pPr>
      <w:r>
        <w:rPr>
          <w:rFonts w:ascii="Arial" w:cs="Arial" w:eastAsia="Arial" w:hAnsi="Arial"/>
          <w:sz w:val="22"/>
          <w:szCs w:val="22"/>
        </w:rPr>
        <w:t xml:space="preserve">The Law — All agent actions, mandates, and their fulfillment remain subject to the laws of applicable jurisdictions.</w:t>
      </w:r>
    </w:p>
    <w:p>
      <w:pPr>
        <w:pBdr>
          <w:bottom w:val="single" w:color="B8860B" w:sz="4" w:space="1"/>
        </w:pBdr>
        <w:spacing w:before="200" w:after="200"/>
      </w:pPr>
      <w:r>
        <w:t xml:space="preserve"/>
      </w:r>
    </w:p>
    <w:p>
      <w:r>
        <w:br w:type="page"/>
      </w:r>
    </w:p>
    <w:p>
      <w:pPr>
        <w:pStyle w:val="Heading1"/>
        <w:spacing w:before="400" w:after="200"/>
      </w:pPr>
      <w:r>
        <w:rPr>
          <w:rFonts w:ascii="Arial" w:cs="Arial" w:eastAsia="Arial" w:hAnsi="Arial"/>
          <w:b/>
          <w:bCs/>
          <w:color w:val="1a1a2e"/>
          <w:sz w:val="36"/>
          <w:szCs w:val="36"/>
        </w:rPr>
        <w:t xml:space="preserve">12. Tokenomics</w:t>
      </w:r>
    </w:p>
    <w:p>
      <w:pPr>
        <w:spacing w:before="120" w:after="120"/>
      </w:pPr>
      <w:r>
        <w:rPr>
          <w:rFonts w:ascii="Arial" w:cs="Arial" w:eastAsia="Arial" w:hAnsi="Arial"/>
          <w:b w:val="false"/>
          <w:bCs w:val="false"/>
          <w:i w:val="false"/>
          <w:iCs w:val="false"/>
          <w:color w:val="000000"/>
          <w:sz w:val="22"/>
          <w:szCs w:val="22"/>
        </w:rPr>
        <w:t xml:space="preserve">Total supply: 8,270,000,000 KX. Fixed forever. No inflation. No minting. No burning.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Amount (KX)</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Sale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6,093,000,000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 September 22, 2026 at $0.00319/KX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Treasury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Harmonic release H_100 over 100 years (2029-2128)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Rewards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Harmonic release H_100 over 100 years (2029-2128)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155,000,000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development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MISAI Bond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ecosystem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Verifas Bond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ecosystem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Humanity Stake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Long-unclaimed promises pool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operations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Milestone 2076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50-year milestone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Faucet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Post-genesis distribution</w:t>
            </w:r>
          </w:p>
        </w:tc>
      </w:tr>
    </w:tbl>
    <w:p>
      <w:pPr>
        <w:spacing w:before="120" w:after="120"/>
      </w:pPr>
      <w:r>
        <w:rPr>
          <w:rFonts w:ascii="Arial" w:cs="Arial" w:eastAsia="Arial" w:hAnsi="Arial"/>
          <w:b w:val="false"/>
          <w:bCs w:val="false"/>
          <w:i w:val="false"/>
          <w:iCs w:val="false"/>
          <w:color w:val="000000"/>
          <w:sz w:val="22"/>
          <w:szCs w:val="22"/>
        </w:rPr>
        <w:t xml:space="preserve">ICO pricing:</w:t>
      </w:r>
    </w:p>
    <w:p>
      <w:pPr>
        <w:pStyle w:val="ListParagraph"/>
        <w:numPr>
          <w:ilvl w:val="0"/>
          <w:numId w:val="2"/>
        </w:numPr>
        <w:spacing w:before="60" w:after="60"/>
      </w:pPr>
      <w:r>
        <w:rPr>
          <w:rFonts w:ascii="Arial" w:cs="Arial" w:eastAsia="Arial" w:hAnsi="Arial"/>
          <w:sz w:val="22"/>
          <w:szCs w:val="22"/>
        </w:rPr>
        <w:t xml:space="preserve">Pre-ICO Phase 1: $0.001755 per KX (invitation only, accredited investors or up to $100 via XChan for testing)</w:t>
      </w:r>
    </w:p>
    <w:p>
      <w:pPr>
        <w:pStyle w:val="ListParagraph"/>
        <w:numPr>
          <w:ilvl w:val="0"/>
          <w:numId w:val="2"/>
        </w:numPr>
        <w:spacing w:before="60" w:after="60"/>
      </w:pPr>
      <w:r>
        <w:rPr>
          <w:rFonts w:ascii="Arial" w:cs="Arial" w:eastAsia="Arial" w:hAnsi="Arial"/>
          <w:sz w:val="22"/>
          <w:szCs w:val="22"/>
        </w:rPr>
        <w:t xml:space="preserve">Pre-ICO Phase 2: $0.002297 per KX</w:t>
      </w:r>
    </w:p>
    <w:p>
      <w:pPr>
        <w:pStyle w:val="ListParagraph"/>
        <w:numPr>
          <w:ilvl w:val="0"/>
          <w:numId w:val="2"/>
        </w:numPr>
        <w:spacing w:before="60" w:after="60"/>
      </w:pPr>
      <w:r>
        <w:rPr>
          <w:rFonts w:ascii="Arial" w:cs="Arial" w:eastAsia="Arial" w:hAnsi="Arial"/>
          <w:sz w:val="22"/>
          <w:szCs w:val="22"/>
        </w:rPr>
        <w:t xml:space="preserve">ICO: $0.00319 per KX (September 22, 2026)</w:t>
      </w:r>
    </w:p>
    <w:p>
      <w:pPr>
        <w:pBdr>
          <w:bottom w:val="single" w:color="B8860B" w:sz="4" w:space="1"/>
        </w:pBdr>
        <w:spacing w:before="200" w:after="200"/>
      </w:pPr>
      <w:r>
        <w:t xml:space="preserve"/>
      </w:r>
    </w:p>
    <w:p>
      <w:pPr>
        <w:pStyle w:val="Heading1"/>
        <w:spacing w:before="400" w:after="200"/>
      </w:pPr>
      <w:r>
        <w:rPr>
          <w:rFonts w:ascii="Arial" w:cs="Arial" w:eastAsia="Arial" w:hAnsi="Arial"/>
          <w:b/>
          <w:bCs/>
          <w:color w:val="1a1a2e"/>
          <w:sz w:val="36"/>
          <w:szCs w:val="36"/>
        </w:rPr>
        <w:t xml:space="preserve">13. Technical Architecture</w:t>
      </w:r>
    </w:p>
    <w:p>
      <w:pPr>
        <w:pStyle w:val="Heading2"/>
        <w:spacing w:before="300" w:after="160"/>
      </w:pPr>
      <w:r>
        <w:rPr>
          <w:rFonts w:ascii="Arial" w:cs="Arial" w:eastAsia="Arial" w:hAnsi="Arial"/>
          <w:b/>
          <w:bCs/>
          <w:color w:val="1a1a2e"/>
          <w:sz w:val="28"/>
          <w:szCs w:val="28"/>
        </w:rPr>
        <w:t xml:space="preserve">13.1 DAG-Based Consensus</w:t>
      </w:r>
    </w:p>
    <w:p>
      <w:pPr>
        <w:spacing w:before="120" w:after="120"/>
      </w:pPr>
      <w:r>
        <w:rPr>
          <w:rFonts w:ascii="Arial" w:cs="Arial" w:eastAsia="Arial" w:hAnsi="Arial"/>
          <w:b w:val="false"/>
          <w:bCs w:val="false"/>
          <w:i w:val="false"/>
          <w:iCs w:val="false"/>
          <w:color w:val="000000"/>
          <w:sz w:val="22"/>
          <w:szCs w:val="22"/>
        </w:rPr>
        <w:t xml:space="preserve">ChronX uses a Directed Acyclic Graph (DAG) rather than a linear blockchain. Each transaction references previous transactions, creating a web of verified history rather than a sequential chain. This provides higher throughput, lower latency, and eliminates the block size limitations of traditional blockchains.</w:t>
      </w:r>
    </w:p>
    <w:p>
      <w:pPr>
        <w:pStyle w:val="Heading2"/>
        <w:spacing w:before="300" w:after="160"/>
      </w:pPr>
      <w:r>
        <w:rPr>
          <w:rFonts w:ascii="Arial" w:cs="Arial" w:eastAsia="Arial" w:hAnsi="Arial"/>
          <w:b/>
          <w:bCs/>
          <w:color w:val="1a1a2e"/>
          <w:sz w:val="28"/>
          <w:szCs w:val="28"/>
        </w:rPr>
        <w:t xml:space="preserve">13.2 Post-Quantum Cryptography</w:t>
      </w:r>
    </w:p>
    <w:p>
      <w:pPr>
        <w:spacing w:before="120" w:after="120"/>
      </w:pPr>
      <w:r>
        <w:rPr>
          <w:rFonts w:ascii="Arial" w:cs="Arial" w:eastAsia="Arial" w:hAnsi="Arial"/>
          <w:b w:val="false"/>
          <w:bCs w:val="false"/>
          <w:i w:val="false"/>
          <w:iCs w:val="false"/>
          <w:color w:val="000000"/>
          <w:sz w:val="22"/>
          <w:szCs w:val="22"/>
        </w:rPr>
        <w:t xml:space="preserve">All ChronX wallets use CRYSTALS-Dilithium2 digital signatures, a post-quantum cryptographic standard selected by NIST. This ensures that ChronX wallets remain secure even after the advent of quantum computers capable of breaking current elliptic curve cryptography.</w:t>
      </w:r>
    </w:p>
    <w:p>
      <w:pPr>
        <w:pStyle w:val="Heading2"/>
        <w:spacing w:before="300" w:after="160"/>
      </w:pPr>
      <w:r>
        <w:rPr>
          <w:rFonts w:ascii="Arial" w:cs="Arial" w:eastAsia="Arial" w:hAnsi="Arial"/>
          <w:b/>
          <w:bCs/>
          <w:color w:val="1a1a2e"/>
          <w:sz w:val="28"/>
          <w:szCs w:val="28"/>
        </w:rPr>
        <w:t xml:space="preserve">13.3 Zero Transaction Fees</w:t>
      </w:r>
    </w:p>
    <w:p>
      <w:pPr>
        <w:spacing w:before="120" w:after="120"/>
      </w:pPr>
      <w:r>
        <w:rPr>
          <w:rFonts w:ascii="Arial" w:cs="Arial" w:eastAsia="Arial" w:hAnsi="Arial"/>
          <w:b w:val="false"/>
          <w:bCs w:val="false"/>
          <w:i w:val="false"/>
          <w:iCs w:val="false"/>
          <w:color w:val="000000"/>
          <w:sz w:val="22"/>
          <w:szCs w:val="22"/>
        </w:rPr>
        <w:t xml:space="preserve">ChronX has no transaction fees. Not low fees — zero fees. This is fundamental to the protocol’s long-horizon design: a promise scheduled one hundred years in the future cannot have an unknown fee burden attached to it. Zero fees are a protocol invariant, not a promotional offer.</w:t>
      </w:r>
    </w:p>
    <w:p>
      <w:pPr>
        <w:pStyle w:val="Heading2"/>
        <w:spacing w:before="300" w:after="160"/>
      </w:pPr>
      <w:r>
        <w:rPr>
          <w:rFonts w:ascii="Arial" w:cs="Arial" w:eastAsia="Arial" w:hAnsi="Arial"/>
          <w:b/>
          <w:bCs/>
          <w:color w:val="1a1a2e"/>
          <w:sz w:val="28"/>
          <w:szCs w:val="28"/>
        </w:rPr>
        <w:t xml:space="preserve">13.4 Genesis 9 — Loan and Credit Primitives</w:t>
      </w:r>
    </w:p>
    <w:p>
      <w:pPr>
        <w:spacing w:before="120" w:after="120"/>
      </w:pPr>
      <w:r>
        <w:rPr>
          <w:rFonts w:ascii="Arial" w:cs="Arial" w:eastAsia="Arial" w:hAnsi="Arial"/>
          <w:b w:val="false"/>
          <w:bCs w:val="false"/>
          <w:i w:val="false"/>
          <w:iCs w:val="false"/>
          <w:color w:val="000000"/>
          <w:sz w:val="22"/>
          <w:szCs w:val="22"/>
        </w:rPr>
        <w:t xml:space="preserve">Genesis 9 introduces the loan and credit infrastructure described in this whitepaper. Key additions:</w:t>
      </w:r>
    </w:p>
    <w:p>
      <w:pPr>
        <w:pStyle w:val="ListParagraph"/>
        <w:numPr>
          <w:ilvl w:val="0"/>
          <w:numId w:val="2"/>
        </w:numPr>
        <w:spacing w:before="60" w:after="60"/>
      </w:pPr>
      <w:r>
        <w:rPr>
          <w:rFonts w:ascii="Arial" w:cs="Arial" w:eastAsia="Arial" w:hAnsi="Arial"/>
          <w:sz w:val="22"/>
          <w:szCs w:val="22"/>
        </w:rPr>
        <w:t xml:space="preserve">TYPE D (Debt Instrument): structured loan with full payment schedule, PAY_AS denomination, late fee schedule, prepayment terms, and MISAI servicing.</w:t>
      </w:r>
    </w:p>
    <w:p>
      <w:pPr>
        <w:pStyle w:val="ListParagraph"/>
        <w:numPr>
          <w:ilvl w:val="0"/>
          <w:numId w:val="2"/>
        </w:numPr>
        <w:spacing w:before="60" w:after="60"/>
      </w:pPr>
      <w:r>
        <w:rPr>
          <w:rFonts w:ascii="Arial" w:cs="Arial" w:eastAsia="Arial" w:hAnsi="Arial"/>
          <w:sz w:val="22"/>
          <w:szCs w:val="22"/>
        </w:rPr>
        <w:t xml:space="preserve">PAY_AS field on all time locks: allows any obligation to be denominated in USD, EUR, or other fiat equivalents.</w:t>
      </w:r>
    </w:p>
    <w:p>
      <w:pPr>
        <w:pStyle w:val="ListParagraph"/>
        <w:numPr>
          <w:ilvl w:val="0"/>
          <w:numId w:val="2"/>
        </w:numPr>
        <w:spacing w:before="60" w:after="60"/>
      </w:pPr>
      <w:r>
        <w:rPr>
          <w:rFonts w:ascii="Arial" w:cs="Arial" w:eastAsia="Arial" w:hAnsi="Arial"/>
          <w:sz w:val="22"/>
          <w:szCs w:val="22"/>
        </w:rPr>
        <w:t xml:space="preserve">LoanCreate, DefaultRecord, LoanReinstatement, LoanWriteOff, LoanEarlyPayoff, LoanCompletion: six new action types covering the complete loan lifecycle.</w:t>
      </w:r>
    </w:p>
    <w:p>
      <w:pPr>
        <w:pStyle w:val="ListParagraph"/>
        <w:numPr>
          <w:ilvl w:val="0"/>
          <w:numId w:val="2"/>
        </w:numPr>
        <w:spacing w:before="60" w:after="60"/>
      </w:pPr>
      <w:r>
        <w:rPr>
          <w:rFonts w:ascii="Arial" w:cs="Arial" w:eastAsia="Arial" w:hAnsi="Arial"/>
          <w:sz w:val="22"/>
          <w:szCs w:val="22"/>
        </w:rPr>
        <w:t xml:space="preserve">MISAI Oracle: 7-day moving average KX/USDC price feed, updated every six hours, sourced from the protocol’s Uniswap v3 liquidity pool.</w:t>
      </w:r>
    </w:p>
    <w:p>
      <w:pPr>
        <w:pStyle w:val="ListParagraph"/>
        <w:numPr>
          <w:ilvl w:val="0"/>
          <w:numId w:val="2"/>
        </w:numPr>
        <w:spacing w:before="60" w:after="60"/>
      </w:pPr>
      <w:r>
        <w:rPr>
          <w:rFonts w:ascii="Arial" w:cs="Arial" w:eastAsia="Arial" w:hAnsi="Arial"/>
          <w:sz w:val="22"/>
          <w:szCs w:val="22"/>
        </w:rPr>
        <w:t xml:space="preserve">HedgeX marketplace infrastructure: TYPE V-based peer-to-peer currency risk transfer with MISAI settlement.</w:t>
      </w:r>
    </w:p>
    <w:p>
      <w:pPr>
        <w:pBdr>
          <w:bottom w:val="single" w:color="B8860B" w:sz="4" w:space="1"/>
        </w:pBdr>
        <w:spacing w:before="200" w:after="200"/>
      </w:pPr>
      <w:r>
        <w:t xml:space="preserve"/>
      </w:r>
    </w:p>
    <w:p>
      <w:pPr>
        <w:pStyle w:val="Heading1"/>
        <w:spacing w:before="400" w:after="200"/>
      </w:pPr>
      <w:r>
        <w:rPr>
          <w:rFonts w:ascii="Arial" w:cs="Arial" w:eastAsia="Arial" w:hAnsi="Arial"/>
          <w:b/>
          <w:bCs/>
          <w:color w:val="1a1a2e"/>
          <w:sz w:val="36"/>
          <w:szCs w:val="36"/>
        </w:rPr>
        <w:t xml:space="preserve">14. Legal and Regulatory Considerations</w:t>
      </w:r>
    </w:p>
    <w:p>
      <w:pPr>
        <w:pStyle w:val="Heading2"/>
        <w:spacing w:before="300" w:after="160"/>
      </w:pPr>
      <w:r>
        <w:rPr>
          <w:rFonts w:ascii="Arial" w:cs="Arial" w:eastAsia="Arial" w:hAnsi="Arial"/>
          <w:b/>
          <w:bCs/>
          <w:color w:val="1a1a2e"/>
          <w:sz w:val="28"/>
          <w:szCs w:val="28"/>
        </w:rPr>
        <w:t xml:space="preserve">14.1 KX as a Utility Token</w:t>
      </w:r>
    </w:p>
    <w:p>
      <w:pPr>
        <w:spacing w:before="120" w:after="120"/>
      </w:pPr>
      <w:r>
        <w:rPr>
          <w:rFonts w:ascii="Arial" w:cs="Arial" w:eastAsia="Arial" w:hAnsi="Arial"/>
          <w:b w:val="false"/>
          <w:bCs w:val="false"/>
          <w:i w:val="false"/>
          <w:iCs w:val="false"/>
          <w:color w:val="000000"/>
          <w:sz w:val="22"/>
          <w:szCs w:val="22"/>
        </w:rPr>
        <w:t xml:space="preserve">ChronX has been designed from the ground up to function as a utility token under applicable securities law frameworks. The PAY_AS denomination system is the clearest expression of this design: when obligations are denominated in fiat currency and KX is used only as the transport mechanism, KX holders have no expectation of profit from the KX price itself. The token is a utility — a fee paid to use a network — not a security.</w:t>
      </w:r>
    </w:p>
    <w:p>
      <w:pPr>
        <w:pStyle w:val="Heading2"/>
        <w:spacing w:before="300" w:after="160"/>
      </w:pPr>
      <w:r>
        <w:rPr>
          <w:rFonts w:ascii="Arial" w:cs="Arial" w:eastAsia="Arial" w:hAnsi="Arial"/>
          <w:b/>
          <w:bCs/>
          <w:color w:val="1a1a2e"/>
          <w:sz w:val="28"/>
          <w:szCs w:val="28"/>
        </w:rPr>
        <w:t xml:space="preserve">14.2 Jurisdictional Compliance</w:t>
      </w:r>
    </w:p>
    <w:p>
      <w:pPr>
        <w:spacing w:before="120" w:after="120"/>
      </w:pPr>
      <w:r>
        <w:rPr>
          <w:rFonts w:ascii="Arial" w:cs="Arial" w:eastAsia="Arial" w:hAnsi="Arial"/>
          <w:b w:val="false"/>
          <w:bCs w:val="false"/>
          <w:i w:val="false"/>
          <w:iCs w:val="false"/>
          <w:color w:val="000000"/>
          <w:sz w:val="22"/>
          <w:szCs w:val="22"/>
        </w:rPr>
        <w:t xml:space="preserve">All promises, loans, and their fulfillment remain subject to the laws of applicable jurisdictions, per Promise Axiom IV and AI Agent Axiom VI. ChronX provides infrastructure, not legal advice. Participants are responsible for compliance with the laws of their jurisdictions.</w:t>
      </w:r>
    </w:p>
    <w:p>
      <w:pPr>
        <w:pStyle w:val="Heading2"/>
        <w:spacing w:before="300" w:after="160"/>
      </w:pPr>
      <w:r>
        <w:rPr>
          <w:rFonts w:ascii="Arial" w:cs="Arial" w:eastAsia="Arial" w:hAnsi="Arial"/>
          <w:b/>
          <w:bCs/>
          <w:color w:val="1a1a2e"/>
          <w:sz w:val="28"/>
          <w:szCs w:val="28"/>
        </w:rPr>
        <w:t xml:space="preserve">14.3 MISAI Jurisdiction</w:t>
      </w:r>
    </w:p>
    <w:p>
      <w:pPr>
        <w:spacing w:before="120" w:after="120"/>
      </w:pPr>
      <w:r>
        <w:rPr>
          <w:rFonts w:ascii="Arial" w:cs="Arial" w:eastAsia="Arial" w:hAnsi="Arial"/>
          <w:b w:val="false"/>
          <w:bCs w:val="false"/>
          <w:i w:val="false"/>
          <w:iCs w:val="false"/>
          <w:color w:val="000000"/>
          <w:sz w:val="22"/>
          <w:szCs w:val="22"/>
        </w:rPr>
        <w:t xml:space="preserve">The MISAI investment platform is domiciled in El Salvador, which has established a legal framework for digital asset operations. The Executor Withdraw Delay (86,400 seconds / 24 hours) provides a protection window for investors before any MISAI withdrawal is finalized.</w:t>
      </w:r>
    </w:p>
    <w:p>
      <w:pPr>
        <w:pStyle w:val="Heading2"/>
        <w:spacing w:before="300" w:after="160"/>
      </w:pPr>
      <w:r>
        <w:rPr>
          <w:rFonts w:ascii="Arial" w:cs="Arial" w:eastAsia="Arial" w:hAnsi="Arial"/>
          <w:b/>
          <w:bCs/>
          <w:color w:val="1a1a2e"/>
          <w:sz w:val="28"/>
          <w:szCs w:val="28"/>
        </w:rPr>
        <w:t xml:space="preserve">14.4 HedgeX as a P2P Marketplace</w:t>
      </w:r>
    </w:p>
    <w:p>
      <w:pPr>
        <w:spacing w:before="120" w:after="120"/>
      </w:pPr>
      <w:r>
        <w:rPr>
          <w:rFonts w:ascii="Arial" w:cs="Arial" w:eastAsia="Arial" w:hAnsi="Arial"/>
          <w:b w:val="false"/>
          <w:bCs w:val="false"/>
          <w:i w:val="false"/>
          <w:iCs w:val="false"/>
          <w:color w:val="000000"/>
          <w:sz w:val="22"/>
          <w:szCs w:val="22"/>
        </w:rPr>
        <w:t xml:space="preserve">HedgeX operates as a peer-to-peer matching marketplace. ChronX is not the issuer, underwriter, guarantor, or counterparty to any hedge contract. All contracts are directly between participants. ChronX provides matching technology and MISAI monitoring infrastructure only. This structure is analogous to established P2P lending and marketplace platforms.</w:t>
      </w:r>
    </w:p>
    <w:p>
      <w:pPr>
        <w:pBdr>
          <w:bottom w:val="single" w:color="B8860B" w:sz="4" w:space="1"/>
        </w:pBdr>
        <w:spacing w:before="200" w:after="200"/>
      </w:pPr>
      <w:r>
        <w:t xml:space="preserve"/>
      </w:r>
    </w:p>
    <w:p>
      <w:pPr>
        <w:pStyle w:val="Heading1"/>
        <w:spacing w:before="400" w:after="200"/>
      </w:pPr>
      <w:r>
        <w:rPr>
          <w:rFonts w:ascii="Arial" w:cs="Arial" w:eastAsia="Arial" w:hAnsi="Arial"/>
          <w:b/>
          <w:bCs/>
          <w:color w:val="1a1a2e"/>
          <w:sz w:val="36"/>
          <w:szCs w:val="36"/>
        </w:rPr>
        <w:t xml:space="preserve">15.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Genesis 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payment types, wallet groups, post-quantum crypto, MISAI locks, Verifas infrastructure. Current live protocol.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Wallet v2.5.x (Live)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iOS, Android, Windows wallets. Address book, request system, badge privacy, biometric login.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 Pre-Sale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2026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Invitation-only accredited investors. Up to $100 via XChan for testing.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Genesis 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2026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Loan primitives, PAY_AS, HedgeX infrastructure, MISAI oracle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 22, 2026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$0.00319/KX. Public sale of 6,093,000,000 KX.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HedgeX Launch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 2026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Peer-to-peer currency hedge marketplace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MISAI Beta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 2026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investment mandates, loan servicing automation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Rewards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 1, 2029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harmonic release of node operator rewards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Verifas Network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Bonded human attestor network for long-horizon delivery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Milestone 2076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2076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50-year protocol milestone. 500,000 KX released.</w:t>
            </w:r>
          </w:p>
        </w:tc>
      </w:tr>
    </w:tbl>
    <w:p>
      <w:pPr>
        <w:pBdr>
          <w:bottom w:val="single" w:color="B8860B" w:sz="4" w:space="1"/>
        </w:pBdr>
        <w:spacing w:before="200" w:after="200"/>
      </w:pPr>
      <w:r>
        <w:t xml:space="preserve"/>
      </w:r>
    </w:p>
    <w:p>
      <w:r>
        <w:br w:type="page"/>
      </w:r>
    </w:p>
    <w:p>
      <w:pPr>
        <w:pStyle w:val="Heading1"/>
        <w:spacing w:before="400" w:after="200"/>
      </w:pPr>
      <w:r>
        <w:rPr>
          <w:rFonts w:ascii="Arial" w:cs="Arial" w:eastAsia="Arial" w:hAnsi="Arial"/>
          <w:b/>
          <w:bCs/>
          <w:color w:val="1a1a2e"/>
          <w:sz w:val="36"/>
          <w:szCs w:val="36"/>
        </w:rPr>
        <w:t xml:space="preserve">16. Conclusion</w:t>
      </w:r>
    </w:p>
    <w:p>
      <w:pPr>
        <w:spacing w:before="120" w:after="120"/>
      </w:pPr>
      <w:r>
        <w:rPr>
          <w:rFonts w:ascii="Arial" w:cs="Arial" w:eastAsia="Arial" w:hAnsi="Arial"/>
          <w:b w:val="false"/>
          <w:bCs w:val="false"/>
          <w:i w:val="false"/>
          <w:iCs w:val="false"/>
          <w:color w:val="000000"/>
          <w:sz w:val="22"/>
          <w:szCs w:val="22"/>
        </w:rPr>
        <w:t xml:space="preserve">ChronX is the only blockchain built for the promises that matter most: the ones that take years or decades to fulfill.</w:t>
      </w:r>
    </w:p>
    <w:p>
      <w:pPr>
        <w:spacing w:before="120" w:after="120"/>
      </w:pPr>
      <w:r>
        <w:rPr>
          <w:rFonts w:ascii="Arial" w:cs="Arial" w:eastAsia="Arial" w:hAnsi="Arial"/>
          <w:b w:val="false"/>
          <w:bCs w:val="false"/>
          <w:i w:val="false"/>
          <w:iCs w:val="false"/>
          <w:color w:val="000000"/>
          <w:sz w:val="22"/>
          <w:szCs w:val="22"/>
        </w:rPr>
        <w:t xml:space="preserve">From a parent sending KX to a child’s wallet, unlocking on their eighteenth birthday, to a corporation issuing bond-equivalent instruments on a public DAG, to an AI agent settling high-frequency trading obligations every second — ChronX provides the infrastructure for all of it with zero fees, zero intermediaries, and zero tolerance for failure to deliver.</w:t>
      </w:r>
    </w:p>
    <w:p>
      <w:pPr>
        <w:spacing w:before="120" w:after="120"/>
      </w:pPr>
      <w:r>
        <w:rPr>
          <w:rFonts w:ascii="Arial" w:cs="Arial" w:eastAsia="Arial" w:hAnsi="Arial"/>
          <w:b w:val="false"/>
          <w:bCs w:val="false"/>
          <w:i w:val="false"/>
          <w:iCs w:val="false"/>
          <w:color w:val="000000"/>
          <w:sz w:val="22"/>
          <w:szCs w:val="22"/>
        </w:rPr>
        <w:t xml:space="preserve">The financial possibilities are not theoretical. They are already encoded in the protocol. MISAI is already monitoring mandates. Verifas is already attesting identities. The Humanity Stake is already accumulating. And every promise made on ChronX, from the smallest faucet drip to the largest institutional loan, is already immutable, automatic, and guaranteed.</w:t>
      </w:r>
    </w:p>
    <w:p>
      <w:pPr>
        <w:pBdr>
          <w:left w:val="single" w:color="B8860B" w:sz="12" w:space="8"/>
        </w:pBdr>
        <w:spacing w:before="160" w:after="160"/>
        <w:ind w:left="720" w:right="720"/>
      </w:pPr>
      <w:r>
        <w:rPr>
          <w:rFonts w:ascii="Arial" w:cs="Arial" w:eastAsia="Arial" w:hAnsi="Arial"/>
          <w:i/>
          <w:iCs/>
          <w:color w:val="333333"/>
          <w:sz w:val="22"/>
          <w:szCs w:val="22"/>
        </w:rPr>
        <w:t xml:space="preserve">"ChronX does not merely record that a promise was made. ChronX guarantees the promise is kept."</w:t>
      </w:r>
    </w:p>
    <w:p>
      <w:pPr>
        <w:spacing w:before="120" w:after="120"/>
      </w:pPr>
      <w:r>
        <w:rPr>
          <w:rFonts w:ascii="Arial" w:cs="Arial" w:eastAsia="Arial" w:hAnsi="Arial"/>
          <w:b/>
          <w:bCs/>
          <w:i w:val="false"/>
          <w:iCs w:val="false"/>
          <w:color w:val="000000"/>
          <w:sz w:val="22"/>
          <w:szCs w:val="22"/>
        </w:rPr>
        <w:t xml:space="preserve">ChronX Protocol — The Future Payment Protocol.</w:t>
      </w:r>
    </w:p>
    <w:p>
      <w:pPr>
        <w:spacing w:before="400" w:after="100"/>
        <w:jc w:val="center"/>
      </w:pPr>
      <w:r>
        <w:rPr>
          <w:rFonts w:ascii="Arial" w:cs="Arial" w:eastAsia="Arial" w:hAnsi="Arial"/>
          <w:b/>
          <w:bCs/>
          <w:color w:val="B8860B"/>
          <w:sz w:val="28"/>
          <w:szCs w:val="28"/>
        </w:rPr>
        <w:t xml:space="preserve">chronx.io</w:t>
      </w:r>
    </w:p>
    <w:p>
      <w:pPr>
        <w:spacing w:before="0" w:after="0"/>
        <w:jc w:val="center"/>
      </w:pPr>
      <w:r>
        <w:rPr>
          <w:rFonts w:ascii="Arial" w:cs="Arial" w:eastAsia="Arial" w:hAnsi="Arial"/>
          <w:color w:val="555555"/>
          <w:sz w:val="22"/>
          <w:szCs w:val="22"/>
        </w:rPr>
        <w:t xml:space="preserve">ICO: September 22,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2026-03-20T16:58:02.571Z</dcterms:created>
  <dcterms:modified xsi:type="dcterms:W3CDTF">2026-03-20T16:58:02.572Z</dcterms:modified>
</cp:coreProperties>
</file>

<file path=docProps/custom.xml><?xml version="1.0" encoding="utf-8"?>
<Properties xmlns="http://schemas.openxmlformats.org/officeDocument/2006/custom-properties" xmlns:vt="http://schemas.openxmlformats.org/officeDocument/2006/docPropsVTypes"/>
</file>