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100" w:after="100"/>
      </w:pPr>
    </w:p>
    <w:p>
      <w:pPr>
        <w:spacing w:before="100" w:after="100"/>
        <w:jc w:val="both"/>
      </w:pPr>
      <w:r>
        <w:rPr>
          <w:rFonts w:ascii="Arial" w:cs="Arial" w:eastAsia="Arial" w:hAnsi="Arial"/>
          <w:sz w:val="22"/>
          <w:szCs w:val="22"/>
        </w:rPr>
        <w:t xml:space="preserve">By default, every time-locked promise on ChronX participates in the HedgeKX yield system — earning real yield for the recipient from real economic activity, with no additional risk and no cost to the grantor. This is not a feature added on top of a promise. It is simply what a promise on ChronX does.</w:t>
      </w:r>
    </w:p>
    <w:p>
      <w:pPr>
        <w:spacing w:before="100" w:after="100"/>
      </w:pPr>
    </w:p>
    <w:p>
      <w:pPr>
        <w:spacing w:before="100" w:after="100"/>
        <w:jc w:val="both"/>
      </w:pPr>
      <w:r>
        <w:rPr>
          <w:rFonts w:ascii="Arial" w:cs="Arial" w:eastAsia="Arial" w:hAnsi="Arial"/>
          <w:sz w:val="22"/>
          <w:szCs w:val="22"/>
        </w:rPr>
        <w:t xml:space="preserve">The precise language matters here: promises on ChronX are mechanically enforced under predefined resolution rules. The protocol executes every promise exactly as recorded. For the vast majority of promises — claimed at maturity by an available recipient — this means the intended outcome is delivered with mathematical certainty. For long-duration promises where the recipient cannot be located, the Verifas resolution system and the Humanity Stake provide a defined path that ensures funds are never lost, even when delivery to the specific intended recipient is not possible after an extended period. See Section 4.2 for the complete Verifas system.</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2"/>
        <w:spacing w:before="320" w:after="160"/>
      </w:pPr>
      <w:r>
        <w:rPr>
          <w:rFonts w:ascii="Arial" w:cs="Arial" w:eastAsia="Arial" w:hAnsi="Arial"/>
          <w:b/>
          <w:bCs/>
          <w:color w:val="1F4E79"/>
          <w:sz w:val="28"/>
          <w:szCs w:val="28"/>
        </w:rPr>
        <w:t xml:space="preserve">Why KX? The Answer to the Obvious Question</w:t>
      </w:r>
    </w:p>
    <w:p>
      <w:pPr>
        <w:spacing w:before="100" w:after="100"/>
      </w:pPr>
    </w:p>
    <w:p>
      <w:pPr>
        <w:spacing w:before="100" w:after="100"/>
        <w:jc w:val="both"/>
      </w:pPr>
      <w:r>
        <w:rPr>
          <w:rFonts w:ascii="Arial" w:cs="Arial" w:eastAsia="Arial" w:hAnsi="Arial"/>
          <w:sz w:val="22"/>
          <w:szCs w:val="22"/>
        </w:rPr>
        <w:t xml:space="preserve">A natural question arises for participants who earn and spend in USD: if my obligation is in USD and I get paid in USD, why use KX at all — and why accept the added complexity of hedging?</w:t>
      </w:r>
    </w:p>
    <w:p>
      <w:pPr>
        <w:spacing w:before="100" w:after="100"/>
      </w:pPr>
    </w:p>
    <w:p>
      <w:pPr>
        <w:spacing w:before="100" w:after="100"/>
        <w:jc w:val="both"/>
      </w:pPr>
      <w:r>
        <w:rPr>
          <w:rFonts w:ascii="Arial" w:cs="Arial" w:eastAsia="Arial" w:hAnsi="Arial"/>
          <w:sz w:val="22"/>
          <w:szCs w:val="22"/>
        </w:rPr>
        <w:t xml:space="preserve">The answer is four things USD cannot do.</w:t>
      </w:r>
    </w:p>
    <w:p>
      <w:pPr>
        <w:spacing w:before="100" w:after="100"/>
      </w:pPr>
    </w:p>
    <w:p>
      <w:pPr>
        <w:spacing w:before="100" w:after="100"/>
        <w:jc w:val="both"/>
      </w:pPr>
      <w:r>
        <w:rPr>
          <w:rFonts w:ascii="Arial" w:cs="Arial" w:eastAsia="Arial" w:hAnsi="Arial"/>
          <w:sz w:val="22"/>
          <w:szCs w:val="22"/>
        </w:rPr>
        <w:t xml:space="preserve">USD cannot make a promise inevitable. A USD promise is a legal instrument — enforceable by courts, subject to bankruptcy, modifiable by judges, and dependent on counterparty solvency. A KX promise on the ChronX DAG is enforced by mathematics. No court order can prevent a matured lock from releasing. No bankruptcy filing can intercept it. This is structurally impossible with USD.</w:t>
      </w:r>
    </w:p>
    <w:p>
      <w:pPr>
        <w:spacing w:before="100" w:after="100"/>
      </w:pPr>
    </w:p>
    <w:p>
      <w:pPr>
        <w:spacing w:before="100" w:after="100"/>
        <w:jc w:val="both"/>
      </w:pPr>
      <w:r>
        <w:rPr>
          <w:rFonts w:ascii="Arial" w:cs="Arial" w:eastAsia="Arial" w:hAnsi="Arial"/>
          <w:sz w:val="22"/>
          <w:szCs w:val="22"/>
        </w:rPr>
        <w:t xml:space="preserve">USD cannot be zero-fee forever. Every USD transfer involves fees — bank, processor, wire, ACH, SWIFT, or card network. These compound over 100 years of settlements. KX transactions cost exactly zero, encoded at genesis and immutable forever. For long-horizon instruments this difference is material.</w:t>
      </w:r>
    </w:p>
    <w:p>
      <w:pPr>
        <w:spacing w:before="100" w:after="100"/>
      </w:pPr>
    </w:p>
    <w:p>
      <w:pPr>
        <w:spacing w:before="100" w:after="100"/>
        <w:jc w:val="both"/>
      </w:pPr>
      <w:r>
        <w:rPr>
          <w:rFonts w:ascii="Arial" w:cs="Arial" w:eastAsia="Arial" w:hAnsi="Arial"/>
          <w:sz w:val="22"/>
          <w:szCs w:val="22"/>
        </w:rPr>
        <w:t xml:space="preserve">USD cannot be post-quantum secure. CRYSTALS-Dilithium2 secures every KX wallet and transaction against the cryptographic threats of 2076 and beyond. The banking system’s cryptographic foundations were not designed for a 100-year threat horizon.</w:t>
      </w:r>
    </w:p>
    <w:p>
      <w:pPr>
        <w:spacing w:before="100" w:after="100"/>
      </w:pPr>
    </w:p>
    <w:p>
      <w:pPr>
        <w:spacing w:before="100" w:after="100"/>
        <w:jc w:val="both"/>
      </w:pPr>
      <w:r>
        <w:rPr>
          <w:rFonts w:ascii="Arial" w:cs="Arial" w:eastAsia="Arial" w:hAnsi="Arial"/>
          <w:sz w:val="22"/>
          <w:szCs w:val="22"/>
        </w:rPr>
        <w:t xml:space="preserve">The hedge is not a burden — it is the bridge. The 1% fee for a 30-day friendly loan (approximately 12% annualized) is the price of currency certainty. A bank charges roughly the same for a letter of credit. The difference: a bank keeps the fee. ChronX routes it into yield for savers, operating capital for KXGC, and liquidity for the ecosystem. The fee does the same job and simultaneously builds the infrastructure that makes the entire protocol more valuable.</w:t>
      </w:r>
    </w:p>
    <w:p>
      <w:pPr>
        <w:spacing w:before="100" w:after="100"/>
      </w:pPr>
    </w:p>
    <w:p>
      <w:pPr>
        <w:spacing w:before="100" w:after="100"/>
        <w:jc w:val="both"/>
      </w:pPr>
      <w:r>
        <w:rPr>
          <w:rFonts w:ascii="Arial" w:cs="Arial" w:eastAsia="Arial" w:hAnsi="Arial"/>
          <w:sz w:val="22"/>
          <w:szCs w:val="22"/>
        </w:rPr>
        <w:t xml:space="preserve">KX is not a currency used instead of USD. It is the substrate that makes USD promises mathematically inevitable, permanently free, quantum-secure, and economically productive. You continue to earn, spend, and think in USD. The protocol handles the rest.</w:t>
      </w:r>
    </w:p>
    <w:p>
      <w:pPr>
        <w:spacing w:before="100" w:after="100"/>
      </w:pPr>
    </w:p>
    <w:p>
      <w:pPr>
        <w:spacing w:before="100" w:after="100"/>
      </w:pPr>
    </w:p>
    <w:p>
      <w:pPr>
        <w:spacing w:before="100" w:after="100"/>
        <w:jc w:val="both"/>
      </w:pPr>
      <w:r>
        <w:rPr>
          <w:rFonts w:ascii="Arial" w:cs="Arial" w:eastAsia="Arial" w:hAnsi="Arial"/>
          <w:sz w:val="22"/>
          <w:szCs w:val="22"/>
        </w:rPr>
        <w:t xml:space="preserve">A sophisticated participant will ask the natural follow-on question: why would an existing insurance company, bank, or escrow agent route transactions through KX when they already have USD infrastructure, existing regulatory licenses, and established counterparty relationships?</w:t>
      </w:r>
    </w:p>
    <w:p>
      <w:pPr>
        <w:spacing w:before="100" w:after="100"/>
      </w:pPr>
    </w:p>
    <w:p>
      <w:pPr>
        <w:spacing w:before="100" w:after="100"/>
        <w:jc w:val="both"/>
      </w:pPr>
      <w:r>
        <w:rPr>
          <w:rFonts w:ascii="Arial" w:cs="Arial" w:eastAsia="Arial" w:hAnsi="Arial"/>
          <w:sz w:val="22"/>
          <w:szCs w:val="22"/>
        </w:rPr>
        <w:t xml:space="preserve">The honest answer is: they would not — not as their primary infrastructure, and not yet. ChronX does not ask existing institutions to replace what works. It offers infrastructure for four specific categories where existing systems fail.</w:t>
      </w:r>
    </w:p>
    <w:p>
      <w:pPr>
        <w:spacing w:before="100" w:after="100"/>
      </w:pPr>
    </w:p>
    <w:p>
      <w:pPr>
        <w:spacing w:before="100" w:after="100"/>
        <w:jc w:val="both"/>
      </w:pPr>
      <w:r>
        <w:rPr>
          <w:rFonts w:ascii="Arial" w:cs="Arial" w:eastAsia="Arial" w:hAnsi="Arial"/>
          <w:sz w:val="22"/>
          <w:szCs w:val="22"/>
        </w:rPr>
        <w:t xml:space="preserve">First: the uninsurable and unbankable. Major insurers have exited entire markets — California homeowners with paid-off properties are legally self-insurable but have no carrier willing to write their coverage at any price. A borrower in a jurisdiction with no reliable banking infrastructure cannot access USD credit markets. ChronX requires only a wallet address and an internet connection.</w:t>
      </w:r>
    </w:p>
    <w:p>
      <w:pPr>
        <w:spacing w:before="100" w:after="100"/>
      </w:pPr>
    </w:p>
    <w:p>
      <w:pPr>
        <w:spacing w:before="100" w:after="100"/>
        <w:jc w:val="both"/>
      </w:pPr>
      <w:r>
        <w:rPr>
          <w:rFonts w:ascii="Arial" w:cs="Arial" w:eastAsia="Arial" w:hAnsi="Arial"/>
          <w:sz w:val="22"/>
          <w:szCs w:val="22"/>
        </w:rPr>
        <w:t xml:space="preserve">Second: the excess and surplus lines market. A homeowner whose primary policy covers the first $50,000 of loss can purchase KXGC excess coverage for everything above that threshold — priced to their individual risk profile rather than the pool average. Someone one block from the fire station on non-combustible ground should pay dramatically less than their neighbor with wood shake roofs and no fire clearance. Traditional carriers cannot price individual risk economically at small scale. KXGC can — because the DAG is the underwriting file, CPNX attests the risk characteristics on-chain, and zero processing costs make individual parametric coverage economically viable.</w:t>
      </w:r>
    </w:p>
    <w:p>
      <w:pPr>
        <w:spacing w:before="100" w:after="100"/>
      </w:pPr>
    </w:p>
    <w:p>
      <w:pPr>
        <w:spacing w:before="100" w:after="100"/>
        <w:jc w:val="both"/>
      </w:pPr>
      <w:r>
        <w:rPr>
          <w:rFonts w:ascii="Arial" w:cs="Arial" w:eastAsia="Arial" w:hAnsi="Arial"/>
          <w:sz w:val="22"/>
          <w:szCs w:val="22"/>
        </w:rPr>
        <w:t xml:space="preserve">Third: the micropayment claim. Traditional insurance cannot process a $5 claim — the overhead exceeds the payout. The ChronX DAG processes a 10 KX conditional payment and a 10,000,000 KX conditional payment identically, at zero cost. This opens the entire market of micropayment conditional obligations: 10 KX if a flight is delayed more than two hours. 50 KX if rainfall exceeds a threshold. 100 KX if a package does not arrive. 500 KX if a contractor misses a milestone. None of these are economically viable in traditional insurance. All are trivial on ChronX.</w:t>
      </w:r>
    </w:p>
    <w:p>
      <w:pPr>
        <w:spacing w:before="100" w:after="100"/>
      </w:pPr>
    </w:p>
    <w:p>
      <w:pPr>
        <w:spacing w:before="100" w:after="100"/>
        <w:jc w:val="both"/>
      </w:pPr>
      <w:r>
        <w:rPr>
          <w:rFonts w:ascii="Arial" w:cs="Arial" w:eastAsia="Arial" w:hAnsi="Arial"/>
          <w:sz w:val="22"/>
          <w:szCs w:val="22"/>
        </w:rPr>
        <w:t xml:space="preserve">Fourth: the new instrument. Parametric triggers that execute automatically when an oracle condition is met — without an adjuster, without a claims form, without a 30-day wait. Cross-border conditional payments spanning jurisdictions with incompatible banking systems. Cascade instruments with multiple trigger layers. These instruments require automatic execution that existing infrastructure structurally cannot provide.</w:t>
      </w:r>
    </w:p>
    <w:p>
      <w:pPr>
        <w:spacing w:before="100" w:after="100"/>
      </w:pPr>
    </w:p>
    <w:p>
      <w:pPr>
        <w:spacing w:before="100" w:after="100"/>
        <w:jc w:val="both"/>
      </w:pPr>
      <w:r>
        <w:rPr>
          <w:rFonts w:ascii="Arial" w:cs="Arial" w:eastAsia="Arial" w:hAnsi="Arial"/>
          <w:sz w:val="22"/>
          <w:szCs w:val="22"/>
        </w:rPr>
        <w:t xml:space="preserve">Traditional insurance companies, banks, and escrow agents serve their markets well. ChronX serves the markets they cannot reach — and builds the instruments they cannot create. Springing obligations of any kind — insurance claims, performance bonds, escrow releases, parametric triggers, crop coverage, income protection, trade finance — are all conditional payments. The protocol does not distinguish between them. It enforces them all at zero cost, at any size, automatically.</w:t>
      </w:r>
    </w:p>
    <w:p>
      <w:pPr>
        <w:spacing w:before="100" w:after="100"/>
      </w:pP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job is to ensure that long-duration promises reach their intended recipients even when wallets go offline, email addresses change, or decades pass between a promise being made and it maturing.</w:t>
      </w:r>
    </w:p>
    <w:p>
      <w:pPr>
        <w:spacing w:before="100" w:after="100"/>
      </w:pPr>
    </w:p>
    <w:p>
      <w:pPr>
        <w:spacing w:before="100" w:after="100"/>
        <w:jc w:val="both"/>
      </w:pPr>
      <w:r>
        <w:rPr>
          <w:rFonts w:ascii="Arial" w:cs="Arial" w:eastAsia="Arial" w:hAnsi="Arial"/>
          <w:sz w:val="22"/>
          <w:szCs w:val="22"/>
        </w:rPr>
        <w:t xml:space="preserve">For short-duration locks (under the governance-set threshold, currently one year), normal claim behavior applies: if unclaimed within the claim window, funds revert to sender. This is correct for operational instruments — payroll, savings deposits, friendly loans.</w:t>
      </w:r>
    </w:p>
    <w:p>
      <w:pPr>
        <w:spacing w:before="100" w:after="100"/>
      </w:pPr>
    </w:p>
    <w:p>
      <w:pPr>
        <w:spacing w:before="100" w:after="100"/>
        <w:jc w:val="both"/>
      </w:pPr>
      <w:r>
        <w:rPr>
          <w:rFonts w:ascii="Arial" w:cs="Arial" w:eastAsia="Arial" w:hAnsi="Arial"/>
          <w:sz w:val="22"/>
          <w:szCs w:val="22"/>
        </w:rPr>
        <w:t xml:space="preserve">For long-duration locks (above the governance-set threshold), the following three-stage system applies:</w:t>
      </w:r>
    </w:p>
    <w:p>
      <w:pPr>
        <w:spacing w:before="100" w:after="100"/>
      </w:pPr>
    </w:p>
    <w:p>
      <w:pPr>
        <w:spacing w:before="100" w:after="100"/>
        <w:jc w:val="both"/>
      </w:pPr>
      <w:r>
        <w:rPr>
          <w:rFonts w:ascii="Arial" w:cs="Arial" w:eastAsia="Arial" w:hAnsi="Arial"/>
          <w:sz w:val="22"/>
          <w:szCs w:val="22"/>
        </w:rPr>
        <w:t xml:space="preserve">Stage 1 — Normal claim window (governance-set, default 90 days for wallet locks, default 0 days for email locks): The recipient claims directly via wallet or email claim code. No Verifas involvement. This is the intended path for the vast majority of long-duration locks.</w:t>
      </w:r>
    </w:p>
    <w:p>
      <w:pPr>
        <w:spacing w:before="100" w:after="100"/>
      </w:pPr>
    </w:p>
    <w:p>
      <w:pPr>
        <w:spacing w:before="100" w:after="100"/>
        <w:jc w:val="both"/>
      </w:pPr>
      <w:r>
        <w:rPr>
          <w:rFonts w:ascii="Arial" w:cs="Arial" w:eastAsia="Arial" w:hAnsi="Arial"/>
          <w:sz w:val="22"/>
          <w:szCs w:val="22"/>
        </w:rPr>
        <w:t xml:space="preserve">Stage 2 — Two-party lock (begins after Stage 1 expires): The lock automatically requires two signatures to release: the recipient’s signature AND a Verifas bonded attestor confirming the claimant’s identity. Neither party has custody. The KX does not move. A hacked email address cannot claim alone — the attacker also needs Verifas to co-sign, which requires identity attestation. A legitimate slow claimant can still claim with slightly more friction. Verifas earns a governance-approved fee only at successful release — aligning their incentive with finding the correct claimant, not the fastest claimant.</w:t>
      </w:r>
    </w:p>
    <w:p>
      <w:pPr>
        <w:spacing w:before="100" w:after="100"/>
      </w:pPr>
    </w:p>
    <w:p>
      <w:pPr>
        <w:spacing w:before="100" w:after="100"/>
        <w:jc w:val="both"/>
      </w:pPr>
      <w:r>
        <w:rPr>
          <w:rFonts w:ascii="Arial" w:cs="Arial" w:eastAsia="Arial" w:hAnsi="Arial"/>
          <w:sz w:val="22"/>
          <w:szCs w:val="22"/>
        </w:rPr>
        <w:t xml:space="preserve">Stage 3 — Verifas sole custody (after governance-set extended inactivity, default 7 years in Stage 2): After years of continued inactivity, sole custody transfers to Verifas for active estate resolution. Verifas uses all available on-chain information — email hash, wallet address, CPNX identity records, DAG history — to locate the rightful claimant or their estate.</w:t>
      </w:r>
    </w:p>
    <w:p>
      <w:pPr>
        <w:spacing w:before="100" w:after="100"/>
      </w:pPr>
    </w:p>
    <w:p>
      <w:pPr>
        <w:spacing w:before="100" w:after="100"/>
        <w:jc w:val="both"/>
      </w:pPr>
      <w:r>
        <w:rPr>
          <w:rFonts w:ascii="Arial" w:cs="Arial" w:eastAsia="Arial" w:hAnsi="Arial"/>
          <w:sz w:val="22"/>
          <w:szCs w:val="22"/>
        </w:rPr>
        <w:t xml:space="preserve">Last resort — Humanity Stake (after governance-set custody window, default 100 years): If Verifas cannot locate a claimant within the custody window, KX transfers to the Humanity Stake, locked until 2126. Coins are never permanently lost.</w:t>
      </w:r>
    </w:p>
    <w:p>
      <w:pPr>
        <w:spacing w:before="100" w:after="100"/>
      </w:pPr>
    </w:p>
    <w:p>
      <w:pPr>
        <w:spacing w:before="100" w:after="100"/>
        <w:jc w:val="both"/>
      </w:pPr>
      <w:r>
        <w:rPr>
          <w:rFonts w:ascii="Arial" w:cs="Arial" w:eastAsia="Arial" w:hAnsi="Arial"/>
          <w:sz w:val="22"/>
          <w:szCs w:val="22"/>
        </w:rPr>
        <w:t xml:space="preserve">Verifas holds a 10,000,000 KX bond ensuring meaningful accountability. Verifas attestors are bonded and financially incentivised to locate claimants. For high-value long-duration locks this incentive is strong. For low-value locks, delivery through Verifas is not guaranteed — the protocol provides the mechanism, but economics governs its application.</w:t>
      </w:r>
    </w:p>
    <w:p>
      <w:pPr>
        <w:spacing w:before="100" w:after="100"/>
      </w:pPr>
    </w:p>
    <w:p>
      <w:pPr>
        <w:spacing w:before="100" w:after="100"/>
        <w:jc w:val="both"/>
      </w:pPr>
      <w:r>
        <w:rPr>
          <w:rFonts w:ascii="Arial" w:cs="Arial" w:eastAsia="Arial" w:hAnsi="Arial"/>
          <w:sz w:val="22"/>
          <w:szCs w:val="22"/>
        </w:rPr>
        <w:t xml:space="preserve">All four thresholds — Stage 1 duration, Stage 2 duration, Stage 3 custody window, and Humanity Stake window — are governance parameters adjustable without a node rebuild. In 2046, if email infrastructure has become trivially compromisable, governance can set the email lock Stage 1 window to zero seconds, ensuring all email-recipient long-duration locks enter two-party mode immediately on maturity. The mechanism is stable. The parameters are flexible. This is correct design for a 100-year protocol.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pStyle w:val="Heading3"/>
        <w:spacing w:before="240" w:after="120"/>
      </w:pPr>
      <w:r>
        <w:rPr>
          <w:rFonts w:ascii="Arial" w:cs="Arial" w:eastAsia="Arial" w:hAnsi="Arial"/>
          <w:b/>
          <w:bCs/>
          <w:color w:val="1F4E79"/>
          <w:sz w:val="24"/>
          <w:szCs w:val="24"/>
        </w:rPr>
        <w:t xml:space="preserve">Three Natural Currency B Committer Pools</w:t>
      </w:r>
    </w:p>
    <w:p>
      <w:pPr>
        <w:spacing w:before="100" w:after="100"/>
      </w:pPr>
    </w:p>
    <w:p>
      <w:pPr>
        <w:spacing w:before="100" w:after="100"/>
        <w:jc w:val="both"/>
      </w:pPr>
      <w:r>
        <w:rPr>
          <w:rFonts w:ascii="Arial" w:cs="Arial" w:eastAsia="Arial" w:hAnsi="Arial"/>
          <w:sz w:val="22"/>
          <w:szCs w:val="22"/>
        </w:rPr>
        <w:t xml:space="preserve">HedgeKX’s Currency B Committer pool has three natural sources that exist independently of external market speculation, providing organic rational demand from the first day of operation.</w:t>
      </w:r>
    </w:p>
    <w:p>
      <w:pPr>
        <w:spacing w:before="100" w:after="100"/>
      </w:pPr>
    </w:p>
    <w:p>
      <w:pPr>
        <w:spacing w:before="100" w:after="100"/>
        <w:jc w:val="both"/>
      </w:pPr>
      <w:r>
        <w:rPr>
          <w:rFonts w:ascii="Arial" w:cs="Arial" w:eastAsia="Arial" w:hAnsi="Arial"/>
          <w:sz w:val="22"/>
          <w:szCs w:val="22"/>
        </w:rPr>
        <w:t xml:space="preserve">Pool 1 — Loan settlement liquidity. For friendly loans and PAY_AS loans, the Currency B Committer provides USDC as settlement liquidity for collateralized loans with contractually obligated repayment. The borrower must repay. Settlement is automatic — time plus repayment (or absence of repayment) is the complete mechanism. No oracle. No attestation. No optionality. The Currency B Committer earns approximately 12% annualized on 30-day instruments and receives KX collateral at the locked rate if the borrower defaults. This is not speculation on KX’s price — it is provision of settlement liquidity for a known collateralized instrument.</w:t>
      </w:r>
    </w:p>
    <w:p>
      <w:pPr>
        <w:spacing w:before="100" w:after="100"/>
      </w:pPr>
    </w:p>
    <w:p>
      <w:pPr>
        <w:spacing w:before="100" w:after="100"/>
        <w:jc w:val="both"/>
      </w:pPr>
      <w:r>
        <w:rPr>
          <w:rFonts w:ascii="Arial" w:cs="Arial" w:eastAsia="Arial" w:hAnsi="Arial"/>
          <w:sz w:val="22"/>
          <w:szCs w:val="22"/>
        </w:rPr>
        <w:t xml:space="preserve">Pool 2 — KXGC premium float. KXGC receives insurance premiums in USDC. Those premiums sit as reserves against future claims. KXGC deploys this reserve as a Currency B Committer — earning yield on its float while simultaneously hedging its own claim liabilities as an Exchange Buyer. KXGC is the natural two-sided participant: it locks KX as collateral when hedging claims (Exchange Buyer) and commits USDC premium income when deploying reserves (Currency B Committer). This is standard insurance treasury management — not speculation.</w:t>
      </w:r>
    </w:p>
    <w:p>
      <w:pPr>
        <w:spacing w:before="100" w:after="100"/>
      </w:pPr>
    </w:p>
    <w:p>
      <w:pPr>
        <w:spacing w:before="100" w:after="100"/>
        <w:jc w:val="both"/>
      </w:pPr>
      <w:r>
        <w:rPr>
          <w:rFonts w:ascii="Arial" w:cs="Arial" w:eastAsia="Arial" w:hAnsi="Arial"/>
          <w:sz w:val="22"/>
          <w:szCs w:val="22"/>
        </w:rPr>
        <w:t xml:space="preserve">Pool 3 — External yield-seeking capital. As the ecosystem matures, short-duration collateralized instruments with observable repayment statistics and known yield history attract external capital seeking stable returns. This pool develops over time as Pools 1 and 2 establish the track record that makes rational external participation straightforward.</w:t>
      </w:r>
    </w:p>
    <w:p>
      <w:pPr>
        <w:spacing w:before="100" w:after="100"/>
      </w:pPr>
    </w:p>
    <w:p>
      <w:pPr>
        <w:spacing w:before="100" w:after="100"/>
        <w:jc w:val="both"/>
      </w:pPr>
      <w:r>
        <w:rPr>
          <w:rFonts w:ascii="Arial" w:cs="Arial" w:eastAsia="Arial" w:hAnsi="Arial"/>
          <w:sz w:val="22"/>
          <w:szCs w:val="22"/>
        </w:rPr>
        <w:t xml:space="preserve">These three pools mean HedgeKX has genuine two-sided flow from its first day of operation — not from speculators betting on KX, but from participants providing settlement liquidity for real obligations that must be discharged.</w:t>
      </w:r>
    </w:p>
    <w:p>
      <w:pPr>
        <w:spacing w:before="100" w:after="100"/>
      </w:pP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4.6 KXGC — KX Guarantee Co.</w:t>
      </w:r>
    </w:p>
    <w:p>
      <w:pPr>
        <w:spacing w:before="100" w:after="100"/>
      </w:pPr>
    </w:p>
    <w:p>
      <w:pPr>
        <w:spacing w:before="100" w:after="100"/>
        <w:jc w:val="both"/>
      </w:pPr>
      <w:r>
        <w:rPr>
          <w:rFonts w:ascii="Arial" w:cs="Arial" w:eastAsia="Arial" w:hAnsi="Arial"/>
          <w:sz w:val="22"/>
          <w:szCs w:val="22"/>
        </w:rPr>
        <w:t xml:space="preserve">KXGC (kxgc.io) is the capital of last resort for the entire ChronX insurance and lending stack. It holds 300,000,000 KX in fully-reserved catastrophic bond capital — permanently visible on the DAG, queryable by anyone, at any time. KXGC operates the Lloyd’s of London model: a three-tier hierarchy of bonded guarantors. Tier 0 (KXGC, 300M KX, never writes policies directly). Tier 1 (bonded Names, 5—25M KX each, write guarantee instruments, bond the first portion of claims before KXGC’s backstop is ever touched). Tier 2 (retail pools, backed by Tier 1 sponsors).</w:t>
      </w:r>
    </w:p>
    <w:p>
      <w:pPr>
        <w:spacing w:before="100" w:after="100"/>
      </w:pP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currency certainty.</w:t>
      </w:r>
    </w:p>
    <w:p>
      <w:pPr>
        <w:spacing w:before="100" w:after="100"/>
      </w:pPr>
    </w:p>
    <w:p>
      <w:pPr>
        <w:spacing w:before="100" w:after="100"/>
        <w:jc w:val="both"/>
      </w:pPr>
      <w:r>
        <w:rPr>
          <w:rFonts w:ascii="Arial" w:cs="Arial" w:eastAsia="Arial" w:hAnsi="Arial"/>
          <w:sz w:val="22"/>
          <w:szCs w:val="22"/>
        </w:rPr>
        <w:t xml:space="preserve">KXGC’s most immediate addressable market is the excess and surplus lines segment that traditional carriers systematically underserve. A homeowner whose primary policy covers the first $50,000 of loss can purchase KXGC excess coverage for everything above that threshold, priced to their individual risk profile rather than the pool average. The DAG’s immutable property record, CPNX’s on-chain attestation of risk characteristics, and the oracle’s parametric trigger eliminate the information asymmetry and processing costs that make individual excess underwriting uneconomical for traditional carriers.</w:t>
      </w:r>
    </w:p>
    <w:p>
      <w:pPr>
        <w:spacing w:before="100" w:after="100"/>
      </w:pPr>
    </w:p>
    <w:p>
      <w:pPr>
        <w:spacing w:before="100" w:after="100"/>
        <w:jc w:val="both"/>
      </w:pPr>
      <w:r>
        <w:rPr>
          <w:rFonts w:ascii="Arial" w:cs="Arial" w:eastAsia="Arial" w:hAnsi="Arial"/>
          <w:sz w:val="22"/>
          <w:szCs w:val="22"/>
        </w:rPr>
        <w:t xml:space="preserve">The layered coverage architecture is clean:</w:t>
      </w:r>
    </w:p>
    <w:p>
      <w:pPr>
        <w:spacing w:before="100" w:after="100"/>
      </w:pPr>
    </w:p>
    <w:p>
      <w:pPr>
        <w:spacing w:before="100" w:after="100"/>
        <w:jc w:val="both"/>
      </w:pPr>
      <w:r>
        <w:rPr>
          <w:rFonts w:ascii="Arial" w:cs="Arial" w:eastAsia="Arial" w:hAnsi="Arial"/>
          <w:sz w:val="22"/>
          <w:szCs w:val="22"/>
        </w:rPr>
        <w:t xml:space="preserve">Layer 1 — Primary coverage (traditional carrier): $0 to policy limit. Standard carrier, standard rates, standard claims process. Already exists. ChronX does not replace this.</w:t>
      </w:r>
    </w:p>
    <w:p>
      <w:pPr>
        <w:spacing w:before="100" w:after="100"/>
      </w:pPr>
    </w:p>
    <w:p>
      <w:pPr>
        <w:spacing w:before="100" w:after="100"/>
        <w:jc w:val="both"/>
      </w:pPr>
      <w:r>
        <w:rPr>
          <w:rFonts w:ascii="Arial" w:cs="Arial" w:eastAsia="Arial" w:hAnsi="Arial"/>
          <w:sz w:val="22"/>
          <w:szCs w:val="22"/>
        </w:rPr>
        <w:t xml:space="preserve">Layer 2 — KXGC excess (ChronX): above the primary limit, up to whatever the Tier 1 Name underwrites. Parametric trigger via oracle. Automatic payment. Priced to individual risk profile. The LinkedSpring instrument type handles activation cleanly — the KXGC instrument fires only after primary coverage is documented as exhausted.</w:t>
      </w:r>
    </w:p>
    <w:p>
      <w:pPr>
        <w:spacing w:before="100" w:after="100"/>
      </w:pPr>
    </w:p>
    <w:p>
      <w:pPr>
        <w:spacing w:before="100" w:after="100"/>
        <w:jc w:val="both"/>
      </w:pPr>
      <w:r>
        <w:rPr>
          <w:rFonts w:ascii="Arial" w:cs="Arial" w:eastAsia="Arial" w:hAnsi="Arial"/>
          <w:sz w:val="22"/>
          <w:szCs w:val="22"/>
        </w:rPr>
        <w:t xml:space="preserve">Layer 3 — KXGC catastrophic backstop: above Tier 1 capacity. The 300M KX bond. Last resort only.</w:t>
      </w:r>
    </w:p>
    <w:p>
      <w:pPr>
        <w:spacing w:before="100" w:after="100"/>
      </w:pPr>
    </w:p>
    <w:p>
      <w:pPr>
        <w:spacing w:before="100" w:after="100"/>
        <w:jc w:val="both"/>
      </w:pPr>
      <w:r>
        <w:rPr>
          <w:rFonts w:ascii="Arial" w:cs="Arial" w:eastAsia="Arial" w:hAnsi="Arial"/>
          <w:sz w:val="22"/>
          <w:szCs w:val="22"/>
        </w:rPr>
        <w:t xml:space="preserve">KXGC does not compete with existing primary insurers. It covers what they leave uncovered — at any claim size, from 10 KX to 10,000,000 KX, at zero processing cost, with automatic parametric settlement.</w:t>
      </w:r>
    </w:p>
    <w:p>
      <w:pPr>
        <w:spacing w:before="100" w:after="100"/>
      </w:pPr>
    </w:p>
    <w:p>
      <w:pPr>
        <w:spacing w:before="100" w:after="100"/>
        <w:jc w:val="both"/>
      </w:pPr>
      <w:r>
        <w:rPr>
          <w:rFonts w:ascii="Arial" w:cs="Arial" w:eastAsia="Arial" w:hAnsi="Arial"/>
          <w:sz w:val="22"/>
          <w:szCs w:val="22"/>
        </w:rPr>
        <w:t xml:space="preserve">Springing obligations extend far beyond homeowner coverage. Performance bonds, escrow releases, crop parametric coverage, gig worker income protection, trade finance conditional payments, supply chain milestone triggers — all are conditional payments that the protocol enforces identically regardless of size or domain.</w:t>
      </w:r>
    </w:p>
    <w:p>
      <w:pPr>
        <w:spacing w:before="100" w:after="100"/>
      </w:pPr>
    </w:p>
    <w:p>
      <w:pPr>
        <w:spacing w:before="100" w:after="100"/>
      </w:pPr>
    </w:p>
    <w:p>
      <w:pPr>
        <w:spacing w:before="100" w:after="100"/>
        <w:jc w:val="both"/>
      </w:pPr>
      <w:r>
        <w:rPr>
          <w:rFonts w:ascii="Arial" w:cs="Arial" w:eastAsia="Arial" w:hAnsi="Arial"/>
          <w:sz w:val="22"/>
          <w:szCs w:val="22"/>
        </w:rPr>
        <w:t xml:space="preserve">KXGC operates on a 100-year horizon. There is no requirement — and no pressure — to begin underwriting at launch. The 300M KX catastrophic bond exists to provide an unconditional backstop when the market is ready, not to manufacture activity before it is. Tier 1 Names are admitted by KXGC when they demonstrate genuine expertise, adequate personal bonding, and a prudent underwriting philosophy. The first policy written on ChronX will be written when a qualified Name believes the market conditions, the protocol’s track record, and the available hedge capacity make it responsible to do so. Not before.</w:t>
      </w:r>
    </w:p>
    <w:p>
      <w:pPr>
        <w:spacing w:before="100" w:after="100"/>
      </w:pPr>
    </w:p>
    <w:p>
      <w:pPr>
        <w:spacing w:before="100" w:after="100"/>
        <w:jc w:val="both"/>
      </w:pPr>
      <w:r>
        <w:rPr>
          <w:rFonts w:ascii="Arial" w:cs="Arial" w:eastAsia="Arial" w:hAnsi="Arial"/>
          <w:sz w:val="22"/>
          <w:szCs w:val="22"/>
        </w:rPr>
        <w:t xml:space="preserve">In addition to the catastrophic bond, KXGC holds 200,000,000 KX in operating capital, vesting in annual tranches from 2027 to 2036. This working capital funds policy underwriting liquidity, claim payment float, and hedge collateral as the market develops. The vesting schedule front-loads small tranches in the early years — when KXGC has no active policies — and delivers larger tranches in later years when an established policy book and admitted Tier 1 Names create genuine operational need. The cascade structure means most of this capital does not yet exist as spendable KX, providing an additional layer of market protection.</w:t>
      </w:r>
    </w:p>
    <w:p>
      <w:pPr>
        <w:spacing w:before="100" w:after="100"/>
      </w:pPr>
    </w:p>
    <w:p>
      <w:pPr>
        <w:spacing w:before="100" w:after="100"/>
        <w:jc w:val="both"/>
      </w:pPr>
      <w:r>
        <w:rPr>
          <w:rFonts w:ascii="Arial" w:cs="Arial" w:eastAsia="Arial" w:hAnsi="Arial"/>
          <w:sz w:val="22"/>
          <w:szCs w:val="22"/>
        </w:rPr>
        <w:t xml:space="preserve">The Tier 1 bonding requirement is the mechanism that makes KXGC prudent rather than reckless: Tier 1 Names bond the first portion of claims before KXGC’s backstop is ever touched. A Tier 1 Name must exhaust their own bond before KXGC steps in. This personal exposure gives Tier 1 Names strong incentive to underwrite carefully, price correctly, and maintain adequate reserves. KXGC only absorbs what survives both the Tier 1 and Tier 2 layers. This is the Lloyd’s Names model encoded in the protocol.</w:t>
      </w:r>
    </w:p>
    <w:p>
      <w:pPr>
        <w:spacing w:before="100" w:after="100"/>
      </w:pPr>
    </w:p>
    <w:p>
      <w:pPr>
        <w:spacing w:before="100" w:after="100"/>
        <w:jc w:val="both"/>
      </w:pPr>
      <w:r>
        <w:rPr>
          <w:rFonts w:ascii="Arial" w:cs="Arial" w:eastAsia="Arial" w:hAnsi="Arial"/>
          <w:sz w:val="22"/>
          <w:szCs w:val="22"/>
        </w:rPr>
        <w:t xml:space="preserve">Catastrophic bond wallet: BqjGDbhzLJJgzpVywRxug4wTa2Qqtwipc1hkcLLJsWzF</w:t>
      </w:r>
    </w:p>
    <w:p>
      <w:pPr>
        <w:spacing w:before="100" w:after="100"/>
      </w:pPr>
    </w:p>
    <w:p>
      <w:pPr>
        <w:spacing w:before="100" w:after="100"/>
        <w:jc w:val="both"/>
      </w:pPr>
      <w:r>
        <w:rPr>
          <w:rFonts w:ascii="Arial" w:cs="Arial" w:eastAsia="Arial" w:hAnsi="Arial"/>
          <w:sz w:val="22"/>
          <w:szCs w:val="22"/>
        </w:rPr>
        <w:t xml:space="preserve">Operating capital wallet: G2aH9NfRFo5gdLTMjNqCRv4PkcKKEHLD99Y8vhQwSgeV</w:t>
      </w:r>
    </w:p>
    <w:p>
      <w:pPr>
        <w:spacing w:before="100" w:after="100"/>
      </w:pP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4.9 EPP Bond Structure and Market Protection</w:t>
      </w:r>
    </w:p>
    <w:p>
      <w:pPr>
        <w:spacing w:before="100" w:after="100"/>
      </w:pPr>
    </w:p>
    <w:p>
      <w:pPr>
        <w:spacing w:before="100" w:after="100"/>
        <w:jc w:val="both"/>
      </w:pPr>
      <w:r>
        <w:rPr>
          <w:rFonts w:ascii="Arial" w:cs="Arial" w:eastAsia="Arial" w:hAnsi="Arial"/>
          <w:sz w:val="22"/>
          <w:szCs w:val="22"/>
        </w:rPr>
        <w:t xml:space="preserve">A natural question arises: if an EPP holds a large KX allocation, could it sell that allocation and flood the market?</w:t>
      </w:r>
    </w:p>
    <w:p>
      <w:pPr>
        <w:spacing w:before="100" w:after="100"/>
      </w:pPr>
    </w:p>
    <w:p>
      <w:pPr>
        <w:spacing w:before="100" w:after="100"/>
        <w:jc w:val="both"/>
      </w:pPr>
      <w:r>
        <w:rPr>
          <w:rFonts w:ascii="Arial" w:cs="Arial" w:eastAsia="Arial" w:hAnsi="Arial"/>
          <w:sz w:val="22"/>
          <w:szCs w:val="22"/>
        </w:rPr>
        <w:t xml:space="preserve">The answer involves four independent layers of protection.</w:t>
      </w:r>
    </w:p>
    <w:p>
      <w:pPr>
        <w:spacing w:before="100" w:after="100"/>
      </w:pPr>
    </w:p>
    <w:p>
      <w:pPr>
        <w:spacing w:before="100" w:after="100"/>
        <w:jc w:val="both"/>
      </w:pPr>
      <w:r>
        <w:rPr>
          <w:rFonts w:ascii="Arial" w:cs="Arial" w:eastAsia="Arial" w:hAnsi="Arial"/>
          <w:sz w:val="22"/>
          <w:szCs w:val="22"/>
        </w:rPr>
        <w:t xml:space="preserve">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pPr>
        <w:spacing w:before="100" w:after="100"/>
      </w:pPr>
    </w:p>
    <w:p>
      <w:pPr>
        <w:spacing w:before="100" w:after="100"/>
        <w:jc w:val="both"/>
      </w:pPr>
      <w:r>
        <w:rPr>
          <w:rFonts w:ascii="Arial" w:cs="Arial" w:eastAsia="Arial" w:hAnsi="Arial"/>
          <w:sz w:val="22"/>
          <w:szCs w:val="22"/>
        </w:rPr>
        <w:t xml:space="preserve">Layer 2 — Working capital vests gradually. EPP working capital is not transferred as a lump sum. It vests in annual tranches locked on the ChronX DAG — 5 annual tranches for HedgeKX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pPr>
        <w:spacing w:before="100" w:after="100"/>
      </w:pPr>
    </w:p>
    <w:p>
      <w:pPr>
        <w:spacing w:before="100" w:after="100"/>
        <w:jc w:val="both"/>
      </w:pPr>
      <w:r>
        <w:rPr>
          <w:rFonts w:ascii="Arial" w:cs="Arial" w:eastAsia="Arial" w:hAnsi="Arial"/>
          <w:sz w:val="22"/>
          <w:szCs w:val="22"/>
        </w:rPr>
        <w:t xml:space="preserve">Layer 3 — Bond slashing requires public notice and a 30-day countdown. If an EPP misuses its released working capital, the Foundation publishes a Notice of Intent to Slash via a DrawRequest action on the DAG — publicly visible to everyone immediately. This begins a protocol-enforced 30-day countdown during which the EPP can resolve the issue. If resolved, the DrawRequest is aborted. If not, the slash executes automatically. The Foundation cannot accelerate the 30-day window. The Board cannot override it. The 30-day window provides public notice and market transparency before any slash executes.</w:t>
      </w:r>
    </w:p>
    <w:p>
      <w:pPr>
        <w:spacing w:before="100" w:after="100"/>
      </w:pPr>
    </w:p>
    <w:p>
      <w:pPr>
        <w:spacing w:before="100" w:after="100"/>
        <w:jc w:val="both"/>
      </w:pPr>
      <w:r>
        <w:rPr>
          <w:rFonts w:ascii="Arial" w:cs="Arial" w:eastAsia="Arial" w:hAnsi="Arial"/>
          <w:sz w:val="22"/>
          <w:szCs w:val="22"/>
        </w:rP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DrawRequest against the EPP’s bond and ultimately revocation of their franchise. The EPP would lose their operating authority, their bond, and their role — assigned to a qualified successor. This makes such behavior economically irrational for any EPP with a long-term view.</w:t>
      </w:r>
    </w:p>
    <w:p>
      <w:pPr>
        <w:spacing w:before="100" w:after="100"/>
      </w:pPr>
    </w:p>
    <w:p>
      <w:pPr>
        <w:spacing w:before="100" w:after="100"/>
        <w:jc w:val="both"/>
      </w:pPr>
      <w:r>
        <w:rPr>
          <w:rFonts w:ascii="Arial" w:cs="Arial" w:eastAsia="Arial" w:hAnsi="Arial"/>
          <w:sz w:val="22"/>
          <w:szCs w:val="22"/>
        </w:rP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DrawRequest process runs to completion.</w:t>
      </w:r>
    </w:p>
    <w:p>
      <w:pPr>
        <w:spacing w:before="100" w:after="100"/>
      </w:pPr>
    </w:p>
    <w:p>
      <w:pPr>
        <w:spacing w:before="100" w:after="100"/>
        <w:jc w:val="both"/>
      </w:pPr>
      <w:r>
        <w:rPr>
          <w:rFonts w:ascii="Arial" w:cs="Arial" w:eastAsia="Arial" w:hAnsi="Arial"/>
          <w:sz w:val="22"/>
          <w:szCs w:val="22"/>
        </w:rPr>
        <w:t xml:space="preserve">The four layers together: Bond (TYPE B, 100-year lock): Cannot be sold. Cannot be moved. Mathematics enforces this. Working capital (cascade locks, 5—10 years): Most does not yet exist as spendable KX. Future tranches are immovable on the DAG. DrawRequest (30-day public countdown): Any misuse triggers immediate public notice. Market observes before slash executes. Franchise loss (governance mandate): Economic deterrent. Misuse costs more than it gains for any long-horizon operator.</w:t>
      </w:r>
    </w:p>
    <w:p>
      <w:pPr>
        <w:spacing w:before="100" w:after="100"/>
      </w:pPr>
    </w:p>
    <w:p>
      <w:pPr>
        <w:pStyle w:val="Heading1"/>
        <w:spacing w:before="480" w:after="240"/>
      </w:pPr>
      <w:r>
        <w:rPr>
          <w:rFonts w:ascii="Arial" w:cs="Arial" w:eastAsia="Arial" w:hAnsi="Arial"/>
          <w:b/>
          <w:bCs/>
          <w:color w:val="1F4E79"/>
          <w:sz w:val="34"/>
          <w:szCs w:val="34"/>
        </w:rPr>
        <w:t xml:space="preserve">4.10 Regulatory Framework and KYC</w:t>
      </w:r>
    </w:p>
    <w:p>
      <w:pPr>
        <w:spacing w:before="100" w:after="100"/>
      </w:pPr>
    </w:p>
    <w:p>
      <w:pPr>
        <w:spacing w:before="100" w:after="100"/>
        <w:jc w:val="both"/>
      </w:pPr>
      <w:r>
        <w:rPr>
          <w:rFonts w:ascii="Arial" w:cs="Arial" w:eastAsia="Arial" w:hAnsi="Arial"/>
          <w:sz w:val="22"/>
          <w:szCs w:val="22"/>
        </w:rPr>
        <w:t xml:space="preserve">The ChronX Protocol is designed to accommodate patient, full regulatory compliance in each jurisdiction where its Essential Protocol Partners operate. Each EPP is being established as a United States entity — initially in New York or Delaware — with regulatory filings in progress. International domiciles will be added as the ecosystem develops and specific jurisdictional requirements emerge.</w:t>
      </w:r>
    </w:p>
    <w:p>
      <w:pPr>
        <w:spacing w:before="100" w:after="100"/>
      </w:pPr>
    </w:p>
    <w:p>
      <w:pPr>
        <w:spacing w:before="100" w:after="100"/>
        <w:jc w:val="both"/>
      </w:pPr>
      <w:r>
        <w:rPr>
          <w:rFonts w:ascii="Arial" w:cs="Arial" w:eastAsia="Arial" w:hAnsi="Arial"/>
          <w:sz w:val="22"/>
          <w:szCs w:val="22"/>
        </w:rPr>
        <w:t xml:space="preserve">Planned US regulatory filings per EPP:</w:t>
      </w:r>
    </w:p>
    <w:p>
      <w:pPr>
        <w:spacing w:before="100" w:after="100"/>
      </w:pPr>
    </w:p>
    <w:p>
      <w:pPr>
        <w:spacing w:before="100" w:after="100"/>
        <w:jc w:val="both"/>
      </w:pPr>
      <w:r>
        <w:rPr>
          <w:rFonts w:ascii="Arial" w:cs="Arial" w:eastAsia="Arial" w:hAnsi="Arial"/>
          <w:sz w:val="22"/>
          <w:szCs w:val="22"/>
        </w:rPr>
        <w:t xml:space="preserve">HedgeKX (New York): forward currency exchange. NFA membership and CFTC registration.</w:t>
      </w:r>
    </w:p>
    <w:p>
      <w:pPr>
        <w:spacing w:before="100" w:after="100"/>
      </w:pPr>
    </w:p>
    <w:p>
      <w:pPr>
        <w:spacing w:before="100" w:after="100"/>
        <w:jc w:val="both"/>
      </w:pPr>
      <w:r>
        <w:rPr>
          <w:rFonts w:ascii="Arial" w:cs="Arial" w:eastAsia="Arial" w:hAnsi="Arial"/>
          <w:sz w:val="22"/>
          <w:szCs w:val="22"/>
        </w:rPr>
        <w:t xml:space="preserve">KXGC (New York / Delaware): insurance holding company. NYDFS or risk retention group structure.</w:t>
      </w:r>
    </w:p>
    <w:p>
      <w:pPr>
        <w:spacing w:before="100" w:after="100"/>
      </w:pPr>
    </w:p>
    <w:p>
      <w:pPr>
        <w:spacing w:before="100" w:after="100"/>
        <w:jc w:val="both"/>
      </w:pPr>
      <w:r>
        <w:rPr>
          <w:rFonts w:ascii="Arial" w:cs="Arial" w:eastAsia="Arial" w:hAnsi="Arial"/>
          <w:sz w:val="22"/>
          <w:szCs w:val="22"/>
        </w:rPr>
        <w:t xml:space="preserve">XChan (New York): digital asset exchange. NYDFS BitLicense.</w:t>
      </w:r>
    </w:p>
    <w:p>
      <w:pPr>
        <w:spacing w:before="100" w:after="100"/>
      </w:pPr>
    </w:p>
    <w:p>
      <w:pPr>
        <w:spacing w:before="100" w:after="100"/>
        <w:jc w:val="both"/>
      </w:pPr>
      <w:r>
        <w:rPr>
          <w:rFonts w:ascii="Arial" w:cs="Arial" w:eastAsia="Arial" w:hAnsi="Arial"/>
          <w:sz w:val="22"/>
          <w:szCs w:val="22"/>
        </w:rPr>
        <w:t xml:space="preserve">MISAI (Delaware): AI-managed investment mandates. SEC registered investment adviser or exempt reporting adviser.</w:t>
      </w:r>
    </w:p>
    <w:p>
      <w:pPr>
        <w:spacing w:before="100" w:after="100"/>
      </w:pPr>
    </w:p>
    <w:p>
      <w:pPr>
        <w:spacing w:before="100" w:after="100"/>
        <w:jc w:val="both"/>
      </w:pPr>
      <w:r>
        <w:rPr>
          <w:rFonts w:ascii="Arial" w:cs="Arial" w:eastAsia="Arial" w:hAnsi="Arial"/>
          <w:sz w:val="22"/>
          <w:szCs w:val="22"/>
        </w:rPr>
        <w:t xml:space="preserve">Verifas (New York): identity attestation and human verification. General business entity; specific licensing assessed per activity scope.</w:t>
      </w:r>
    </w:p>
    <w:p>
      <w:pPr>
        <w:spacing w:before="100" w:after="100"/>
      </w:pPr>
    </w:p>
    <w:p>
      <w:pPr>
        <w:spacing w:before="100" w:after="100"/>
        <w:jc w:val="both"/>
      </w:pPr>
      <w:r>
        <w:rPr>
          <w:rFonts w:ascii="Arial" w:cs="Arial" w:eastAsia="Arial" w:hAnsi="Arial"/>
          <w:sz w:val="22"/>
          <w:szCs w:val="22"/>
        </w:rPr>
        <w:t xml:space="preserve">CPNX (Delaware): identity verification and KYC attestation. FCRA compliance and applicable state licensing.</w:t>
      </w:r>
    </w:p>
    <w:p>
      <w:pPr>
        <w:spacing w:before="100" w:after="100"/>
      </w:pPr>
    </w:p>
    <w:p>
      <w:pPr>
        <w:spacing w:before="100" w:after="100"/>
        <w:jc w:val="both"/>
      </w:pPr>
      <w:r>
        <w:rPr>
          <w:rFonts w:ascii="Arial" w:cs="Arial" w:eastAsia="Arial" w:hAnsi="Arial"/>
          <w:sz w:val="22"/>
          <w:szCs w:val="22"/>
        </w:rPr>
        <w:t xml:space="preserve">The protocol’s initial governance caps on transaction size, instrument duration, and exposure limits are designed to operate within the parameters of unlicensed activity while filings are pursued. KYC attestation for higher-value instruments is provided by CPNX using zero-knowledge cryptographic proofs — verifying eligibility without publishing identity data to the public DAG. Underlying identity records are maintained by CPNX and available to lawful regulatory authority.</w:t>
      </w:r>
    </w:p>
    <w:p>
      <w:pPr>
        <w:spacing w:before="100" w:after="100"/>
      </w:pPr>
    </w:p>
    <w:p>
      <w:pPr>
        <w:spacing w:before="100" w:after="100"/>
        <w:jc w:val="both"/>
      </w:pPr>
      <w:r>
        <w:rPr>
          <w:rFonts w:ascii="Arial" w:cs="Arial" w:eastAsia="Arial" w:hAnsi="Arial"/>
          <w:sz w:val="22"/>
          <w:szCs w:val="22"/>
        </w:rPr>
        <w:t xml:space="preserve">ChronX is not designed to evade regulation. It is designed to earn it.</w:t>
      </w:r>
    </w:p>
    <w:p>
      <w:pPr>
        <w:spacing w:before="100" w:after="100"/>
      </w:pP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5,308,965,801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64.19%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from Public Sale: 2027: 5M KX, 2028: 7.5M KX, 2029: 10M KX, 2030: 12.5M KX, 2031: 15M KX. Wallet: 5zjp4YM7RkBWk8hHN5kdv3xYhjsnXmYUJuL2vgqxHBE1</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from Public Sale: 2027: 5M, 2028: 5M, 2029: 10M, 2030: 15M, 2031: 20M, 2032: 20M, 2033: 25M, 2034: 25M, 2035: 35M, 2036: 40M KX. Wallet: G2aH9NfRFo5gdLTMjNqCRv4PkcKKEHLD99Y8vhQwSgeV</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2027—2031. Vests as market develops.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9b</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2027—2036. Vests as insurance market develops.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 exactly.</w:t>
      </w:r>
    </w:p>
    <w:p>
      <w:pPr>
        <w:spacing w:before="100" w:after="100"/>
      </w:pPr>
    </w:p>
    <w:p>
      <w:pPr>
        <w:spacing w:before="100" w:after="100"/>
        <w:jc w:val="both"/>
      </w:pPr>
      <w:r>
        <w:rPr>
          <w:rFonts w:ascii="Arial" w:cs="Arial" w:eastAsia="Arial" w:hAnsi="Arial"/>
          <w:sz w:val="22"/>
          <w:szCs w:val="22"/>
        </w:rPr>
        <w:t xml:space="preserve">DAG verification: all 15 cascade locks are permanently recorded on the ChronX DAG and queryable via chronx_getLockById:</w:t>
      </w:r>
    </w:p>
    <w:p>
      <w:pPr>
        <w:spacing w:before="100" w:after="100"/>
      </w:pPr>
    </w:p>
    <w:p>
      <w:pPr>
        <w:spacing w:before="100" w:after="100"/>
        <w:jc w:val="both"/>
      </w:pPr>
      <w:r>
        <w:rPr>
          <w:rFonts w:ascii="Arial" w:cs="Arial" w:eastAsia="Arial" w:hAnsi="Arial"/>
          <w:sz w:val="22"/>
          <w:szCs w:val="22"/>
        </w:rPr>
        <w:t xml:space="preserve">HedgeKX cascade lock IDs: Tranche 1 (5M, 2027): a68871e0f30b0eb2434c719108076793a53a7a525b3e5a5355b0d6273e037b5c. Tranche 2 (7.5M, 2028): d36fc1522094d30f0776b0a972e7efe889f8e6a7d8a54763276e511a64489104. Tranche 3 (10M, 2029): 5c328240ba0d347fda590fe007126f684303a222a6500acc2e77688990aa1f36. Tranche 4 (12.5M, 2030): 5a92eafed4df12deb3c77de31789db8140f6dd9312d1bf675243836a42b982a2. Tranche 5 (15M, 2031): f58d60478d14e90247968e3fa39eaafa8314f98659cf76873c51331ffb23d8e5.</w:t>
      </w:r>
    </w:p>
    <w:p>
      <w:pPr>
        <w:spacing w:before="100" w:after="100"/>
      </w:pPr>
    </w:p>
    <w:p>
      <w:pPr>
        <w:spacing w:before="100" w:after="100"/>
        <w:jc w:val="both"/>
      </w:pPr>
      <w:r>
        <w:rPr>
          <w:rFonts w:ascii="Arial" w:cs="Arial" w:eastAsia="Arial" w:hAnsi="Arial"/>
          <w:sz w:val="22"/>
          <w:szCs w:val="22"/>
        </w:rPr>
        <w:t xml:space="preserve">KXGC cascade lock IDs: Tranche 1 (5M, 2027): 952261a405b279ba3777eb74b3aabea828c03303cd0fbe13a9bd7bda36ffaf54. Tranche 2 (5M, 2028): c49bd4c264b9fc5712b7ded50bab1090a6c4eb1a3734f38ed7c4a71fa7bd4c6e. Tranche 3 (10M, 2029): 3ac452a0e49c5b187542110b2bf14ba6d760eecad2a9aa9369f8ebb8e96bc9c5. Tranche 4 (15M, 2030): 7e7bae4a585e9e6736e9bf16ab1821e01a8664067a5ca87deb4a87ecdc2e0ce2. Tranche 5 (20M, 2031): 3994c0ba2e06bb3593af884faff33f34865c76ae76961b753c24b093ed7fbce8. Tranche 6 (20M, 2032): bb46486160523accc581d5394faff6cba375182fabeeda079df6dc919633a96a. Tranche 7 (25M, 2033): 863801ef04462c02167df0154c1a7c972a6e0c83b09cab311acd89b71f554ae6. Tranche 8 (25M, 2034): 3d43aaec152d8f093065f07ad26572d587fa22f7945d8e1dbc05fc52b70bb0eb. Tranche 9 (35M, 2035): 5791c98c3562c304bab2f6c85571b173abcdb74e09ae7e7964b70a65b5bf714c. Tranche 10 (40M, 2036): e62075f794511caa364b7200e05235dcae928ee1bceab809b918dde347e36ba8.</w:t>
      </w:r>
    </w:p>
    <w:p>
      <w:pPr>
        <w:spacing w:before="100" w:after="100"/>
      </w:pPr>
    </w:p>
    <w:p>
      <w:pPr>
        <w:spacing w:before="100" w:after="100"/>
        <w:jc w:val="both"/>
      </w:pPr>
      <w:r>
        <w:rPr>
          <w:rFonts w:ascii="Arial" w:cs="Arial" w:eastAsia="Arial" w:hAnsi="Arial"/>
          <w:sz w:val="22"/>
          <w:szCs w:val="22"/>
        </w:rPr>
        <w:t xml:space="preserve">At all times: total KX on ChronX DAG + total wKX on Base + total h1KX on Base = 8,270,000,000 KX exactly.</w:t>
      </w:r>
    </w:p>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pPr>
        <w:spacing w:before="100" w:after="100"/>
      </w:pPr>
    </w:p>
    <w:p>
      <w:pPr>
        <w:spacing w:before="100" w:after="100"/>
        <w:jc w:val="both"/>
      </w:pPr>
      <w:r>
        <w:rPr>
          <w:rFonts w:ascii="Arial" w:cs="Arial" w:eastAsia="Arial" w:hAnsi="Arial"/>
          <w:sz w:val="22"/>
          <w:szCs w:val="22"/>
        </w:rPr>
        <w:t xml:space="preserve">DAG Lock References: HedgeKX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queryable via chronx_getLockById RPC method.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800"/>
        <w:gridCol w:w="1400"/>
        <w:gridCol w:w="28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Phase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Who</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Limit</w:t>
            </w:r>
          </w:p>
        </w:tc>
        <w:tc>
          <w:tcPr>
            <w:tcW w:type="dxa" w:w="2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Period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(Genesis Zero — Sep 21,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Anyone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$250/tx</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 No lock. No KYC. XChan market price. Governance cap applies.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Private Placement (Pre-ICO)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$0.001755—$0.002297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Accredited only</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Min $10,000</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Bilateral agreements. 12—24 month mandatory lock. Lock duration determines price. Contact: ico@chronx.io</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 September 22,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All investors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Non-accredited: $250/tx. Accredited: higher with CPNX KYC badge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One price for everyone. Private placement locks visible on DAG.</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 baseline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Ongoing XChan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Unsold public sale tokens locked in annual cascade tranches — published schedule, no surprise releases.</w:t>
            </w:r>
          </w:p>
        </w:tc>
      </w:tr>
    </w:tbl>
    <w:p>
      <w:pPr>
        <w:spacing w:before="100" w:after="100"/>
      </w:pPr>
    </w:p>
    <w:p>
      <w:pPr>
        <w:pStyle w:val="Heading2"/>
        <w:spacing w:before="320" w:after="160"/>
      </w:pPr>
      <w:r>
        <w:rPr>
          <w:rFonts w:ascii="Arial" w:cs="Arial" w:eastAsia="Arial" w:hAnsi="Arial"/>
          <w:b/>
          <w:bCs/>
          <w:color w:val="1F4E79"/>
          <w:sz w:val="28"/>
          <w:szCs w:val="28"/>
        </w:rPr>
        <w:t xml:space="preserve">Yield and Lock Duration</w:t>
      </w:r>
    </w:p>
    <w:p>
      <w:pPr>
        <w:spacing w:before="100" w:after="100"/>
      </w:pPr>
    </w:p>
    <w:p>
      <w:pPr>
        <w:spacing w:before="100" w:after="100"/>
        <w:jc w:val="both"/>
      </w:pPr>
      <w:r>
        <w:rPr>
          <w:rFonts w:ascii="Arial" w:cs="Arial" w:eastAsia="Arial" w:hAnsi="Arial"/>
          <w:sz w:val="22"/>
          <w:szCs w:val="22"/>
        </w:rPr>
        <w:t xml:space="preserve">KX purchased at ICO may be locked for any duration to earn yield from HedgeKX’s matching activity. Longer locks receive a proportionally larger share of the yield pool. There is no entry price discount for locking — one price for everyone, always. Yield is the reward for patience. It is real, earned, and grows as HedgeKX develops.</w:t>
      </w:r>
    </w:p>
    <w:p>
      <w:pPr>
        <w:spacing w:before="100" w:after="100"/>
      </w:pPr>
    </w:p>
    <w:p>
      <w:pPr>
        <w:spacing w:before="100" w:after="100"/>
        <w:jc w:val="both"/>
      </w:pPr>
      <w:r>
        <w:rPr>
          <w:rFonts w:ascii="Arial" w:cs="Arial" w:eastAsia="Arial" w:hAnsi="Arial"/>
          <w:sz w:val="22"/>
          <w:szCs w:val="22"/>
        </w:rPr>
        <w:t xml:space="preserve">At launch, yield will be minimal — HedgeKX operates overnight instruments only. Yield grows as governance expands instrument durations and matching volume increases. Investors with a multi-year horizon will see yield develop alongside the protocol. This is the opposite of a typical crypto launch: we start at near-zero yield and earn our way to real yield. Every basis point is funded by real economic activity — nothing is paid from reserves.</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1"/>
        <w:spacing w:before="480" w:after="240"/>
      </w:pPr>
      <w:r>
        <w:rPr>
          <w:rFonts w:ascii="Arial" w:cs="Arial" w:eastAsia="Arial" w:hAnsi="Arial"/>
          <w:b/>
          <w:bCs/>
          <w:color w:val="1F4E79"/>
          <w:sz w:val="34"/>
          <w:szCs w:val="34"/>
        </w:rPr>
        <w:t xml:space="preserve">8.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70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Date</w:t>
            </w:r>
          </w:p>
        </w:tc>
        <w:tc>
          <w:tcPr>
            <w:tcW w:type="dxa" w:w="7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25,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Genesis Zero locked. Protocol complete. Chain immutable.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Pre-ICO live ($0.001755—$0.002297/KX). Governance caps active.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 Sep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Institutional outreach and private placement. Target: $500K—$2M committed with 12—24 month locks before ICO day. Whitepaper AI stress test completion. EPP registration processes initiated. YubiHSM live — HedgeKX yield activated.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September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opens. One price: $0.00319. Private placement locks visible on DAG. Target: $1M day-one across all channels. Unsold tokens locked in cascade schedule.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22, 2027</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First Treasury harmonic release. Believer tier unlock.</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January 1, 2029</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XChan Uniswap routing. MISAI live AI execution. KXGC Tier 1 Name admissions. Full EPP regulatory registrations.</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A.2 Time-Locked Promise (TYPE S — Standard)</w:t>
      </w:r>
    </w:p>
    <w:p>
      <w:pPr>
        <w:spacing w:before="100" w:after="100"/>
      </w:pPr>
    </w:p>
    <w:p>
      <w:pPr>
        <w:spacing w:before="100" w:after="100"/>
        <w:jc w:val="both"/>
      </w:pPr>
      <w:r>
        <w:rPr>
          <w:rFonts w:ascii="Arial" w:cs="Arial" w:eastAsia="Arial" w:hAnsi="Arial"/>
          <w:sz w:val="22"/>
          <w:szCs w:val="22"/>
        </w:rPr>
        <w:t xml:space="preserve">TYPE_S is a time-locked promise without yield participation. It is identical to TYPE_Y in every respect — same principal guarantee, same DAG immutability, same protocol enforcement — except that it does not grant HedgeKX a minting mandate and generates no yield for the recipient.</w:t>
      </w:r>
    </w:p>
    <w:p>
      <w:pPr>
        <w:spacing w:before="100" w:after="100"/>
      </w:pPr>
    </w:p>
    <w:p>
      <w:pPr>
        <w:spacing w:before="100" w:after="100"/>
        <w:jc w:val="both"/>
      </w:pPr>
      <w:r>
        <w:rPr>
          <w:rFonts w:ascii="Arial" w:cs="Arial" w:eastAsia="Arial" w:hAnsi="Arial"/>
          <w:sz w:val="22"/>
          <w:szCs w:val="22"/>
        </w:rPr>
        <w:t xml:space="preserve">TYPE_S is the correct choice when yield participation is specifically undesirable:</w:t>
      </w:r>
    </w:p>
    <w:p>
      <w:pPr>
        <w:spacing w:before="100" w:after="100"/>
      </w:pPr>
    </w:p>
    <w:p>
      <w:pPr>
        <w:pStyle w:val="ListParagraph"/>
        <w:spacing w:before="60" w:after="60"/>
        <w:ind w:left="720"/>
      </w:pPr>
      <w:r>
        <w:rPr>
          <w:rFonts w:ascii="Arial" w:cs="Arial" w:eastAsia="Arial" w:hAnsi="Arial"/>
          <w:sz w:val="22"/>
          <w:szCs w:val="22"/>
        </w:rPr>
        <w:t xml:space="preserve">Escrow and security deposits: a tenant’s security deposit held by a landlord should not generate yield for the landlord that was not agreed at inception</w:t>
      </w:r>
    </w:p>
    <w:p>
      <w:pPr>
        <w:pStyle w:val="ListParagraph"/>
        <w:spacing w:before="60" w:after="60"/>
        <w:ind w:left="720"/>
      </w:pPr>
      <w:r>
        <w:rPr>
          <w:rFonts w:ascii="Arial" w:cs="Arial" w:eastAsia="Arial" w:hAnsi="Arial"/>
          <w:sz w:val="22"/>
          <w:szCs w:val="22"/>
        </w:rPr>
        <w:t xml:space="preserve">Legal settlements: structured settlement payments where the exact amount is legally specified and variable yield would complicate enforcement</w:t>
      </w:r>
    </w:p>
    <w:p>
      <w:pPr>
        <w:pStyle w:val="ListParagraph"/>
        <w:spacing w:before="60" w:after="60"/>
        <w:ind w:left="720"/>
      </w:pPr>
      <w:r>
        <w:rPr>
          <w:rFonts w:ascii="Arial" w:cs="Arial" w:eastAsia="Arial" w:hAnsi="Arial"/>
          <w:sz w:val="22"/>
          <w:szCs w:val="22"/>
        </w:rPr>
        <w:t xml:space="preserve">Tax considerations: grantors who do not wish the beneficiary to receive variable additional income with potential tax implications</w:t>
      </w:r>
    </w:p>
    <w:p>
      <w:pPr>
        <w:pStyle w:val="ListParagraph"/>
        <w:spacing w:before="60" w:after="60"/>
        <w:ind w:left="720"/>
      </w:pPr>
      <w:r>
        <w:rPr>
          <w:rFonts w:ascii="Arial" w:cs="Arial" w:eastAsia="Arial" w:hAnsi="Arial"/>
          <w:sz w:val="22"/>
          <w:szCs w:val="22"/>
        </w:rPr>
        <w:t xml:space="preserve">Simple intent: grantors who wish to give a specific fixed amount and nothing more</w:t>
      </w:r>
    </w:p>
    <w:p>
      <w:pPr>
        <w:pStyle w:val="ListParagraph"/>
        <w:spacing w:before="60" w:after="60"/>
        <w:ind w:left="720"/>
      </w:pPr>
      <w:r>
        <w:rPr>
          <w:rFonts w:ascii="Arial" w:cs="Arial" w:eastAsia="Arial" w:hAnsi="Arial"/>
          <w:sz w:val="22"/>
          <w:szCs w:val="22"/>
        </w:rPr>
        <w:t xml:space="preserve">Old-fashioned preference: some people simply prefer a clean fixed promise</w:t>
      </w:r>
    </w:p>
    <w:p>
      <w:pPr>
        <w:spacing w:before="100" w:after="100"/>
      </w:pPr>
    </w:p>
    <w:p>
      <w:pPr>
        <w:spacing w:before="100" w:after="100"/>
        <w:jc w:val="both"/>
      </w:pPr>
      <w:r>
        <w:rPr>
          <w:rFonts w:ascii="Arial" w:cs="Arial" w:eastAsia="Arial" w:hAnsi="Arial"/>
          <w:sz w:val="22"/>
          <w:szCs w:val="22"/>
        </w:rPr>
        <w:t xml:space="preserve">For all other time-locked promises, TYPE_Y is the recommended default. The protocol creates TYPE_Y unless the user explicitly selects TYPE_S or sets yield_opt_out.</w:t>
      </w:r>
    </w:p>
    <w:p>
      <w:pPr>
        <w:spacing w:before="100" w:after="100"/>
      </w:pPr>
    </w:p>
    <w:p>
      <w:pPr>
        <w:spacing w:before="100" w:after="100"/>
        <w:jc w:val="both"/>
      </w:pPr>
      <w:r>
        <w:rPr>
          <w:rFonts w:ascii="Arial" w:cs="Arial" w:eastAsia="Arial" w:hAnsi="Arial"/>
          <w:sz w:val="22"/>
          <w:szCs w:val="22"/>
        </w:rPr>
        <w:t xml:space="preserve">TYPE_S use cases (where fixed delivery without yield is specifically intended):</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Unclaimed action: For short-duration locks (under the governance Verifas threshold, currently 365 days), unclaimed_action defaults to RevertToSender. For locks where unlock_at exceeds the governance Verifas threshold, unclaimed_action is overridden by the three-stage Verifas suspense system. See Section 4.2.</w:t>
      </w:r>
    </w:p>
    <w:p>
      <w:pPr>
        <w:spacing w:before="100" w:after="100"/>
      </w:pPr>
    </w:p>
    <w:p>
      <w:pPr>
        <w:spacing w:before="100" w:after="100"/>
        <w:jc w:val="both"/>
      </w:pPr>
      <w:r>
        <w:rPr>
          <w:rFonts w:ascii="Arial" w:cs="Arial" w:eastAsia="Arial" w:hAnsi="Arial"/>
          <w:sz w:val="22"/>
          <w:szCs w:val="22"/>
        </w:rPr>
        <w:t xml:space="preserve">Claim window: For long-duration locks, the claim window (claim_window_secs) represents Stage 1 only. Expiry of this window triggers Stage 2 (two-party lock) rather than immediate reversion.</w:t>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A.7 TYPE Y — The Default Promise (Time-Locked with Yield Participation)</w:t>
      </w:r>
    </w:p>
    <w:p>
      <w:pPr>
        <w:spacing w:before="100" w:after="100"/>
      </w:pPr>
    </w:p>
    <w:p>
      <w:pPr>
        <w:spacing w:before="100" w:after="100"/>
        <w:jc w:val="both"/>
      </w:pPr>
      <w:r>
        <w:rPr>
          <w:rFonts w:ascii="Arial" w:cs="Arial" w:eastAsia="Arial" w:hAnsi="Arial"/>
          <w:sz w:val="22"/>
          <w:szCs w:val="22"/>
        </w:rPr>
        <w:t xml:space="preserve">TYPE_Y is the recommended default for all time-locked promises on ChronX. It is identical to TYPE_S in every respect — same principal guarantee, same immutability, same DAG enforcement — with one addition: it automatically grants HedgeKX a minting mandate, enabling yield to accrue to the beneficiary’s separate yield balance from real economic activity.</w:t>
      </w:r>
    </w:p>
    <w:p>
      <w:pPr>
        <w:spacing w:before="100" w:after="100"/>
      </w:pPr>
    </w:p>
    <w:p>
      <w:pPr>
        <w:spacing w:before="100" w:after="100"/>
        <w:jc w:val="both"/>
      </w:pPr>
      <w:r>
        <w:rPr>
          <w:rFonts w:ascii="Arial" w:cs="Arial" w:eastAsia="Arial" w:hAnsi="Arial"/>
          <w:sz w:val="22"/>
          <w:szCs w:val="22"/>
        </w:rPr>
        <w:t xml:space="preserve">There is no cost to the grantor. There is no risk to the principal. The yield belongs to whoever the promise was made to — not to the grantor. It accumulates in a separate balance that never decreases, claimable at any time.</w:t>
      </w:r>
    </w:p>
    <w:p>
      <w:pPr>
        <w:spacing w:before="100" w:after="100"/>
      </w:pPr>
    </w:p>
    <w:p>
      <w:pPr>
        <w:spacing w:before="100" w:after="100"/>
        <w:jc w:val="both"/>
      </w:pPr>
      <w:r>
        <w:rPr>
          <w:rFonts w:ascii="Arial" w:cs="Arial" w:eastAsia="Arial" w:hAnsi="Arial"/>
          <w:sz w:val="22"/>
          <w:szCs w:val="22"/>
        </w:rPr>
        <w:t xml:space="preserve">Grantors who specifically do not want yield participation use TYPE_S instead, or set yield_opt_out at TYPE_Y lock creation. Common reasons: escrow instruments, legal settlements, tax considerations, or simple preference for a fixed delivery amount. See A.2 for the complete list of TYPE_S use cases.</w:t>
      </w:r>
    </w:p>
    <w:p>
      <w:pPr>
        <w:spacing w:before="100" w:after="100"/>
      </w:pPr>
    </w:p>
    <w:p>
      <w:pPr>
        <w:spacing w:before="100" w:after="100"/>
        <w:jc w:val="both"/>
      </w:pPr>
      <w:r>
        <w:rPr>
          <w:rFonts w:ascii="Arial" w:cs="Arial" w:eastAsia="Arial" w:hAnsi="Arial"/>
          <w:sz w:val="22"/>
          <w:szCs w:val="22"/>
        </w:rPr>
        <w:t xml:space="preserve">The wallet creates TYPE_Y by default. The user must explicitly choose TYPE_S or set yield_opt_out to suppress yield participation.</w:t>
      </w:r>
    </w:p>
    <w:p>
      <w:pPr>
        <w:spacing w:before="100" w:after="100"/>
      </w:pPr>
    </w:p>
    <w:p>
      <w:pPr>
        <w:spacing w:before="100" w:after="100"/>
        <w:jc w:val="both"/>
      </w:pPr>
      <w:r>
        <w:rPr>
          <w:rFonts w:ascii="Arial" w:cs="Arial" w:eastAsia="Arial" w:hAnsi="Arial"/>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pStyle w:val="ListParagraph"/>
        <w:spacing w:before="60" w:after="60"/>
        <w:ind w:left="720"/>
      </w:pPr>
      <w:r>
        <w:rPr>
          <w:rFonts w:ascii="Arial" w:cs="Arial" w:eastAsia="Arial" w:hAnsi="Arial"/>
          <w:sz w:val="22"/>
          <w:szCs w:val="22"/>
        </w:rPr>
        <w:t xml:space="preserve">Standard promise (the default): any time-locked transfer where the grantor intends to give KX and has no reason to suppress the yield bonus for the recipient</w:t>
      </w:r>
    </w:p>
    <w:p>
      <w:pPr>
        <w:pStyle w:val="ListParagraph"/>
        <w:spacing w:before="60" w:after="60"/>
        <w:ind w:left="720"/>
      </w:pPr>
      <w:r>
        <w:rPr>
          <w:rFonts w:ascii="Arial" w:cs="Arial" w:eastAsia="Arial" w:hAnsi="Arial"/>
          <w:sz w:val="22"/>
          <w:szCs w:val="22"/>
        </w:rPr>
        <w:t xml:space="preserve">Long-horizon promises: 10-year, 20-year gifts and inheritance arrangements where yield accumulates meaningfully over time for the beneficiary</w:t>
      </w:r>
    </w:p>
    <w:p>
      <w:pPr>
        <w:pStyle w:val="ListParagraph"/>
        <w:spacing w:before="60" w:after="60"/>
        <w:ind w:left="720"/>
      </w:pPr>
      <w:r>
        <w:rPr>
          <w:rFonts w:ascii="Arial" w:cs="Arial" w:eastAsia="Arial" w:hAnsi="Arial"/>
          <w:sz w:val="22"/>
          <w:szCs w:val="22"/>
        </w:rPr>
        <w:t xml:space="preserve">ICO participant locks: KX purchased at ICO and locked for any duration automatically participates in HedgeKX yield — the lock duration determines the share of the yield pool</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Long-duration TYPE_Y locks — whether made to oneself or to another party — follow the same three-stage Verifas suspense system as long-duration TYPE_S locks. A TYPE_Y savings lock made to oneself for two years is still subject to this system: if the lock holder dies before claiming, their estate can approach Verifas for co-signature release during Stage 2, rather than the KX reverting to an unreachable wallet. Short-duration TYPE_Y locks (under the governance Verifas threshold, currently one year) are unaffected — they revert to sender as normal.</w:t>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2"/>
        <w:spacing w:before="320" w:after="160"/>
      </w:pPr>
      <w:r>
        <w:rPr>
          <w:rFonts w:ascii="Arial" w:cs="Arial" w:eastAsia="Arial" w:hAnsi="Arial"/>
          <w:b/>
          <w:bCs/>
          <w:color w:val="1F4E79"/>
          <w:sz w:val="28"/>
          <w:szCs w:val="28"/>
        </w:rPr>
        <w:t xml:space="preserve">E.2 Bond vs Operating Capital — The Distinction</w:t>
      </w:r>
    </w:p>
    <w:p>
      <w:pPr>
        <w:spacing w:before="100" w:after="100"/>
      </w:pPr>
    </w:p>
    <w:p>
      <w:pPr>
        <w:spacing w:before="100" w:after="100"/>
        <w:jc w:val="both"/>
      </w:pPr>
      <w:r>
        <w:rPr>
          <w:rFonts w:ascii="Arial" w:cs="Arial" w:eastAsia="Arial" w:hAnsi="Arial"/>
          <w:sz w:val="22"/>
          <w:szCs w:val="22"/>
        </w:rPr>
        <w:t xml:space="preserve">The EPP bond table above lists bond KX only — the 100-year TYPE B locks lent to the Foundation. This is distinct from EPP operating capital.</w:t>
      </w:r>
    </w:p>
    <w:p>
      <w:pPr>
        <w:spacing w:before="100" w:after="100"/>
      </w:pPr>
    </w:p>
    <w:p>
      <w:pPr>
        <w:spacing w:before="100" w:after="100"/>
        <w:jc w:val="both"/>
      </w:pPr>
      <w:r>
        <w:rPr>
          <w:rFonts w:ascii="Arial" w:cs="Arial" w:eastAsia="Arial" w:hAnsi="Arial"/>
          <w:sz w:val="22"/>
          <w:szCs w:val="22"/>
        </w:rPr>
        <w:t xml:space="preserve">EPP bond KX: TYPE B lock. 100-year term. 0% interest. Held by Foundation. Cannot be sold, moved, or accessed by the EPP for any purpose. Subject to DrawRequest slashing only.</w:t>
      </w:r>
    </w:p>
    <w:p>
      <w:pPr>
        <w:spacing w:before="100" w:after="100"/>
      </w:pPr>
    </w:p>
    <w:p>
      <w:pPr>
        <w:spacing w:before="100" w:after="100"/>
        <w:jc w:val="both"/>
      </w:pPr>
      <w:r>
        <w:rPr>
          <w:rFonts w:ascii="Arial" w:cs="Arial" w:eastAsia="Arial" w:hAnsi="Arial"/>
          <w:sz w:val="22"/>
          <w:szCs w:val="22"/>
        </w:rPr>
        <w:t xml:space="preserve">EPP operating capital KX: Cascade time-locks. 5—10 year vesting. Held by EPP operations wallet. Released in annual tranches. Subject to governance reasonable-use mandate. See Section 4.9 for complete protection framework.</w:t>
      </w:r>
    </w:p>
    <w:p>
      <w:pPr>
        <w:spacing w:before="100" w:after="100"/>
      </w:pPr>
    </w:p>
    <w:p>
      <w:pPr>
        <w:spacing w:before="100" w:after="100"/>
        <w:jc w:val="both"/>
      </w:pPr>
      <w:r>
        <w:rPr>
          <w:rFonts w:ascii="Arial" w:cs="Arial" w:eastAsia="Arial" w:hAnsi="Arial"/>
          <w:sz w:val="22"/>
          <w:szCs w:val="22"/>
        </w:rPr>
        <w:t xml:space="preserve">Current EPP operating capital allocations:</w:t>
      </w:r>
    </w:p>
    <w:p>
      <w:pPr>
        <w:spacing w:before="100" w:after="100"/>
      </w:pPr>
    </w:p>
    <w:p>
      <w:pPr>
        <w:spacing w:before="100" w:after="100"/>
        <w:jc w:val="both"/>
      </w:pPr>
      <w:r>
        <w:rPr>
          <w:rFonts w:ascii="Arial" w:cs="Arial" w:eastAsia="Arial" w:hAnsi="Arial"/>
          <w:sz w:val="22"/>
          <w:szCs w:val="22"/>
        </w:rPr>
        <w:t xml:space="preserve">HedgeKX: 50,000,000 KX. Wallet: 5zjp4YM7RkBWk8hHN5kdv3xYhjsnXmYUJuL2vgqxHBE1. Schedule: 5 annual tranches 2027—2031. Tranches: 5M / 7.5M / 10M / 12.5M / 15M KX.</w:t>
      </w:r>
    </w:p>
    <w:p>
      <w:pPr>
        <w:spacing w:before="100" w:after="100"/>
      </w:pPr>
    </w:p>
    <w:p>
      <w:pPr>
        <w:spacing w:before="100" w:after="100"/>
        <w:jc w:val="both"/>
      </w:pPr>
      <w:r>
        <w:rPr>
          <w:rFonts w:ascii="Arial" w:cs="Arial" w:eastAsia="Arial" w:hAnsi="Arial"/>
          <w:sz w:val="22"/>
          <w:szCs w:val="22"/>
        </w:rPr>
        <w:t xml:space="preserve">KXGC: 200,000,000 KX. Wallet: G2aH9NfRFo5gdLTMjNqCRv4PkcKKEHLD99Y8vhQwSgeV. Schedule: 10 annual tranches 2027—2036. Tranches: 5M / 5M / 10M / 15M / 20M / 20M / 25M / 25M / 35M / 40M KX.</w:t>
      </w:r>
    </w:p>
    <w:p>
      <w:pPr>
        <w:spacing w:before="100" w:after="100"/>
      </w:pP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pStyle w:val="Heading2"/>
        <w:spacing w:before="320" w:after="160"/>
      </w:pPr>
      <w:r>
        <w:rPr>
          <w:rFonts w:ascii="Arial" w:cs="Arial" w:eastAsia="Arial" w:hAnsi="Arial"/>
          <w:b/>
          <w:bCs/>
          <w:color w:val="1F4E79"/>
          <w:sz w:val="28"/>
          <w:szCs w:val="28"/>
        </w:rPr>
        <w:t xml:space="preserve">G.13 Verifas Suspense System</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verifas_long_duration_threshold_days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Locks with unlock_at above this threshold are subject to the three-stage Verifas suspense system rather than simple RevertToSender.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verifas_stage1_days_wallet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 wallet-recipient long-duration lock enters Stage 2 (two-party). Minimum: 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an email-recipient long-duration lock enters Stage 2. Default 0 — email locks enter two-party mode immediately on maturity to protect against future email infrastructure compromise.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verifas_stage2_days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2555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Stage 2 (two-party lock) before sole custody transfers to Verifas. Default ~7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verifas_custody_days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36500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Verifas sole custody before KX transfers to Humanity Stake. Default ~100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verifas_fee_basis_points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TBD</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Governance-approved fee paid to Verifas bonded attestor at successful Stage 2 or Stage 3 release. Paid from the lock value at time of release.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100" w:after="100"/>
      </w:pPr>
    </w:p>
    <w:p>
      <w:pPr>
        <w:pStyle w:val="Heading3"/>
        <w:spacing w:before="240" w:after="120"/>
      </w:pPr>
      <w:r>
        <w:rPr>
          <w:rFonts w:ascii="Arial" w:cs="Arial" w:eastAsia="Arial" w:hAnsi="Arial"/>
          <w:b/>
          <w:bCs/>
          <w:color w:val="1F4E79"/>
          <w:sz w:val="24"/>
          <w:szCs w:val="24"/>
        </w:rPr>
        <w:t xml:space="preserve">The Excess and Surplus Lines Entry Point</w:t>
      </w:r>
    </w:p>
    <w:p>
      <w:pPr>
        <w:spacing w:before="100" w:after="100"/>
      </w:pPr>
    </w:p>
    <w:p>
      <w:pPr>
        <w:spacing w:before="100" w:after="100"/>
        <w:jc w:val="both"/>
      </w:pPr>
      <w:r>
        <w:rPr>
          <w:rFonts w:ascii="Arial" w:cs="Arial" w:eastAsia="Arial" w:hAnsi="Arial"/>
          <w:sz w:val="22"/>
          <w:szCs w:val="22"/>
        </w:rPr>
        <w:t xml:space="preserve">The simplest first product for a new KXGC Tier 1 Name is excess and surplus lines coverage — sitting above a policyholder’s existing primary policy limit. This requires no displacement of the existing carrier relationship and no regulatory competition with admitted carriers.</w:t>
      </w:r>
    </w:p>
    <w:p>
      <w:pPr>
        <w:spacing w:before="100" w:after="100"/>
      </w:pPr>
    </w:p>
    <w:p>
      <w:pPr>
        <w:spacing w:before="100" w:after="100"/>
        <w:jc w:val="both"/>
      </w:pPr>
      <w:r>
        <w:rPr>
          <w:rFonts w:ascii="Arial" w:cs="Arial" w:eastAsia="Arial" w:hAnsi="Arial"/>
          <w:sz w:val="22"/>
          <w:szCs w:val="22"/>
        </w:rPr>
        <w:t xml:space="preserve">Instrument design for excess coverage: condition_type: OracleTrigger or SingleAttestation (oracle attests loss event at the covered property). linked_instrument_id: reference to primary carrier settlement record (LinkedSpring — KXGC instrument activates only after primary is documented as exhausted). pay_as: UsdEquivalentAtMaturity (pays USD equivalent of the excess loss amount). escalation_wallet: KXGC bond wallet (for Tier 1 failure scenarios).</w:t>
      </w:r>
    </w:p>
    <w:p>
      <w:pPr>
        <w:spacing w:before="100" w:after="100"/>
      </w:pPr>
    </w:p>
    <w:p>
      <w:pPr>
        <w:spacing w:before="100" w:after="100"/>
        <w:jc w:val="both"/>
      </w:pPr>
      <w:r>
        <w:rPr>
          <w:rFonts w:ascii="Arial" w:cs="Arial" w:eastAsia="Arial" w:hAnsi="Arial"/>
          <w:sz w:val="22"/>
          <w:szCs w:val="22"/>
        </w:rPr>
        <w:t xml:space="preserve">Individual risk pricing via CPNX: Before underwriting, the Tier 1 Name requests CPNX attestation of the property’s risk characteristics: distance to fire station, construction type, fire clearance, claims history, title status. These are recorded on the DAG as TYPE L entries. The Tier 1 Name prices the excess premium against the individual attested risk — not pool averages. A property one block from the fire station on non-combustible ground receives dramatically better pricing than the pool rate.</w:t>
      </w:r>
    </w:p>
    <w:p>
      <w:pPr>
        <w:spacing w:before="100" w:after="100"/>
      </w:pPr>
    </w:p>
    <w:p>
      <w:pPr>
        <w:spacing w:before="100" w:after="100"/>
        <w:jc w:val="both"/>
      </w:pPr>
      <w:r>
        <w:rPr>
          <w:rFonts w:ascii="Arial" w:cs="Arial" w:eastAsia="Arial" w:hAnsi="Arial"/>
          <w:sz w:val="22"/>
          <w:szCs w:val="22"/>
        </w:rPr>
        <w:t xml:space="preserve">Micropayment coverage is equally viable: The protocol processes a 10 KX conditional payment at zero cost. Tier 1 Names can write coverage for small parametric events — flight delays, weather triggers, delivery failures, gig worker income protection — that traditional insurance cannot serve economically. The claim size floor is determined by KX’s value, not by processing overhead.</w:t>
      </w:r>
    </w:p>
    <w:p>
      <w:pPr>
        <w:spacing w:before="100" w:after="100"/>
      </w:pP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sz w:val="22"/>
          <w:szCs w:val="22"/>
        </w:rPr>
        <w:t xml:space="preserve">Who this is for: estate planners, trust attorneys, family offices, anyone making promises that outlast contact information.</w:t>
      </w:r>
    </w:p>
    <w:p>
      <w:pPr>
        <w:spacing w:before="100" w:after="100"/>
      </w:pPr>
    </w:p>
    <w:p>
      <w:pPr>
        <w:spacing w:before="100" w:after="100"/>
        <w:jc w:val="both"/>
      </w:pPr>
      <w:r>
        <w:rPr>
          <w:rFonts w:ascii="Arial" w:cs="Arial" w:eastAsia="Arial" w:hAnsi="Arial"/>
          <w:sz w:val="22"/>
          <w:szCs w:val="22"/>
        </w:rPr>
        <w:t xml:space="preserve">What happens at maturity:</w:t>
      </w:r>
    </w:p>
    <w:p>
      <w:pPr>
        <w:spacing w:before="100" w:after="100"/>
      </w:pPr>
    </w:p>
    <w:p>
      <w:pPr>
        <w:spacing w:before="100" w:after="100"/>
        <w:jc w:val="both"/>
      </w:pPr>
      <w:r>
        <w:rPr>
          <w:rFonts w:ascii="Arial" w:cs="Arial" w:eastAsia="Arial" w:hAnsi="Arial"/>
          <w:sz w:val="22"/>
          <w:szCs w:val="22"/>
        </w:rPr>
        <w:t xml:space="preserve">Lock matures. Recipient has the Stage 1 window to self-claim (governance-set: default 90 days for wallet locks, default 0 days for email locks).</w:t>
      </w:r>
    </w:p>
    <w:p>
      <w:pPr>
        <w:spacing w:before="100" w:after="100"/>
      </w:pPr>
    </w:p>
    <w:p>
      <w:pPr>
        <w:spacing w:before="100" w:after="100"/>
        <w:jc w:val="both"/>
      </w:pPr>
      <w:r>
        <w:rPr>
          <w:rFonts w:ascii="Arial" w:cs="Arial" w:eastAsia="Arial" w:hAnsi="Arial"/>
          <w:sz w:val="22"/>
          <w:szCs w:val="22"/>
        </w:rPr>
        <w:t xml:space="preserve">After Stage 1: The lock automatically converts to a two-party lock requiring both the recipient’s signature and a Verifas bonded attestor’s co-signature. Neither party has custody. The KX has not moved. The recipient can still claim at any time during Stage 2 — they simply need Verifas attestation to co-sign.</w:t>
      </w:r>
    </w:p>
    <w:p>
      <w:pPr>
        <w:spacing w:before="100" w:after="100"/>
      </w:pPr>
    </w:p>
    <w:p>
      <w:pPr>
        <w:spacing w:before="100" w:after="100"/>
        <w:jc w:val="both"/>
      </w:pPr>
      <w:r>
        <w:rPr>
          <w:rFonts w:ascii="Arial" w:cs="Arial" w:eastAsia="Arial" w:hAnsi="Arial"/>
          <w:sz w:val="22"/>
          <w:szCs w:val="22"/>
        </w:rPr>
        <w:t xml:space="preserve">After Stage 2 (governance-set extended inactivity, default 7 years): Sole custody transfers to Verifas for active estate resolution.</w:t>
      </w:r>
    </w:p>
    <w:p>
      <w:pPr>
        <w:spacing w:before="100" w:after="100"/>
      </w:pPr>
    </w:p>
    <w:p>
      <w:pPr>
        <w:spacing w:before="100" w:after="100"/>
        <w:jc w:val="both"/>
      </w:pPr>
      <w:r>
        <w:rPr>
          <w:rFonts w:ascii="Arial" w:cs="Arial" w:eastAsia="Arial" w:hAnsi="Arial"/>
          <w:sz w:val="22"/>
          <w:szCs w:val="22"/>
        </w:rPr>
        <w:t xml:space="preserve">If unclaimed after Verifas custody window (default 100 years): KX transfers to Humanity Stake.</w:t>
      </w:r>
    </w:p>
    <w:p>
      <w:pPr>
        <w:spacing w:before="100" w:after="100"/>
      </w:pPr>
    </w:p>
    <w:p>
      <w:pPr>
        <w:spacing w:before="100" w:after="100"/>
        <w:jc w:val="both"/>
      </w:pPr>
      <w:r>
        <w:rPr>
          <w:rFonts w:ascii="Arial" w:cs="Arial" w:eastAsia="Arial" w:hAnsi="Arial"/>
          <w:sz w:val="22"/>
          <w:szCs w:val="22"/>
        </w:rPr>
        <w:t xml:space="preserve">A note on the beneficiary_package: Attaching a beneficiary_package at lock creation — even a minimal one containing just an email address or identifier — gives Verifas richer information to work with. It is not required to trigger the two-party lock or the Verifas process. But it increases the probability of successful delivery. For high-value long-duration locks, a complete beneficiary package is strongly recommended.</w:t>
      </w:r>
    </w:p>
    <w:p>
      <w:pPr>
        <w:spacing w:before="100" w:after="100"/>
      </w:pPr>
    </w:p>
    <w:p>
      <w:pPr>
        <w:spacing w:before="100" w:after="100"/>
        <w:jc w:val="both"/>
      </w:pPr>
      <w:r>
        <w:rPr>
          <w:rFonts w:ascii="Arial" w:cs="Arial" w:eastAsia="Arial" w:hAnsi="Arial"/>
          <w:sz w:val="22"/>
          <w:szCs w:val="22"/>
        </w:rPr>
        <w:t xml:space="preserve">When creating a long-duration email lock in the wallet, the following notice is displayed: “Due to the extended duration of this promise, if the recipient does not claim within the standard window, Verifas identity verification MAY be required before the promise can be released. Verifas will make reasonable efforts to locate the recipient — but delivery is not guaranteed for all promises.”</w:t>
      </w:r>
    </w:p>
    <w:p>
      <w:pPr>
        <w:spacing w:before="100" w:after="100"/>
      </w:pP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feature requires YubiHSM activation before public yield is enabled.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100" w:after="100"/>
      </w:pPr>
    </w:p>
    <w:p>
      <w:pPr>
        <w:spacing w:before="100" w:after="100"/>
        <w:jc w:val="both"/>
      </w:pPr>
      <w:r>
        <w:rPr>
          <w:rFonts w:ascii="Arial" w:cs="Arial" w:eastAsia="Arial" w:hAnsi="Arial"/>
          <w:sz w:val="22"/>
          <w:szCs w:val="22"/>
        </w:rPr>
        <w:t xml:space="preserve">Friendly loan hedge settlement is mandatory and automatic — not optional, not oracle-triggered, not attestation-dependent. The complete settlement mechanism is time plus payment:</w:t>
      </w:r>
    </w:p>
    <w:p>
      <w:pPr>
        <w:spacing w:before="100" w:after="100"/>
      </w:pPr>
    </w:p>
    <w:p>
      <w:pPr>
        <w:spacing w:before="100" w:after="100"/>
        <w:jc w:val="both"/>
      </w:pPr>
      <w:r>
        <w:rPr>
          <w:rFonts w:ascii="Arial" w:cs="Arial" w:eastAsia="Arial" w:hAnsi="Arial"/>
          <w:sz w:val="22"/>
          <w:szCs w:val="22"/>
        </w:rPr>
        <w:t xml:space="preserve">If the borrower repays within the loan term: repayment flows to the Base settlement address, automatically releasing the Currency B Committer’s USDC back with the yield fee, and returning the lender’s KX collateral. No human action required.</w:t>
      </w:r>
    </w:p>
    <w:p>
      <w:pPr>
        <w:spacing w:before="100" w:after="100"/>
      </w:pPr>
    </w:p>
    <w:p>
      <w:pPr>
        <w:spacing w:before="100" w:after="100"/>
        <w:jc w:val="both"/>
      </w:pPr>
      <w:r>
        <w:rPr>
          <w:rFonts w:ascii="Arial" w:cs="Arial" w:eastAsia="Arial" w:hAnsi="Arial"/>
          <w:sz w:val="22"/>
          <w:szCs w:val="22"/>
        </w:rPr>
        <w:t xml:space="preserve">If the borrower does not repay by the loan maturity date: the settlement contract automatically exercises at timeout, transferring the lender’s locked KX collateral to the Currency B Committer at the agreed locked rate. No oracle needed. No attestation needed. Time is the only trigger.</w:t>
      </w:r>
    </w:p>
    <w:p>
      <w:pPr>
        <w:spacing w:before="100" w:after="100"/>
      </w:pPr>
    </w:p>
    <w:p>
      <w:pPr>
        <w:spacing w:before="100" w:after="100"/>
        <w:jc w:val="both"/>
      </w:pPr>
      <w:r>
        <w:rPr>
          <w:rFonts w:ascii="Arial" w:cs="Arial" w:eastAsia="Arial" w:hAnsi="Arial"/>
          <w:sz w:val="22"/>
          <w:szCs w:val="22"/>
        </w:rPr>
        <w:t xml:space="preserve">This mandatory automatic settlement applies equally to all PAY_AS loans where the lender has denominated in USD and the borrower must repay in USD equivalent. Real loans — mortgages, construction draws, business lines of credit — follow the same mechanics at larger scale and longer duration. The borrower’s scheduled repayments flow automatically through the settlement mechanism. Each payment date is a known, deterministic settlement event. The Currency B Committer providing USD settlement liquidity for a PAY_AS loan is not speculating on KX price — they are providing the USD liquidity layer that makes PAY_AS instruments function, with automatic settlement on each repayment date and automatic KX collateral exercise on any missed payment.</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Pending YubiHSM arrival ~March 29–31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the Mac Mini.</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Mac Mini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spacing w:before="100" w:after="100"/>
      </w:pPr>
    </w:p>
    <w:p>
      <w:pPr>
        <w:spacing w:before="100" w:after="100"/>
        <w:jc w:val="both"/>
      </w:pPr>
      <w:r>
        <w:rPr>
          <w:rFonts w:ascii="Arial" w:cs="Arial" w:eastAsia="Arial" w:hAnsi="Arial"/>
          <w:sz w:val="22"/>
          <w:szCs w:val="22"/>
        </w:rPr>
        <w:t xml:space="preserve">CURRENT IMPLEMENTATION NOTE: The ZK light client described below is the TARGET architecture — it is not yet deployed. The current implementation uses the multi-relayer threshold scheme (3-of-5 independent relayers). The ZK light client is a near-term build priority on the post-ICO roadmap. Until it is deployed, the state root verification trust assumption is the multi-relayer scheme, not pure mathematics. The two models are described below with their respective trust assumptions clearly distinguished.</w:t>
      </w:r>
    </w:p>
    <w:p>
      <w:pPr>
        <w:spacing w:before="100" w:after="100"/>
      </w:pP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spacing w:before="100" w:after="100"/>
      </w:pPr>
    </w:p>
    <w:p>
      <w:pPr>
        <w:pStyle w:val="Heading3"/>
        <w:spacing w:before="240" w:after="120"/>
      </w:pPr>
      <w:r>
        <w:rPr>
          <w:rFonts w:ascii="Arial" w:cs="Arial" w:eastAsia="Arial" w:hAnsi="Arial"/>
          <w:b/>
          <w:bCs/>
          <w:color w:val="1F4E79"/>
          <w:sz w:val="24"/>
          <w:szCs w:val="24"/>
        </w:rPr>
        <w:t xml:space="preserve">Two Distinct Instrument Categories</w:t>
      </w:r>
    </w:p>
    <w:p>
      <w:pPr>
        <w:spacing w:before="100" w:after="100"/>
      </w:pPr>
    </w:p>
    <w:p>
      <w:pPr>
        <w:spacing w:before="100" w:after="100"/>
        <w:jc w:val="both"/>
      </w:pPr>
      <w:r>
        <w:rPr>
          <w:rFonts w:ascii="Arial" w:cs="Arial" w:eastAsia="Arial" w:hAnsi="Arial"/>
          <w:sz w:val="22"/>
          <w:szCs w:val="22"/>
        </w:rPr>
        <w:t xml:space="preserve">HedgeKX facilitates two fundamentally different categories of instrument that share the same underlying settlement infrastructure but differ in their economic character and exercise mechanics.</w:t>
      </w:r>
    </w:p>
    <w:p>
      <w:pPr>
        <w:spacing w:before="100" w:after="100"/>
      </w:pPr>
    </w:p>
    <w:p>
      <w:pPr>
        <w:spacing w:before="100" w:after="100"/>
        <w:jc w:val="both"/>
      </w:pPr>
      <w:r>
        <w:rPr>
          <w:rFonts w:ascii="Arial" w:cs="Arial" w:eastAsia="Arial" w:hAnsi="Arial"/>
          <w:sz w:val="22"/>
          <w:szCs w:val="22"/>
        </w:rPr>
        <w:t xml:space="preserve">Category 1 — Settlement-liquidity instruments (friendly loans, PAY_AS loans, KXGC premium float deployment): The Currency B Committer provides USD settlement liquidity for obligations that have contractually obligated repayment or known scheduled cash flows. Exercise is mandatory and automatic — governed entirely by time and payment receipt, with no oracle and no human attestation. The Currency B Committer is not accepting speculative KX price risk in the traditional sense. They are providing the USD layer that makes PAY_AS instruments function, earning approximately 12% annualized on 30-day instruments, and receiving KX collateral at the locked rate only if the obligor fails to perform. This category is available from day one and provides HedgeKX’s organic baseline activity.</w:t>
      </w:r>
    </w:p>
    <w:p>
      <w:pPr>
        <w:spacing w:before="100" w:after="100"/>
      </w:pPr>
    </w:p>
    <w:p>
      <w:pPr>
        <w:spacing w:before="100" w:after="100"/>
        <w:jc w:val="both"/>
      </w:pPr>
      <w:r>
        <w:rPr>
          <w:rFonts w:ascii="Arial" w:cs="Arial" w:eastAsia="Arial" w:hAnsi="Arial"/>
          <w:sz w:val="22"/>
          <w:szCs w:val="22"/>
        </w:rPr>
        <w:t xml:space="preserve">Category 2 — Traditional forward exchange (external yield-seeking capital accepting directional KX risk): The Currency B Committer commits USDC with full awareness that KX’s price may move against them during the commitment period. Exercise depends on market conditions and hedge terms. This is the mature market instrument that develops as KX accumulates price history and external participants evaluate the risk-return profile of directional KX exposure. This category develops over time as the ecosystem matures.</w:t>
      </w:r>
    </w:p>
    <w:p>
      <w:pPr>
        <w:spacing w:before="100" w:after="100"/>
      </w:pPr>
    </w:p>
    <w:p>
      <w:pPr>
        <w:spacing w:before="100" w:after="100"/>
        <w:jc w:val="both"/>
      </w:pPr>
      <w:r>
        <w:rPr>
          <w:rFonts w:ascii="Arial" w:cs="Arial" w:eastAsia="Arial" w:hAnsi="Arial"/>
          <w:sz w:val="22"/>
          <w:szCs w:val="22"/>
        </w:rPr>
        <w:t xml:space="preserve">KXGC participates in both categories simultaneously: as an Exchange Buyer locking KX collateral to hedge its claim liabilities (Category 2), and as a Currency B Committer deploying its premium float as settlement liquidity to earn yield on reserves (Category 1). This natural two-sided participation means KXGC is self-financing its own hedge book — premium income funds the Currency B Committer position that generates yield, while the Exchange Buyer position protects claim-paying capacity. Standard insurance treasury management, implemented on a DAG.</w:t>
      </w:r>
    </w:p>
    <w:p>
      <w:pPr>
        <w:spacing w:before="100" w:after="100"/>
      </w:pP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