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360"/>
        <w:jc w:val="center"/>
      </w:pPr>
      <w:r>
        <w:drawing>
          <wp:inline distT="0" distB="0" distL="0" distR="0">
            <wp:extent cx="2667000" cy="447675"/>
            <wp:effectExtent t="0" r="0" b="0" l="0"/>
            <wp:docPr id="1"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47675"/>
                    </a:xfrm>
                    <a:prstGeom prst="rect">
                      <a:avLst/>
                    </a:prstGeom>
                  </pic:spPr>
                </pic:pic>
              </a:graphicData>
            </a:graphic>
          </wp:inline>
        </w:drawing>
      </w:r>
    </w:p>
    <w:p>
      <w:pPr>
        <w:spacing w:before="0" w:after="80"/>
        <w:jc w:val="center"/>
      </w:pPr>
      <w:r>
        <w:rPr>
          <w:rFonts w:ascii="Arial" w:cs="Arial" w:eastAsia="Arial" w:hAnsi="Arial"/>
          <w:b/>
          <w:bCs/>
          <w:color w:val="1B2A4A"/>
          <w:sz w:val="52"/>
          <w:szCs w:val="52"/>
        </w:rPr>
        <w:t xml:space="preserve">WHITEPAPER</w:t>
      </w:r>
    </w:p>
    <w:p>
      <w:pPr>
        <w:spacing w:before="0" w:after="80"/>
        <w:jc w:val="center"/>
      </w:pPr>
      <w:r>
        <w:rPr>
          <w:rFonts w:ascii="Arial" w:cs="Arial" w:eastAsia="Arial" w:hAnsi="Arial"/>
          <w:i/>
          <w:iCs/>
          <w:color w:val="2E5099"/>
          <w:sz w:val="22"/>
          <w:szCs w:val="22"/>
        </w:rPr>
        <w:t>Version 2.1  │  March 2026</w:t>
      </w:r>
    </w:p>
    <w:p>
      <w:pPr>
        <w:spacing w:before="120" w:after="120"/>
        <w:jc w:val="center"/>
      </w:pPr>
      <w:r>
        <w:rPr>
          <w:rFonts w:ascii="Arial" w:cs="Arial" w:eastAsia="Arial" w:hAnsi="Arial"/>
          <w:b/>
          <w:bCs/>
          <w:color w:val="B8860B"/>
          <w:sz w:val="36"/>
          <w:szCs w:val="36"/>
        </w:rPr>
        <w:t xml:space="preserve">The Future Payment Protocol</w:t>
      </w:r>
    </w:p>
    <w:p>
      <w:pPr>
        <w:spacing w:before="0" w:after="480"/>
        <w:jc w:val="center"/>
      </w:pPr>
      <w:r>
        <w:rPr>
          <w:rFonts w:ascii="Arial" w:cs="Arial" w:eastAsia="Arial" w:hAnsi="Arial"/>
          <w:i/>
          <w:iCs/>
          <w:color w:val="1A1A1A"/>
          <w:sz w:val="23"/>
          <w:szCs w:val="23"/>
        </w:rPr>
        <w:t xml:space="preserve">Lock funds for yourself or anyone else — up to 100 years in the future.
Tamper-proof, quantum-resistant, fully transparent.
No willpower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200"/>
              <w:left w:type="dxa" w:w="280"/>
              <w:bottom w:type="dxa" w:w="200"/>
              <w:right w:type="dxa" w:w="280"/>
            </w:tcMar>
          </w:tcPr>
          <w:p>
            <w:pPr>
              <w:spacing w:before="40" w:after="80"/>
              <w:jc w:val="center"/>
            </w:pPr>
            <w:r>
              <w:rPr>
                <w:rFonts w:ascii="Arial" w:cs="Arial" w:eastAsia="Arial" w:hAnsi="Arial"/>
                <w:b/>
                <w:bCs/>
                <w:color w:val="B8860B"/>
                <w:sz w:val="40"/>
                <w:szCs w:val="40"/>
              </w:rPr>
              <w:t xml:space="preserve">8,270,000,000 KX</w:t>
            </w:r>
          </w:p>
          <w:p>
            <w:pPr>
              <w:spacing w:before="0" w:after="40"/>
              <w:jc w:val="center"/>
            </w:pPr>
            <w:r>
              <w:rPr>
                <w:rFonts w:ascii="Arial" w:cs="Arial" w:eastAsia="Arial" w:hAnsi="Arial"/>
                <w:i/>
                <w:iCs/>
                <w:color w:val="1A1A1A"/>
                <w:sz w:val="22"/>
                <w:szCs w:val="22"/>
              </w:rPr>
              <w:t xml:space="preserve">A supply sized for humanity — matched to the world population on January 1, 2026.</w:t>
            </w:r>
          </w:p>
          <w:p>
            <w:pPr>
              <w:spacing w:before="0" w:after="0"/>
              <w:jc w:val="center"/>
            </w:pPr>
            <w:r>
              <w:rPr>
                <w:rFonts w:ascii="Arial" w:cs="Arial" w:eastAsia="Arial" w:hAnsi="Arial"/>
                <w:i/>
                <w:iCs/>
                <w:color w:val="1A1A1A"/>
                <w:sz w:val="22"/>
                <w:szCs w:val="22"/>
              </w:rPr>
              <w:t xml:space="preserve">Not a round number chosen for aesthetics — a population number chosen for meaning.</w:t>
            </w:r>
          </w:p>
        </w:tc>
      </w:tr>
    </w:tbl>
    <w:p>
      <w:r>
        <w:br w:type="page"/>
      </w:r>
    </w:p>
    <w:p>
      <w:pPr>
        <w:pStyle w:val="Heading1"/>
        <w:spacing w:before="400" w:after="200"/>
      </w:pPr>
      <w:r>
        <w:rPr>
          <w:rFonts w:ascii="Arial" w:cs="Arial" w:eastAsia="Arial" w:hAnsi="Arial"/>
          <w:b/>
          <w:bCs/>
          <w:color w:val="1B2A4A"/>
          <w:sz w:val="32"/>
          <w:szCs w:val="32"/>
        </w:rPr>
        <w:t xml:space="preserve">Abstract</w:t>
      </w:r>
    </w:p>
    <w:p>
      <w:pPr>
        <w:spacing w:before="80" w:after="120"/>
        <w:jc w:val="both"/>
      </w:pPr>
      <w:r>
        <w:rPr>
          <w:rFonts w:ascii="Arial" w:cs="Arial" w:eastAsia="Arial" w:hAnsi="Arial"/>
          <w:color w:val="1A1A1A"/>
          <w:sz w:val="22"/>
          <w:szCs w:val="22"/>
        </w:rPr>
        <w:t xml:space="preserve">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pPr>
        <w:spacing w:before="80" w:after="120"/>
        <w:jc w:val="both"/>
      </w:pPr>
      <w:r>
        <w:rPr>
          <w:rFonts w:ascii="Arial" w:cs="Arial" w:eastAsia="Arial" w:hAnsi="Arial"/>
          <w:color w:val="1A1A1A"/>
          <w:sz w:val="22"/>
          <w:szCs w:val="22"/>
        </w:rPr>
        <w:t xml:space="preserve">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pPr>
        <w:spacing w:before="80" w:after="120"/>
        <w:jc w:val="both"/>
      </w:pPr>
      <w:r>
        <w:rPr>
          <w:rFonts w:ascii="Arial" w:cs="Arial" w:eastAsia="Arial" w:hAnsi="Arial"/>
          <w:color w:val="1A1A1A"/>
          <w:sz w:val="22"/>
          <w:szCs w:val="22"/>
        </w:rPr>
        <w:t xml:space="preserve">ChronX is completely free to use. There are no transaction fees, no gas fees, and no hidden costs of any kind. Every KX sent is received in full. This is a deliberate, foundational design choice — not a temporary promotion. Unlike Ethereum (where gas fees can exceed the value of small transactions), Bitcoin (where fees price out micro-transactions entirely), and virtually every other blockchain, ChronX charges nothing to send, lock, or claim funds. The only cost is the proof-of-work computation performed locally by the sender’s device — typically 10–60 seconds of CPU time. No fees. Ever.</w:t>
      </w:r>
    </w:p>
    <w:p>
      <w:pPr>
        <w:spacing w:before="80" w:after="120"/>
        <w:jc w:val="both"/>
      </w:pPr>
      <w:r>
        <w:rPr>
          <w:rFonts w:ascii="Arial" w:cs="Arial" w:eastAsia="Arial" w:hAnsi="Arial"/>
          <w:color w:val="1A1A1A"/>
          <w:sz w:val="22"/>
          <w:szCs w:val="22"/>
        </w:rP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not bolted on later — ChronX handles lost keys, changed identities, deceased recipients, and ambiguous beneficiary specifications through an incentivized system of bonded third-party agents, without ever requiring a hard fork.</w:t>
      </w:r>
    </w:p>
    <w:p>
      <w:pPr>
        <w:spacing w:before="80" w:after="120"/>
        <w:jc w:val="both"/>
      </w:pPr>
      <w:r>
        <w:rPr>
          <w:rFonts w:ascii="Arial" w:cs="Arial" w:eastAsia="Arial" w:hAnsi="Arial"/>
          <w:color w:val="1A1A1A"/>
          <w:sz w:val="22"/>
          <w:szCs w:val="22"/>
        </w:rPr>
        <w:t xml:space="preserve">This whitepaper describes the protocol design, cryptographic foundations, tokenomics, economic incentives, claims resolution architecture, and long-term vision for ChronX — including its complete technical specification and roadmap. It is written to be fully understandable by general readers, technical developers, institutional investors, and AI agents alike.</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1. The Problem: Value Has No Future Tense</w:t>
      </w:r>
    </w:p>
    <w:p>
      <w:pPr>
        <w:spacing w:before="80" w:after="120"/>
        <w:jc w:val="both"/>
      </w:pPr>
      <w:r>
        <w:rPr>
          <w:rFonts w:ascii="Arial" w:cs="Arial" w:eastAsia="Arial" w:hAnsi="Arial"/>
          <w:color w:val="1A1A1A"/>
          <w:sz w:val="22"/>
          <w:szCs w:val="22"/>
        </w:rPr>
        <w:t xml:space="preserve">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pPr>
        <w:pStyle w:val="Heading2"/>
        <w:spacing w:before="280" w:after="140"/>
      </w:pPr>
      <w:r>
        <w:rPr>
          <w:rFonts w:ascii="Arial" w:cs="Arial" w:eastAsia="Arial" w:hAnsi="Arial"/>
          <w:b/>
          <w:bCs/>
          <w:color w:val="2E5099"/>
          <w:sz w:val="26"/>
          <w:szCs w:val="26"/>
        </w:rPr>
        <w:t xml:space="preserve">1.1 A Story Every Parent Understands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180"/>
              <w:left w:type="dxa" w:w="240"/>
              <w:bottom w:type="dxa" w:w="180"/>
              <w:right w:type="dxa" w:w="240"/>
            </w:tcMar>
          </w:tcPr>
          <w:p>
            <w:pPr>
              <w:spacing w:before="40" w:after="100"/>
            </w:pPr>
            <w:r>
              <w:rPr>
                <w:rFonts w:ascii="Arial" w:cs="Arial" w:eastAsia="Arial" w:hAnsi="Arial"/>
                <w:b/>
                <w:bCs/>
                <w:color w:val="B8860B"/>
                <w:sz w:val="23"/>
                <w:szCs w:val="23"/>
              </w:rPr>
              <w:t xml:space="preserve">The Newborn Problem</w:t>
            </w:r>
          </w:p>
          <w:p>
            <w:pPr>
              <w:spacing w:before="40" w:after="40"/>
              <w:jc w:val="both"/>
            </w:pPr>
            <w:r>
              <w:rPr>
                <w:rFonts w:ascii="Arial" w:cs="Arial" w:eastAsia="Arial" w:hAnsi="Arial"/>
                <w:color w:val="1A1A1A"/>
                <w:sz w:val="21"/>
                <w:szCs w:val="21"/>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
This is not a hypothetical edge case. This is the reality of every long-horizon value commitment ever attempted on a blockchain — and no existing protocol has a native answer to it.
ChronX does.</w:t>
            </w:r>
          </w:p>
        </w:tc>
      </w:tr>
    </w:tbl>
    <w:p>
      <w:pPr>
        <w:spacing w:before="160" w:after="0"/>
      </w:pPr>
      <w:r>
        <w:t xml:space="preserve"/>
      </w:r>
    </w:p>
    <w:p>
      <w:pPr>
        <w:spacing w:before="80" w:after="120"/>
        <w:jc w:val="both"/>
      </w:pPr>
      <w:r>
        <w:rPr>
          <w:rFonts w:ascii="Arial" w:cs="Arial" w:eastAsia="Arial" w:hAnsi="Arial"/>
          <w:color w:val="1A1A1A"/>
          <w:sz w:val="22"/>
          <w:szCs w:val="22"/>
        </w:rPr>
        <w:t xml:space="preserve">This scenario — the newborn child, the 18-year lock, the absent private key — is the design test that ChronX was built to pass. Every architectural decision, from the cryptographic scheme to the claims resolution framework, flows from this single question: what does it take to send value forward in time, reliably, for anyone, across any horizon?</w:t>
      </w:r>
    </w:p>
    <w:p>
      <w:pPr>
        <w:pStyle w:val="Heading2"/>
        <w:spacing w:before="280" w:after="140"/>
      </w:pPr>
      <w:r>
        <w:rPr>
          <w:rFonts w:ascii="Arial" w:cs="Arial" w:eastAsia="Arial" w:hAnsi="Arial"/>
          <w:b/>
          <w:bCs/>
          <w:color w:val="2E5099"/>
          <w:sz w:val="26"/>
          <w:szCs w:val="26"/>
        </w:rPr>
        <w:t xml:space="preserve">1.2 What a Future Payment Actually Requires</w:t>
      </w:r>
    </w:p>
    <w:p>
      <w:pPr>
        <w:spacing w:before="80" w:after="120"/>
        <w:jc w:val="both"/>
      </w:pPr>
      <w:r>
        <w:rPr>
          <w:rFonts w:ascii="Arial" w:cs="Arial" w:eastAsia="Arial" w:hAnsi="Arial"/>
          <w:color w:val="1A1A1A"/>
          <w:sz w:val="22"/>
          <w:szCs w:val="22"/>
        </w:rPr>
        <w:t xml:space="preserve">A future payment is not simply a scheduled transfer. It is a commitment that must survive:</w:t>
      </w:r>
    </w:p>
    <w:p>
      <w:pPr>
        <w:pStyle w:val="ListParagraph"/>
        <w:numPr>
          <w:ilvl w:val="0"/>
          <w:numId w:val="2"/>
        </w:numPr>
        <w:spacing w:before="60" w:after="60"/>
      </w:pPr>
      <w:r>
        <w:rPr>
          <w:rFonts w:ascii="Arial" w:cs="Arial" w:eastAsia="Arial" w:hAnsi="Arial"/>
          <w:color w:val="1A1A1A"/>
          <w:sz w:val="22"/>
          <w:szCs w:val="22"/>
        </w:rPr>
        <w:t xml:space="preserve">The recipient losing their wallet or private key</w:t>
      </w:r>
    </w:p>
    <w:p>
      <w:pPr>
        <w:pStyle w:val="ListParagraph"/>
        <w:numPr>
          <w:ilvl w:val="0"/>
          <w:numId w:val="2"/>
        </w:numPr>
        <w:spacing w:before="60" w:after="60"/>
      </w:pPr>
      <w:r>
        <w:rPr>
          <w:rFonts w:ascii="Arial" w:cs="Arial" w:eastAsia="Arial" w:hAnsi="Arial"/>
          <w:color w:val="1A1A1A"/>
          <w:sz w:val="22"/>
          <w:szCs w:val="22"/>
        </w:rPr>
        <w:t xml:space="preserve">Identity drift — the person at claim time may look different, have a different name, or live in a different country from the person specified at lock time</w:t>
      </w:r>
    </w:p>
    <w:p>
      <w:pPr>
        <w:pStyle w:val="ListParagraph"/>
        <w:numPr>
          <w:ilvl w:val="0"/>
          <w:numId w:val="2"/>
        </w:numPr>
        <w:spacing w:before="60" w:after="60"/>
      </w:pPr>
      <w:r>
        <w:rPr>
          <w:rFonts w:ascii="Arial" w:cs="Arial" w:eastAsia="Arial" w:hAnsi="Arial"/>
          <w:color w:val="1A1A1A"/>
          <w:sz w:val="22"/>
          <w:szCs w:val="22"/>
        </w:rPr>
        <w:t xml:space="preserve">Legal and jurisdictional change over multi-decade horizons</w:t>
      </w:r>
    </w:p>
    <w:p>
      <w:pPr>
        <w:pStyle w:val="ListParagraph"/>
        <w:numPr>
          <w:ilvl w:val="0"/>
          <w:numId w:val="2"/>
        </w:numPr>
        <w:spacing w:before="60" w:after="60"/>
      </w:pPr>
      <w:r>
        <w:rPr>
          <w:rFonts w:ascii="Arial" w:cs="Arial" w:eastAsia="Arial" w:hAnsi="Arial"/>
          <w:color w:val="1A1A1A"/>
          <w:sz w:val="22"/>
          <w:szCs w:val="22"/>
        </w:rPr>
        <w:t xml:space="preserve">Adversarial conditions — attempts by third parties to intercept or redirect the funds</w:t>
      </w:r>
    </w:p>
    <w:p>
      <w:pPr>
        <w:pStyle w:val="ListParagraph"/>
        <w:numPr>
          <w:ilvl w:val="0"/>
          <w:numId w:val="2"/>
        </w:numPr>
        <w:spacing w:before="60" w:after="60"/>
      </w:pPr>
      <w:r>
        <w:rPr>
          <w:rFonts w:ascii="Arial" w:cs="Arial" w:eastAsia="Arial" w:hAnsi="Arial"/>
          <w:color w:val="1A1A1A"/>
          <w:sz w:val="22"/>
          <w:szCs w:val="22"/>
        </w:rPr>
        <w:t xml:space="preserve">Protocol upgrades and technological shifts across generations</w:t>
      </w:r>
    </w:p>
    <w:p>
      <w:pPr>
        <w:pStyle w:val="ListParagraph"/>
        <w:numPr>
          <w:ilvl w:val="0"/>
          <w:numId w:val="2"/>
        </w:numPr>
        <w:spacing w:before="60" w:after="60"/>
      </w:pPr>
      <w:r>
        <w:rPr>
          <w:rFonts w:ascii="Arial" w:cs="Arial" w:eastAsia="Arial" w:hAnsi="Arial"/>
          <w:color w:val="1A1A1A"/>
          <w:sz w:val="22"/>
          <w:szCs w:val="22"/>
        </w:rPr>
        <w:t xml:space="preserve">The death of the sender before the unlock date</w:t>
      </w:r>
    </w:p>
    <w:p>
      <w:pPr>
        <w:pStyle w:val="ListParagraph"/>
        <w:numPr>
          <w:ilvl w:val="0"/>
          <w:numId w:val="2"/>
        </w:numPr>
        <w:spacing w:before="60" w:after="60"/>
      </w:pPr>
      <w:r>
        <w:rPr>
          <w:rFonts w:ascii="Arial" w:cs="Arial" w:eastAsia="Arial" w:hAnsi="Arial"/>
          <w:color w:val="1A1A1A"/>
          <w:sz w:val="22"/>
          <w:szCs w:val="22"/>
        </w:rPr>
        <w:t xml:space="preserve">A recipient who does not yet have — and may never have had — a blockchain wallet</w:t>
      </w:r>
    </w:p>
    <w:p>
      <w:pPr>
        <w:spacing w:before="120" w:after="0"/>
      </w:pPr>
      <w:r>
        <w:t xml:space="preserve"/>
      </w:r>
    </w:p>
    <w:p>
      <w:pPr>
        <w:spacing w:before="80" w:after="120"/>
        <w:jc w:val="both"/>
      </w:pPr>
      <w:r>
        <w:rPr>
          <w:rFonts w:ascii="Arial" w:cs="Arial" w:eastAsia="Arial" w:hAnsi="Arial"/>
          <w:color w:val="1A1A1A"/>
          <w:sz w:val="22"/>
          <w:szCs w:val="22"/>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pStyle w:val="Heading2"/>
        <w:spacing w:before="280" w:after="140"/>
      </w:pPr>
      <w:r>
        <w:rPr>
          <w:rFonts w:ascii="Arial" w:cs="Arial" w:eastAsia="Arial" w:hAnsi="Arial"/>
          <w:b/>
          <w:bCs/>
          <w:color w:val="2E5099"/>
          <w:sz w:val="26"/>
          <w:szCs w:val="26"/>
        </w:rPr>
        <w:t xml:space="preserve">1.3 Why Existing Crypto Hasn’t Solved This</w:t>
      </w:r>
    </w:p>
    <w:p>
      <w:pPr>
        <w:spacing w:before="80" w:after="120"/>
        <w:jc w:val="both"/>
      </w:pPr>
      <w:r>
        <w:rPr>
          <w:rFonts w:ascii="Arial" w:cs="Arial" w:eastAsia="Arial" w:hAnsi="Arial"/>
          <w:color w:val="1A1A1A"/>
          <w:sz w:val="22"/>
          <w:szCs w:val="22"/>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pPr>
        <w:spacing w:before="80" w:after="120"/>
        <w:jc w:val="both"/>
      </w:pPr>
      <w:r>
        <w:rPr>
          <w:rFonts w:ascii="Arial" w:cs="Arial" w:eastAsia="Arial" w:hAnsi="Arial"/>
          <w:color w:val="1A1A1A"/>
          <w:sz w:val="22"/>
          <w:szCs w:val="22"/>
        </w:rPr>
        <w:t xml:space="preserve">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2. The Solution: ChronX Protocol</w:t>
      </w:r>
    </w:p>
    <w:p>
      <w:pPr>
        <w:spacing w:before="80" w:after="120"/>
        <w:jc w:val="both"/>
      </w:pPr>
      <w:r>
        <w:rPr>
          <w:rFonts w:ascii="Arial" w:cs="Arial" w:eastAsia="Arial" w:hAnsi="Arial"/>
          <w:color w:val="1A1A1A"/>
          <w:sz w:val="22"/>
          <w:szCs w:val="22"/>
        </w:rPr>
        <w:t xml:space="preserve">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 — including every scenario where a direct claim is impossible.</w:t>
      </w:r>
    </w:p>
    <w:p>
      <w:pPr>
        <w:pStyle w:val="Heading2"/>
        <w:spacing w:before="280" w:after="140"/>
      </w:pPr>
      <w:r>
        <w:rPr>
          <w:rFonts w:ascii="Arial" w:cs="Arial" w:eastAsia="Arial" w:hAnsi="Arial"/>
          <w:b/>
          <w:bCs/>
          <w:color w:val="2E5099"/>
          <w:sz w:val="26"/>
          <w:szCs w:val="26"/>
        </w:rPr>
        <w:t xml:space="preserve">2.1 Core Value Proposition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180"/>
              <w:left w:type="dxa" w:w="240"/>
              <w:bottom w:type="dxa" w:w="180"/>
              <w:right w:type="dxa" w:w="240"/>
            </w:tcMar>
          </w:tcPr>
          <w:p>
            <w:pPr>
              <w:spacing w:before="40" w:after="100"/>
            </w:pPr>
            <w:r>
              <w:rPr>
                <w:rFonts w:ascii="Arial" w:cs="Arial" w:eastAsia="Arial" w:hAnsi="Arial"/>
                <w:b/>
                <w:bCs/>
                <w:color w:val="1B2A4A"/>
                <w:sz w:val="23"/>
                <w:szCs w:val="23"/>
              </w:rPr>
              <w:t xml:space="preserve">The ChronX Promise</w:t>
            </w:r>
          </w:p>
          <w:p>
            <w:pPr>
              <w:spacing w:before="40" w:after="40"/>
              <w:jc w:val="both"/>
            </w:pPr>
            <w:r>
              <w:rPr>
                <w:rFonts w:ascii="Arial" w:cs="Arial" w:eastAsia="Arial" w:hAnsi="Arial"/>
                <w:color w:val="1A1A1A"/>
                <w:sz w:val="21"/>
                <w:szCs w:val="21"/>
              </w:rPr>
              <w:t xml:space="preserve">Lock funds for yourself or anyone else — up to 100 years in the future. The blockchain enforces the release. No bank. No lawyer. No custodian. If the date arrives and the conditions are met, the funds unlock. Full stop. And if the recipient can’t claim directly — ChronX has a native answer for that too.</w:t>
            </w:r>
          </w:p>
        </w:tc>
      </w:tr>
    </w:tbl>
    <w:p>
      <w:pPr>
        <w:spacing w:before="120" w:after="0"/>
      </w:pPr>
      <w:r>
        <w:t xml:space="preserve"/>
      </w:r>
    </w:p>
    <w:p>
      <w:pPr>
        <w:spacing w:before="80" w:after="120"/>
        <w:jc w:val="both"/>
      </w:pPr>
      <w:r>
        <w:rPr>
          <w:rFonts w:ascii="Arial" w:cs="Arial" w:eastAsia="Arial" w:hAnsi="Arial"/>
          <w:color w:val="1A1A1A"/>
          <w:sz w:val="22"/>
          <w:szCs w:val="22"/>
        </w:rPr>
        <w:t xml:space="preserve">This makes ChronX immediately useful for:</w:t>
      </w:r>
    </w:p>
    <w:p>
      <w:pPr>
        <w:pStyle w:val="ListParagraph"/>
        <w:numPr>
          <w:ilvl w:val="0"/>
          <w:numId w:val="2"/>
        </w:numPr>
        <w:spacing w:before="60" w:after="60"/>
      </w:pPr>
      <w:r>
        <w:rPr>
          <w:rFonts w:ascii="Arial" w:cs="Arial" w:eastAsia="Arial" w:hAnsi="Arial"/>
          <w:color w:val="1A1A1A"/>
          <w:sz w:val="22"/>
          <w:szCs w:val="22"/>
        </w:rPr>
        <w:t xml:space="preserve">Savings discipline — lock funds you don’t want to touch until a future date</w:t>
      </w:r>
    </w:p>
    <w:p>
      <w:pPr>
        <w:pStyle w:val="ListParagraph"/>
        <w:numPr>
          <w:ilvl w:val="0"/>
          <w:numId w:val="2"/>
        </w:numPr>
        <w:spacing w:before="60" w:after="60"/>
      </w:pPr>
      <w:r>
        <w:rPr>
          <w:rFonts w:ascii="Arial" w:cs="Arial" w:eastAsia="Arial" w:hAnsi="Arial"/>
          <w:color w:val="1A1A1A"/>
          <w:sz w:val="22"/>
          <w:szCs w:val="22"/>
        </w:rPr>
        <w:t xml:space="preserve">Gifts for children — send KX to a minor that unlocks on their 18th birthday, even before they have a wallet</w:t>
      </w:r>
    </w:p>
    <w:p>
      <w:pPr>
        <w:pStyle w:val="ListParagraph"/>
        <w:numPr>
          <w:ilvl w:val="0"/>
          <w:numId w:val="2"/>
        </w:numPr>
        <w:spacing w:before="60" w:after="60"/>
      </w:pPr>
      <w:r>
        <w:rPr>
          <w:rFonts w:ascii="Arial" w:cs="Arial" w:eastAsia="Arial" w:hAnsi="Arial"/>
          <w:color w:val="1A1A1A"/>
          <w:sz w:val="22"/>
          <w:szCs w:val="22"/>
        </w:rPr>
        <w:t xml:space="preserve">Inheritance-style transfers — direct value to a named recipient after a specified date</w:t>
      </w:r>
    </w:p>
    <w:p>
      <w:pPr>
        <w:pStyle w:val="ListParagraph"/>
        <w:numPr>
          <w:ilvl w:val="0"/>
          <w:numId w:val="2"/>
        </w:numPr>
        <w:spacing w:before="60" w:after="60"/>
      </w:pPr>
      <w:r>
        <w:rPr>
          <w:rFonts w:ascii="Arial" w:cs="Arial" w:eastAsia="Arial" w:hAnsi="Arial"/>
          <w:color w:val="1A1A1A"/>
          <w:sz w:val="22"/>
          <w:szCs w:val="22"/>
        </w:rPr>
        <w:t xml:space="preserve">Deferred compensation — programmable vesting without smart contract complexity</w:t>
      </w:r>
    </w:p>
    <w:p>
      <w:pPr>
        <w:pStyle w:val="ListParagraph"/>
        <w:numPr>
          <w:ilvl w:val="0"/>
          <w:numId w:val="2"/>
        </w:numPr>
        <w:spacing w:before="60" w:after="60"/>
      </w:pPr>
      <w:r>
        <w:rPr>
          <w:rFonts w:ascii="Arial" w:cs="Arial" w:eastAsia="Arial" w:hAnsi="Arial"/>
          <w:color w:val="1A1A1A"/>
          <w:sz w:val="22"/>
          <w:szCs w:val="22"/>
        </w:rPr>
        <w:t xml:space="preserve">Institutional escrow — policy-controlled future payments with full audit trails</w:t>
      </w:r>
    </w:p>
    <w:p>
      <w:pPr>
        <w:pStyle w:val="ListParagraph"/>
        <w:numPr>
          <w:ilvl w:val="0"/>
          <w:numId w:val="2"/>
        </w:numPr>
        <w:spacing w:before="60" w:after="60"/>
      </w:pPr>
      <w:r>
        <w:rPr>
          <w:rFonts w:ascii="Arial" w:cs="Arial" w:eastAsia="Arial" w:hAnsi="Arial"/>
          <w:color w:val="1A1A1A"/>
          <w:sz w:val="22"/>
          <w:szCs w:val="22"/>
        </w:rPr>
        <w:t xml:space="preserve">Email-based gifts — send KX to an email address; recipient claims by downloading a wallet</w:t>
      </w:r>
    </w:p>
    <w:p>
      <w:pPr>
        <w:pStyle w:val="ListParagraph"/>
        <w:numPr>
          <w:ilvl w:val="0"/>
          <w:numId w:val="2"/>
        </w:numPr>
        <w:spacing w:before="60" w:after="60"/>
      </w:pPr>
      <w:r>
        <w:rPr>
          <w:rFonts w:ascii="Arial" w:cs="Arial" w:eastAsia="Arial" w:hAnsi="Arial"/>
          <w:color w:val="1A1A1A"/>
          <w:sz w:val="22"/>
          <w:szCs w:val="22"/>
        </w:rPr>
        <w:t xml:space="preserve">Recurring installments — multiple locks at regular intervals for structured future payments</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2.2 How Time-Locks Work</w:t>
      </w:r>
    </w:p>
    <w:p>
      <w:pPr>
        <w:spacing w:before="80" w:after="120"/>
        <w:jc w:val="both"/>
      </w:pPr>
      <w:r>
        <w:rPr>
          <w:rFonts w:ascii="Arial" w:cs="Arial" w:eastAsia="Arial" w:hAnsi="Arial"/>
          <w:color w:val="1A1A1A"/>
          <w:sz w:val="22"/>
          <w:szCs w:val="22"/>
        </w:rPr>
        <w:t xml:space="preserve">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pPr>
        <w:spacing w:before="80" w:after="120"/>
        <w:jc w:val="both"/>
      </w:pPr>
      <w:r>
        <w:rPr>
          <w:rFonts w:ascii="Arial" w:cs="Arial" w:eastAsia="Arial" w:hAnsi="Arial"/>
          <w:color w:val="1A1A1A"/>
          <w:sz w:val="22"/>
          <w:szCs w:val="22"/>
        </w:rPr>
        <w:t xml:space="preserve">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pPr>
        <w:spacing w:before="80" w:after="120"/>
        <w:jc w:val="both"/>
      </w:pPr>
      <w:r>
        <w:rPr>
          <w:rFonts w:ascii="Arial" w:cs="Arial" w:eastAsia="Arial" w:hAnsi="Arial"/>
          <w:color w:val="1A1A1A"/>
          <w:sz w:val="22"/>
          <w:szCs w:val="22"/>
        </w:rPr>
        <w:t xml:space="preserve">The ChronX wallet highlights incoming pending time-locks in gold, displaying the sender, amount, and exact UTC unlock date. For users receiving many future payments, the wallet provides a paginated summary view — ensuring the interface remains responsive regardless of how many incoming locks a recipient has accumulated.</w:t>
      </w:r>
    </w:p>
    <w:p>
      <w:pPr>
        <w:pStyle w:val="Heading2"/>
        <w:spacing w:before="280" w:after="140"/>
      </w:pPr>
      <w:r>
        <w:rPr>
          <w:rFonts w:ascii="Arial" w:cs="Arial" w:eastAsia="Arial" w:hAnsi="Arial"/>
          <w:b/>
          <w:bCs/>
          <w:color w:val="2E5099"/>
          <w:sz w:val="26"/>
          <w:szCs w:val="26"/>
        </w:rPr>
        <w:t xml:space="preserve">2.3 What Makes ChronX Different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 Other Chains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ChronX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Custodian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(banks, trusts)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protocol-enforced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Quantum-resistant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 Dilithium2 (NIST PQC)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Recipient key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Funds lost or litigation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claims resolution at genesis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Recipient has no wallet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Impossible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Email-based locks (Phase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fees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gas fees, network fees, miner fees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 completely free forever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horizon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Limited by institution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 to 100+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Opaque / private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on-chain, public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Hard fork to add features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 versioned schemas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standard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UTC always, protocol-enforced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Cancellation grace period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24-hour window on locks ≥ 1 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Jurisdictional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Protocol-agnostic</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2.4 Zero Fees — Forever</w:t>
      </w:r>
    </w:p>
    <w:p>
      <w:pPr>
        <w:spacing w:before="80" w:after="120"/>
        <w:jc w:val="both"/>
      </w:pPr>
      <w:r>
        <w:rPr>
          <w:rFonts w:ascii="Arial" w:cs="Arial" w:eastAsia="Arial" w:hAnsi="Arial"/>
          <w:color w:val="1A1A1A"/>
          <w:sz w:val="22"/>
          <w:szCs w:val="22"/>
        </w:rPr>
        <w:t xml:space="preserve">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pPr>
        <w:spacing w:before="80" w:after="120"/>
        <w:jc w:val="both"/>
      </w:pPr>
      <w:r>
        <w:rPr>
          <w:rFonts w:ascii="Arial" w:cs="Arial" w:eastAsia="Arial" w:hAnsi="Arial"/>
          <w:color w:val="1A1A1A"/>
          <w:sz w:val="22"/>
          <w:szCs w:val="22"/>
        </w:rPr>
        <w:t xml:space="preserve">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pPr>
        <w:pStyle w:val="ListParagraph"/>
        <w:numPr>
          <w:ilvl w:val="0"/>
          <w:numId w:val="2"/>
        </w:numPr>
        <w:spacing w:before="60" w:after="60"/>
      </w:pPr>
      <w:r>
        <w:rPr>
          <w:rFonts w:ascii="Arial" w:cs="Arial" w:eastAsia="Arial" w:hAnsi="Arial"/>
          <w:color w:val="1A1A1A"/>
          <w:sz w:val="22"/>
          <w:szCs w:val="22"/>
        </w:rPr>
        <w:t xml:space="preserve">Ethereum: gas fees average $0.50–$50+ per transaction, spiking to hundreds of dollars during congestion</w:t>
      </w:r>
    </w:p>
    <w:p>
      <w:pPr>
        <w:pStyle w:val="ListParagraph"/>
        <w:numPr>
          <w:ilvl w:val="0"/>
          <w:numId w:val="2"/>
        </w:numPr>
        <w:spacing w:before="60" w:after="60"/>
      </w:pPr>
      <w:r>
        <w:rPr>
          <w:rFonts w:ascii="Arial" w:cs="Arial" w:eastAsia="Arial" w:hAnsi="Arial"/>
          <w:color w:val="1A1A1A"/>
          <w:sz w:val="22"/>
          <w:szCs w:val="22"/>
        </w:rPr>
        <w:t xml:space="preserve">Bitcoin: fees average $1–20 per transaction, making micro-transactions economically unviable</w:t>
      </w:r>
    </w:p>
    <w:p>
      <w:pPr>
        <w:pStyle w:val="ListParagraph"/>
        <w:numPr>
          <w:ilvl w:val="0"/>
          <w:numId w:val="2"/>
        </w:numPr>
        <w:spacing w:before="60" w:after="60"/>
      </w:pPr>
      <w:r>
        <w:rPr>
          <w:rFonts w:ascii="Arial" w:cs="Arial" w:eastAsia="Arial" w:hAnsi="Arial"/>
          <w:color w:val="1A1A1A"/>
          <w:sz w:val="22"/>
          <w:szCs w:val="22"/>
        </w:rPr>
        <w:t xml:space="preserve">ChronX: $0.00 per transaction, always, regardless of network load or transaction size</w:t>
      </w:r>
    </w:p>
    <w:p>
      <w:pPr>
        <w:spacing w:before="80" w:after="120"/>
        <w:jc w:val="both"/>
      </w:pPr>
      <w:r>
        <w:rPr>
          <w:rFonts w:ascii="Arial" w:cs="Arial" w:eastAsia="Arial" w:hAnsi="Arial"/>
          <w:color w:val="1A1A1A"/>
          <w:sz w:val="22"/>
          <w:szCs w:val="22"/>
        </w:rPr>
        <w:t xml:space="preserve">For a protocol designed around long-horizon human promises — gifts to children, inheritance transfers, deferred payments — zero fees are not just a feature. They are a moral requirement. A promise to a child should not cost $50 to make.</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3. Technical Architecture</w:t>
      </w:r>
    </w:p>
    <w:p>
      <w:pPr>
        <w:spacing w:before="80" w:after="120"/>
        <w:jc w:val="both"/>
      </w:pPr>
      <w:r>
        <w:rPr>
          <w:rFonts w:ascii="Arial" w:cs="Arial" w:eastAsia="Arial" w:hAnsi="Arial"/>
          <w:color w:val="1A1A1A"/>
          <w:sz w:val="22"/>
          <w:szCs w:val="22"/>
        </w:rPr>
        <w:t xml:space="preserve">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pPr>
        <w:pStyle w:val="Heading2"/>
        <w:spacing w:before="280" w:after="140"/>
      </w:pPr>
      <w:r>
        <w:rPr>
          <w:rFonts w:ascii="Arial" w:cs="Arial" w:eastAsia="Arial" w:hAnsi="Arial"/>
          <w:b/>
          <w:bCs/>
          <w:color w:val="2E5099"/>
          <w:sz w:val="26"/>
          <w:szCs w:val="26"/>
        </w:rPr>
        <w:t xml:space="preserve">3.1 Post-Quantum Cryptography: Dilithium2</w:t>
      </w:r>
    </w:p>
    <w:p>
      <w:pPr>
        <w:spacing w:before="80" w:after="120"/>
        <w:jc w:val="both"/>
      </w:pPr>
      <w:r>
        <w:rPr>
          <w:rFonts w:ascii="Arial" w:cs="Arial" w:eastAsia="Arial" w:hAnsi="Arial"/>
          <w:color w:val="1A1A1A"/>
          <w:sz w:val="22"/>
          <w:szCs w:val="22"/>
        </w:rPr>
        <w:t xml:space="preserve">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pPr>
        <w:spacing w:before="80" w:after="120"/>
        <w:jc w:val="both"/>
      </w:pPr>
      <w:r>
        <w:rPr>
          <w:rFonts w:ascii="Arial" w:cs="Arial" w:eastAsia="Arial" w:hAnsi="Arial"/>
          <w:color w:val="1A1A1A"/>
          <w:sz w:val="22"/>
          <w:szCs w:val="22"/>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180"/>
              <w:left w:type="dxa" w:w="240"/>
              <w:bottom w:type="dxa" w:w="180"/>
              <w:right w:type="dxa" w:w="240"/>
            </w:tcMar>
          </w:tcPr>
          <w:p>
            <w:pPr>
              <w:spacing w:before="40" w:after="100"/>
            </w:pPr>
            <w:r>
              <w:rPr>
                <w:rFonts w:ascii="Arial" w:cs="Arial" w:eastAsia="Arial" w:hAnsi="Arial"/>
                <w:b/>
                <w:bCs/>
                <w:color w:val="1B2A4A"/>
                <w:sz w:val="23"/>
                <w:szCs w:val="23"/>
              </w:rPr>
              <w:t xml:space="preserve">Why Quantum Resistance Matters for Time-Locks</w:t>
            </w:r>
          </w:p>
          <w:p>
            <w:pPr>
              <w:spacing w:before="40" w:after="40"/>
              <w:jc w:val="both"/>
            </w:pPr>
            <w:r>
              <w:rPr>
                <w:rFonts w:ascii="Arial" w:cs="Arial" w:eastAsia="Arial" w:hAnsi="Arial"/>
                <w:color w:val="1A1A1A"/>
                <w:sz w:val="21"/>
                <w:szCs w:val="21"/>
              </w:rPr>
              <w:t xml:space="preserve">A 30-year time-lock created today must still be secure in 2056. Cryptographers broadly expect quantum computers capable of breaking classical signatures to exist within that timeframe. A lock created on ChronX in 2026 and unlocking in 2056 is protected by a cryptographic standard specifically designed to survive that transition. ChronX is the only chain designed from the ground up with this reality in mind.</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3.2 Consensus: Proof of Work over a DAG</w:t>
      </w:r>
    </w:p>
    <w:p>
      <w:pPr>
        <w:spacing w:before="80" w:after="120"/>
        <w:jc w:val="both"/>
      </w:pPr>
      <w:r>
        <w:rPr>
          <w:rFonts w:ascii="Arial" w:cs="Arial" w:eastAsia="Arial" w:hAnsi="Arial"/>
          <w:color w:val="1A1A1A"/>
          <w:sz w:val="22"/>
          <w:szCs w:val="22"/>
        </w:rPr>
        <w:t xml:space="preserve">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pPr>
        <w:spacing w:before="80" w:after="120"/>
        <w:jc w:val="both"/>
      </w:pPr>
      <w:r>
        <w:rPr>
          <w:rFonts w:ascii="Arial" w:cs="Arial" w:eastAsia="Arial" w:hAnsi="Arial"/>
          <w:color w:val="1A1A1A"/>
          <w:sz w:val="22"/>
          <w:szCs w:val="22"/>
        </w:rP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also serves as spam prevention: every transaction requires the sender’s CPU to solve a small puzzle, imposing a real cost on spam without deducting any KX from the sender’s balance.</w:t>
      </w:r>
    </w:p>
    <w:p>
      <w:pPr>
        <w:pStyle w:val="Heading2"/>
        <w:spacing w:before="280" w:after="140"/>
      </w:pPr>
      <w:r>
        <w:rPr>
          <w:rFonts w:ascii="Arial" w:cs="Arial" w:eastAsia="Arial" w:hAnsi="Arial"/>
          <w:b/>
          <w:bCs/>
          <w:color w:val="2E5099"/>
          <w:sz w:val="26"/>
          <w:szCs w:val="26"/>
        </w:rPr>
        <w:t xml:space="preserve">3.3 Workspace Crates</w:t>
      </w:r>
    </w:p>
    <w:p>
      <w:pPr>
        <w:spacing w:before="80" w:after="120"/>
        <w:jc w:val="both"/>
      </w:pPr>
      <w:r>
        <w:rPr>
          <w:rFonts w:ascii="Arial" w:cs="Arial" w:eastAsia="Arial" w:hAnsi="Arial"/>
          <w:color w:val="1A1A1A"/>
          <w:sz w:val="22"/>
          <w:szCs w:val="22"/>
        </w:rPr>
        <w:t xml:space="preserve">The ChronX protocol is organized as a Rust workspace with the following crates: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Crate</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types: Account, Transaction, Action, TimeLockContract, constants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chronx-crypto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Dilithium2 KeyPair, PoW mining, hashing utilities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chronx-dag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DAG vertex structure and validation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chronx-state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StateDb (sled), StateEngine (consensus + tx application)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chronx-consensus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Finality logic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chronx-timelock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Treasury schedule, timelock query helpers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chronx-recovery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recovery protocol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chronx-p2p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libp2p networking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chronx-rpc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JSON-RPC 2.0 server (jsonrpsee + tower-http CORS)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chronx-node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 binary entry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chronx-wallet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 wallet binary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chronx-genesis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Genesis state builder</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3.4 Storage and State</w:t>
      </w:r>
    </w:p>
    <w:p>
      <w:pPr>
        <w:spacing w:before="80" w:after="120"/>
        <w:jc w:val="both"/>
      </w:pPr>
      <w:r>
        <w:rPr>
          <w:rFonts w:ascii="Arial" w:cs="Arial" w:eastAsia="Arial" w:hAnsi="Arial"/>
          <w:color w:val="1A1A1A"/>
          <w:sz w:val="22"/>
          <w:szCs w:val="22"/>
        </w:rPr>
        <w:t xml:space="preserve">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pPr>
        <w:pStyle w:val="Heading2"/>
        <w:spacing w:before="280" w:after="140"/>
      </w:pPr>
      <w:r>
        <w:rPr>
          <w:rFonts w:ascii="Arial" w:cs="Arial" w:eastAsia="Arial" w:hAnsi="Arial"/>
          <w:b/>
          <w:bCs/>
          <w:color w:val="2E5099"/>
          <w:sz w:val="26"/>
          <w:szCs w:val="26"/>
        </w:rPr>
        <w:t xml:space="preserve">3.5 Networking: libp2p</w:t>
      </w:r>
    </w:p>
    <w:p>
      <w:pPr>
        <w:spacing w:before="80" w:after="120"/>
        <w:jc w:val="both"/>
      </w:pPr>
      <w:r>
        <w:rPr>
          <w:rFonts w:ascii="Arial" w:cs="Arial" w:eastAsia="Arial" w:hAnsi="Arial"/>
          <w:color w:val="1A1A1A"/>
          <w:sz w:val="22"/>
          <w:szCs w:val="22"/>
        </w:rPr>
        <w:t xml:space="preserve">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pPr>
        <w:pStyle w:val="Heading2"/>
        <w:spacing w:before="280" w:after="140"/>
      </w:pPr>
      <w:r>
        <w:rPr>
          <w:rFonts w:ascii="Arial" w:cs="Arial" w:eastAsia="Arial" w:hAnsi="Arial"/>
          <w:b/>
          <w:bCs/>
          <w:color w:val="2E5099"/>
          <w:sz w:val="26"/>
          <w:szCs w:val="26"/>
        </w:rPr>
        <w:t xml:space="preserve">3.6 JSON-RPC Interface</w:t>
      </w:r>
    </w:p>
    <w:p>
      <w:pPr>
        <w:spacing w:before="80" w:after="120"/>
        <w:jc w:val="both"/>
      </w:pPr>
      <w:r>
        <w:rPr>
          <w:rFonts w:ascii="Arial" w:cs="Arial" w:eastAsia="Arial" w:hAnsi="Arial"/>
          <w:color w:val="1A1A1A"/>
          <w:sz w:val="22"/>
          <w:szCs w:val="22"/>
        </w:rPr>
        <w:t xml:space="preserve">The ChronX node exposes a JSON-RPC 2.0 interface at port 8545 with CORS enabled for browser clients. All methods are prefixed chronx_. Current RPC methods include: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chronx_getAccount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balance, spendable balance, nonce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chronx_getTimeLockContracts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locks for an account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chronx_getTimeLockById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lock by ID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chronx_getPendingIncoming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Incoming pending locks (up to 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chronx_getTimeLockContractsPaged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lock listing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chronx_getChainStats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supply, circulating supply, lock 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chronx_getRecentTransactions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Recent transaction history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chronx_getLocksByUnlockDate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Locks filtered by unlock date range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version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chronx_cancelLock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Cancel a lock within cancellation window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chronx_searchLocks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locks by criteria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chronx_sendTransaction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Submit a signed transaction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chronx_getGenesisInfo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Genesis parameters and supply verification</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3.7 Units and Denomination</w:t>
      </w:r>
    </w:p>
    <w:p>
      <w:pPr>
        <w:spacing w:before="80" w:after="120"/>
        <w:jc w:val="both"/>
      </w:pPr>
      <w:r>
        <w:rPr>
          <w:rFonts w:ascii="Arial" w:cs="Arial" w:eastAsia="Arial" w:hAnsi="Arial"/>
          <w:color w:val="1A1A1A"/>
          <w:sz w:val="22"/>
          <w:szCs w:val="22"/>
        </w:rPr>
        <w:t xml:space="preserve">The native currency of ChronX is KX. The base unit is the Chrono, where 1 KX = 1,000,000 grains (10⁶). This provides fine-grained precision for small transactions while keeping user-facing amounts readable at scale. All on-chain values are stored and transmitted in grains; wallets display amounts in KX with up to 6 decimal places.</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4. Tokenomics</w:t>
      </w:r>
    </w:p>
    <w:p>
      <w:pPr>
        <w:spacing w:before="80" w:after="120"/>
        <w:jc w:val="both"/>
      </w:pPr>
      <w:r>
        <w:rPr>
          <w:rFonts w:ascii="Arial" w:cs="Arial" w:eastAsia="Arial" w:hAnsi="Arial"/>
          <w:color w:val="1A1A1A"/>
          <w:sz w:val="22"/>
          <w:szCs w:val="22"/>
        </w:rPr>
        <w:t xml:space="preserve">ChronX has a fixed total supply of 8,270,000,000 KX, allocated at genesis with no inflation mechanism. The supply is permanent and immutable — it cannot be increased by any governance action, protocol upgrade, or administrative decision.</w:t>
      </w:r>
    </w:p>
    <w:p>
      <w:pPr>
        <w:pStyle w:val="Heading2"/>
        <w:spacing w:before="280" w:after="140"/>
      </w:pPr>
      <w:r>
        <w:rPr>
          <w:rFonts w:ascii="Arial" w:cs="Arial" w:eastAsia="Arial" w:hAnsi="Arial"/>
          <w:b/>
          <w:bCs/>
          <w:color w:val="2E5099"/>
          <w:sz w:val="26"/>
          <w:szCs w:val="26"/>
        </w:rPr>
        <w:t xml:space="preserve">4.1 Supply Allocation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40"/>
        <w:gridCol w:w="1560"/>
        <w:gridCol w:w="28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(KX)</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of Supply</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7,268,000,000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87.88%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Spendable at genesis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Treasury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1,000,000,000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12.09%</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 annual time-locks, 2029–2128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Humanity Stake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Locked until January 1, 2127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Milestone 2076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0.006%</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Locked until January 1, 2076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Locked until January 1, 2036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8,270,000,000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Fixed at genesis, no inflation ever</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4.2 Public Sale Allocation</w:t>
      </w:r>
    </w:p>
    <w:p>
      <w:pPr>
        <w:spacing w:before="80" w:after="120"/>
        <w:jc w:val="both"/>
      </w:pPr>
      <w:r>
        <w:rPr>
          <w:rFonts w:ascii="Arial" w:cs="Arial" w:eastAsia="Arial" w:hAnsi="Arial"/>
          <w:color w:val="1A1A1A"/>
          <w:sz w:val="22"/>
          <w:szCs w:val="22"/>
        </w:rPr>
        <w:t xml:space="preserve">87.88% of total supply — 7,268,000,000 KX — is allocated to the public sale wallet at genesis and is immediately spendable. These funds are available for distribution to early adopters, token sale participants, ecosystem contributors, and the public at the founding team’s discretion. The public sale allocation ensures that the vast majority of KX enters open circulation rather than being locked up by insiders.</w:t>
      </w:r>
    </w:p>
    <w:p>
      <w:pPr>
        <w:spacing w:before="80" w:after="120"/>
        <w:jc w:val="both"/>
      </w:pPr>
      <w:r>
        <w:rPr>
          <w:rFonts w:ascii="Arial" w:cs="Arial" w:eastAsia="Arial" w:hAnsi="Arial"/>
          <w:color w:val="1A1A1A"/>
          <w:sz w:val="22"/>
          <w:szCs w:val="22"/>
        </w:rPr>
        <w:t xml:space="preserve">For transparency: the founding developer holds 100,000,000 KX (approximately 1.21% of total supply), drawn from the public sale allocation and disclosed at genesis. These funds are designated for seeding ecosystem interest, funding early development, and supporting protocol testing. No additional founder allocation exists beyond this disclosed amount.</w:t>
      </w:r>
    </w:p>
    <w:p>
      <w:pPr>
        <w:pStyle w:val="Heading2"/>
        <w:spacing w:before="280" w:after="140"/>
      </w:pPr>
      <w:r>
        <w:rPr>
          <w:rFonts w:ascii="Arial" w:cs="Arial" w:eastAsia="Arial" w:hAnsi="Arial"/>
          <w:b/>
          <w:bCs/>
          <w:color w:val="2E5099"/>
          <w:sz w:val="26"/>
          <w:szCs w:val="26"/>
        </w:rPr>
        <w:t xml:space="preserve">4.3 Treasury</w:t>
      </w:r>
    </w:p>
    <w:p>
      <w:pPr>
        <w:spacing w:before="80" w:after="120"/>
        <w:jc w:val="both"/>
      </w:pPr>
      <w:r>
        <w:rPr>
          <w:rFonts w:ascii="Arial" w:cs="Arial" w:eastAsia="Arial" w:hAnsi="Arial"/>
          <w:color w:val="1A1A1A"/>
          <w:sz w:val="22"/>
          <w:szCs w:val="22"/>
        </w:rPr>
        <w:t xml:space="preserve">1,000,000,000 KX is allocated to the treasury across 100 annual time-locks following a harmonic series release schedule (proportional to 1/k, where k is the release number). The first treasury release occurs on January 1, 2029 — two years after genesis — giving the ecosystem time to develop before protocol funding begins.</w:t>
      </w:r>
    </w:p>
    <w:p>
      <w:pPr>
        <w:spacing w:before="80" w:after="120"/>
        <w:jc w:val="both"/>
      </w:pPr>
      <w:r>
        <w:rPr>
          <w:rFonts w:ascii="Arial" w:cs="Arial" w:eastAsia="Arial" w:hAnsi="Arial"/>
          <w:color w:val="1A1A1A"/>
          <w:sz w:val="22"/>
          <w:szCs w:val="22"/>
        </w:rPr>
        <w:t xml:space="preserve">The harmonic schedule produces a front-weighted but long-running funding stream: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Calendar Year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Release (KX)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192,775,636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Year 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2039</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19,277,564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3,855,513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Year 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2127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1,947,229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1,927,756</w:t>
            </w:r>
          </w:p>
        </w:tc>
      </w:tr>
    </w:tbl>
    <w:p>
      <w:pPr>
        <w:spacing w:before="120" w:after="0"/>
      </w:pPr>
      <w:r>
        <w:t xml:space="preserve"/>
      </w:r>
    </w:p>
    <w:p>
      <w:pPr>
        <w:spacing w:before="80" w:after="120"/>
        <w:jc w:val="both"/>
      </w:pPr>
      <w:r>
        <w:rPr>
          <w:rFonts w:ascii="Arial" w:cs="Arial" w:eastAsia="Arial" w:hAnsi="Arial"/>
          <w:color w:val="1A1A1A"/>
          <w:sz w:val="22"/>
          <w:szCs w:val="22"/>
        </w:rPr>
        <w:t xml:space="preserve">This structure incentivizes long-term protocol development while preventing large, destabilizing treasury dumps in any single year. Treasury funds are intended for protocol development, ecosystem grants, and operational sustainability across a 100-year horizon.</w:t>
      </w:r>
    </w:p>
    <w:p>
      <w:pPr>
        <w:pStyle w:val="Heading2"/>
        <w:spacing w:before="280" w:after="140"/>
      </w:pPr>
      <w:r>
        <w:rPr>
          <w:rFonts w:ascii="Arial" w:cs="Arial" w:eastAsia="Arial" w:hAnsi="Arial"/>
          <w:b/>
          <w:bCs/>
          <w:color w:val="2E5099"/>
          <w:sz w:val="26"/>
          <w:szCs w:val="26"/>
        </w:rPr>
        <w:t xml:space="preserve">4.4 Humanity Stake</w:t>
      </w:r>
    </w:p>
    <w:p>
      <w:pPr>
        <w:spacing w:before="80" w:after="120"/>
        <w:jc w:val="both"/>
      </w:pPr>
      <w:r>
        <w:rPr>
          <w:rFonts w:ascii="Arial" w:cs="Arial" w:eastAsia="Arial" w:hAnsi="Arial"/>
          <w:color w:val="1A1A1A"/>
          <w:sz w:val="22"/>
          <w:szCs w:val="22"/>
        </w:rPr>
        <w:t xml:space="preserve">1,000,000 KX is locked until January 1, 2127 — a symbolic and functional demonstration of ChronX’s core capability. This is a 100-year time-lock created at genesis, visible on-chain to anyone, redeemable by no one alive today.</w:t>
      </w:r>
    </w:p>
    <w:p>
      <w:pPr>
        <w:spacing w:before="80" w:after="120"/>
        <w:jc w:val="both"/>
      </w:pPr>
      <w:r>
        <w:rPr>
          <w:rFonts w:ascii="Arial" w:cs="Arial" w:eastAsia="Arial" w:hAnsi="Arial"/>
          <w:color w:val="1A1A1A"/>
          <w:sz w:val="22"/>
          <w:szCs w:val="22"/>
        </w:rPr>
        <w:t xml:space="preserve">Its on-chain memo reads: “The humanity stake — 1,000,000 KX — locked until Jan 1 2127 00:00:00 UTC. The largest single promise in the ledger.”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180"/>
              <w:left w:type="dxa" w:w="240"/>
              <w:bottom w:type="dxa" w:w="180"/>
              <w:right w:type="dxa" w:w="240"/>
            </w:tcMar>
          </w:tcPr>
          <w:p>
            <w:pPr>
              <w:spacing w:before="40" w:after="100"/>
            </w:pPr>
            <w:r>
              <w:rPr>
                <w:rFonts w:ascii="Arial" w:cs="Arial" w:eastAsia="Arial" w:hAnsi="Arial"/>
                <w:b/>
                <w:bCs/>
                <w:color w:val="B8860B"/>
                <w:sz w:val="23"/>
                <w:szCs w:val="23"/>
              </w:rPr>
              <w:t xml:space="preserve">The Humanity Stake</w:t>
            </w:r>
          </w:p>
          <w:p>
            <w:pPr>
              <w:spacing w:before="40" w:after="40"/>
              <w:jc w:val="both"/>
            </w:pPr>
            <w:r>
              <w:rPr>
                <w:rFonts w:ascii="Arial" w:cs="Arial" w:eastAsia="Arial" w:hAnsi="Arial"/>
                <w:color w:val="1A1A1A"/>
                <w:sz w:val="21"/>
                <w:szCs w:val="21"/>
              </w:rPr>
              <w:t xml:space="preserve">One million KX locked for 100 years. Not a marketing claim — an on-chain record, verifiable by anyone, redeemable by no one alive today. ChronX puts its own protocol to the test from block zero. If the chain is still running in 2127, this lock will unlock. That is the standard the team holds itself to.</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4.5 Milestone 2076</w:t>
      </w:r>
    </w:p>
    <w:p>
      <w:pPr>
        <w:spacing w:before="80" w:after="120"/>
        <w:jc w:val="both"/>
      </w:pPr>
      <w:r>
        <w:rPr>
          <w:rFonts w:ascii="Arial" w:cs="Arial" w:eastAsia="Arial" w:hAnsi="Arial"/>
          <w:color w:val="1A1A1A"/>
          <w:sz w:val="22"/>
          <w:szCs w:val="22"/>
        </w:rPr>
        <w:t xml:space="preserve">500,000 KX is locked until January 1, 2076 — the exact halfway point between the genesis block and the Humanity Stake unlock date of 2127. Its on-chain memo reads: “ChronX 50-year milestone stake — locked at genesis, January 1 2026. Unlocks at the halfway point to the Humanity Stake.”</w:t>
      </w:r>
    </w:p>
    <w:p>
      <w:pPr>
        <w:spacing w:before="80" w:after="120"/>
        <w:jc w:val="both"/>
      </w:pPr>
      <w:r>
        <w:rPr>
          <w:rFonts w:ascii="Arial" w:cs="Arial" w:eastAsia="Arial" w:hAnsi="Arial"/>
          <w:color w:val="1A1A1A"/>
          <w:sz w:val="22"/>
          <w:szCs w:val="22"/>
        </w:rPr>
        <w:t xml:space="preserve">This lock serves as a public 50-year proof-of-concept checkpoint. If ChronX is still running in 2076, this lock will mature as visible, on-chain evidence that the protocol held value for half a century.</w:t>
      </w:r>
    </w:p>
    <w:p>
      <w:pPr>
        <w:pStyle w:val="Heading2"/>
        <w:spacing w:before="280" w:after="140"/>
      </w:pPr>
      <w:r>
        <w:rPr>
          <w:rFonts w:ascii="Arial" w:cs="Arial" w:eastAsia="Arial" w:hAnsi="Arial"/>
          <w:b/>
          <w:bCs/>
          <w:color w:val="2E5099"/>
          <w:sz w:val="26"/>
          <w:szCs w:val="26"/>
        </w:rPr>
        <w:t xml:space="preserve">4.6 Protocol Reserve</w:t>
      </w:r>
    </w:p>
    <w:p>
      <w:pPr>
        <w:spacing w:before="80" w:after="120"/>
        <w:jc w:val="both"/>
      </w:pPr>
      <w:r>
        <w:rPr>
          <w:rFonts w:ascii="Arial" w:cs="Arial" w:eastAsia="Arial" w:hAnsi="Arial"/>
          <w:color w:val="1A1A1A"/>
          <w:sz w:val="22"/>
          <w:szCs w:val="22"/>
        </w:rPr>
        <w:t xml:space="preserve">500,000 KX is locked until January 1, 2036, functioning as a 10-year development reserve. Its on-chain memo reads: “ChronX protocol reserve — 10-year development fund. Locked at genesis January 1 2026.”</w:t>
      </w:r>
    </w:p>
    <w:p>
      <w:pPr>
        <w:spacing w:before="80" w:after="120"/>
        <w:jc w:val="both"/>
      </w:pPr>
      <w:r>
        <w:rPr>
          <w:rFonts w:ascii="Arial" w:cs="Arial" w:eastAsia="Arial" w:hAnsi="Arial"/>
          <w:color w:val="1A1A1A"/>
          <w:sz w:val="22"/>
          <w:szCs w:val="22"/>
        </w:rPr>
        <w:t xml:space="preserve">By locking these funds at genesis rather than leaving them in the spendable public sale wallet, the protocol makes a credible on-chain commitment that core development resources cannot be spent impulsively in the early years. The Protocol Reserve unlocks in 2036 alongside approximately 19.3M KX from the treasury’s Year 8 release, providing supplementary development funding during a critical growth phase.</w:t>
      </w:r>
    </w:p>
    <w:p>
      <w:pPr>
        <w:pStyle w:val="Heading2"/>
        <w:spacing w:before="280" w:after="140"/>
      </w:pPr>
      <w:r>
        <w:rPr>
          <w:rFonts w:ascii="Arial" w:cs="Arial" w:eastAsia="Arial" w:hAnsi="Arial"/>
          <w:b/>
          <w:bCs/>
          <w:color w:val="2E5099"/>
          <w:sz w:val="26"/>
          <w:szCs w:val="26"/>
        </w:rPr>
        <w:t xml:space="preserve">4.7 No Inflation, No Staking Rewards</w:t>
      </w:r>
    </w:p>
    <w:p>
      <w:pPr>
        <w:spacing w:before="80" w:after="120"/>
        <w:jc w:val="both"/>
      </w:pPr>
      <w:r>
        <w:rPr>
          <w:rFonts w:ascii="Arial" w:cs="Arial" w:eastAsia="Arial" w:hAnsi="Arial"/>
          <w:color w:val="1A1A1A"/>
          <w:sz w:val="22"/>
          <w:szCs w:val="22"/>
        </w:rPr>
        <w:t xml:space="preserve">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pPr>
        <w:spacing w:before="80" w:after="120"/>
        <w:jc w:val="both"/>
      </w:pPr>
      <w:r>
        <w:rPr>
          <w:rFonts w:ascii="Arial" w:cs="Arial" w:eastAsia="Arial" w:hAnsi="Arial"/>
          <w:color w:val="1A1A1A"/>
          <w:sz w:val="22"/>
          <w:szCs w:val="22"/>
        </w:rPr>
        <w:t xml:space="preserve">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5. Genesis Design Choices</w:t>
      </w:r>
    </w:p>
    <w:p>
      <w:pPr>
        <w:spacing w:before="80" w:after="120"/>
        <w:jc w:val="both"/>
      </w:pPr>
      <w:r>
        <w:rPr>
          <w:rFonts w:ascii="Arial" w:cs="Arial" w:eastAsia="Arial" w:hAnsi="Arial"/>
          <w:color w:val="1A1A1A"/>
          <w:sz w:val="22"/>
          <w:szCs w:val="22"/>
        </w:rPr>
        <w:t xml:space="preserve">ChronX was designed with intention at every level. The details embedded in the genesis block are not accidents — they are deliberate choices that reflect the protocol’s values and long-term thinking.</w:t>
      </w:r>
    </w:p>
    <w:p>
      <w:pPr>
        <w:pStyle w:val="Heading2"/>
        <w:spacing w:before="280" w:after="140"/>
      </w:pPr>
      <w:r>
        <w:rPr>
          <w:rFonts w:ascii="Arial" w:cs="Arial" w:eastAsia="Arial" w:hAnsi="Arial"/>
          <w:b/>
          <w:bCs/>
          <w:color w:val="2E5099"/>
          <w:sz w:val="26"/>
          <w:szCs w:val="26"/>
        </w:rPr>
        <w:t xml:space="preserve">5.1 One Coin Per Person</w:t>
      </w:r>
    </w:p>
    <w:p>
      <w:pPr>
        <w:spacing w:before="80" w:after="120"/>
        <w:jc w:val="both"/>
      </w:pPr>
      <w:r>
        <w:rPr>
          <w:rFonts w:ascii="Arial" w:cs="Arial" w:eastAsia="Arial" w:hAnsi="Arial"/>
          <w:color w:val="1A1A1A"/>
          <w:sz w:val="22"/>
          <w:szCs w:val="22"/>
        </w:rPr>
        <w:t xml:space="preserve">The total supply of 8,270,000,000 KX was chosen to match the world population on January 1, 2026. This is a statement of intent: ChronX is not designed for whales, speculators, or insiders. It is designed for people.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180"/>
              <w:left w:type="dxa" w:w="240"/>
              <w:bottom w:type="dxa" w:w="180"/>
              <w:right w:type="dxa" w:w="240"/>
            </w:tcMar>
          </w:tcPr>
          <w:p>
            <w:pPr>
              <w:spacing w:before="40" w:after="100"/>
            </w:pPr>
            <w:r>
              <w:rPr>
                <w:rFonts w:ascii="Arial" w:cs="Arial" w:eastAsia="Arial" w:hAnsi="Arial"/>
                <w:b/>
                <w:bCs/>
                <w:color w:val="B8860B"/>
                <w:sz w:val="23"/>
                <w:szCs w:val="23"/>
              </w:rPr>
              <w:t xml:space="preserve">8,270,000,000 KX</w:t>
            </w:r>
          </w:p>
          <w:p>
            <w:pPr>
              <w:spacing w:before="40" w:after="40"/>
              <w:jc w:val="both"/>
            </w:pPr>
            <w:r>
              <w:rPr>
                <w:rFonts w:ascii="Arial" w:cs="Arial" w:eastAsia="Arial" w:hAnsi="Arial"/>
                <w:color w:val="1A1A1A"/>
                <w:sz w:val="21"/>
                <w:szCs w:val="21"/>
              </w:rPr>
              <w:t xml:space="preserve">A supply sized for humanity — matched to the world population on January 1, 2026. Not a round number chosen for aesthetics — a population number chosen for meaning.</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5.2 The 2127 Alignment</w:t>
      </w:r>
    </w:p>
    <w:p>
      <w:pPr>
        <w:spacing w:before="80" w:after="120"/>
        <w:jc w:val="both"/>
      </w:pPr>
      <w:r>
        <w:rPr>
          <w:rFonts w:ascii="Arial" w:cs="Arial" w:eastAsia="Arial" w:hAnsi="Arial"/>
          <w:color w:val="1A1A1A"/>
          <w:sz w:val="22"/>
          <w:szCs w:val="22"/>
        </w:rPr>
        <w:t xml:space="preserve">Treasury Release #99 (the 100th release in zero-indexed terms) unlocks on January 1, 2127 — the same date as the Humanity Stake. On that day, two promises made at genesis in 2026 will mature simultaneously: the last meaningful treasury release and the humanity stake, both unlocking 101 years after the chain’s first block. The final treasury release follows one year later on January 1, 2128, completing a 100-year funding arc spanning 2029 to 2128.</w:t>
      </w:r>
    </w:p>
    <w:p>
      <w:pPr>
        <w:pStyle w:val="Heading2"/>
        <w:spacing w:before="280" w:after="140"/>
      </w:pPr>
      <w:r>
        <w:rPr>
          <w:rFonts w:ascii="Arial" w:cs="Arial" w:eastAsia="Arial" w:hAnsi="Arial"/>
          <w:b/>
          <w:bCs/>
          <w:color w:val="2E5099"/>
          <w:sz w:val="26"/>
          <w:szCs w:val="26"/>
        </w:rPr>
        <w:t xml:space="preserve">5.3 A Fully Transparent Genesis</w:t>
      </w:r>
    </w:p>
    <w:p>
      <w:pPr>
        <w:spacing w:before="80" w:after="120"/>
        <w:jc w:val="both"/>
      </w:pPr>
      <w:r>
        <w:rPr>
          <w:rFonts w:ascii="Arial" w:cs="Arial" w:eastAsia="Arial" w:hAnsi="Arial"/>
          <w:color w:val="1A1A1A"/>
          <w:sz w:val="22"/>
          <w:szCs w:val="22"/>
        </w:rPr>
        <w:t xml:space="preserve">Every token that will ever exist was created at genesis on January 1, 2026 at 00:00:00 UTC. There is no mining reward. There is no inflation. There is no hidden allocation. The complete distribution — public sale wallet, 100 treasury time-locks, the humanity stake, the milestone lock, and the protocol reserve — is visible on-chain from block zero and verifiable by anyone running a node.</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6. Claims Resolution: The Core Innovation</w:t>
      </w:r>
    </w:p>
    <w:p>
      <w:pPr>
        <w:spacing w:before="80" w:after="120"/>
        <w:jc w:val="both"/>
      </w:pPr>
      <w:r>
        <w:rPr>
          <w:rFonts w:ascii="Arial" w:cs="Arial" w:eastAsia="Arial" w:hAnsi="Arial"/>
          <w:color w:val="1A1A1A"/>
          <w:sz w:val="22"/>
          <w:szCs w:val="22"/>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before="80" w:after="120"/>
        <w:jc w:val="both"/>
      </w:pPr>
      <w:r>
        <w:rPr>
          <w:rFonts w:ascii="Arial" w:cs="Arial" w:eastAsia="Arial" w:hAnsi="Arial"/>
          <w:color w:val="1A1A1A"/>
          <w:sz w:val="22"/>
          <w:szCs w:val="22"/>
        </w:rPr>
        <w:t xml:space="preserve">ChronX’s claims resolution layer is not a roadmap item. It is a founding design principle, with all necessary data structures present in the protocol from genesis. This architecture ensures that ChronX can evolve its claims resolution capabilities over decades without ever requiring a hard fork or breaking existing locks.</w:t>
      </w:r>
    </w:p>
    <w:p>
      <w:pPr>
        <w:pStyle w:val="Heading2"/>
        <w:spacing w:before="280" w:after="140"/>
      </w:pPr>
      <w:r>
        <w:rPr>
          <w:rFonts w:ascii="Arial" w:cs="Arial" w:eastAsia="Arial" w:hAnsi="Arial"/>
          <w:b/>
          <w:bCs/>
          <w:color w:val="2E5099"/>
          <w:sz w:val="26"/>
          <w:szCs w:val="26"/>
        </w:rPr>
        <w:t xml:space="preserve">6.1 The No-Hard-Fork Principle</w:t>
      </w:r>
    </w:p>
    <w:p>
      <w:pPr>
        <w:spacing w:before="80" w:after="120"/>
        <w:jc w:val="both"/>
      </w:pPr>
      <w:r>
        <w:rPr>
          <w:rFonts w:ascii="Arial" w:cs="Arial" w:eastAsia="Arial" w:hAnsi="Arial"/>
          <w:color w:val="1A1A1A"/>
          <w:sz w:val="22"/>
          <w:szCs w:val="22"/>
        </w:rPr>
        <w:t xml:space="preserve">A protocol designed to hold value for 100 years cannot afford to break existing locks every time the claim resolution rules evolve. ChronX’s claim resolution layer is therefore designed as a versioned runtime module — not as hard-coded consensus rules. The core insight: claim logic lives in data, policies, and registries rather than in block validity rules.</w:t>
      </w:r>
    </w:p>
    <w:p>
      <w:pPr>
        <w:pStyle w:val="ListParagraph"/>
        <w:numPr>
          <w:ilvl w:val="0"/>
          <w:numId w:val="2"/>
        </w:numPr>
        <w:spacing w:before="60" w:after="60"/>
      </w:pPr>
      <w:r>
        <w:rPr>
          <w:rFonts w:ascii="Arial" w:cs="Arial" w:eastAsia="Arial" w:hAnsi="Arial"/>
          <w:color w:val="1A1A1A"/>
          <w:sz w:val="22"/>
          <w:szCs w:val="22"/>
        </w:rPr>
        <w:t xml:space="preserve">Lock records carry versioned schemas — old locks remain valid as new lock versions are introduced</w:t>
      </w:r>
    </w:p>
    <w:p>
      <w:pPr>
        <w:pStyle w:val="ListParagraph"/>
        <w:numPr>
          <w:ilvl w:val="0"/>
          <w:numId w:val="2"/>
        </w:numPr>
        <w:spacing w:before="60" w:after="60"/>
      </w:pPr>
      <w:r>
        <w:rPr>
          <w:rFonts w:ascii="Arial" w:cs="Arial" w:eastAsia="Arial" w:hAnsi="Arial"/>
          <w:color w:val="1A1A1A"/>
          <w:sz w:val="22"/>
          <w:szCs w:val="22"/>
        </w:rPr>
        <w:t xml:space="preserve">Certificate types are registered on-chain via governance, not hard-coded as enums that require forks</w:t>
      </w:r>
    </w:p>
    <w:p>
      <w:pPr>
        <w:pStyle w:val="ListParagraph"/>
        <w:numPr>
          <w:ilvl w:val="0"/>
          <w:numId w:val="2"/>
        </w:numPr>
        <w:spacing w:before="60" w:after="60"/>
      </w:pPr>
      <w:r>
        <w:rPr>
          <w:rFonts w:ascii="Arial" w:cs="Arial" w:eastAsia="Arial" w:hAnsi="Arial"/>
          <w:color w:val="1A1A1A"/>
          <w:sz w:val="22"/>
          <w:szCs w:val="22"/>
        </w:rPr>
        <w:t xml:space="preserve">Provider classes (KYC providers, notaries, compliance attestors, court proxies) are data-driven registry entries</w:t>
      </w:r>
    </w:p>
    <w:p>
      <w:pPr>
        <w:pStyle w:val="ListParagraph"/>
        <w:numPr>
          <w:ilvl w:val="0"/>
          <w:numId w:val="2"/>
        </w:numPr>
        <w:spacing w:before="60" w:after="60"/>
      </w:pPr>
      <w:r>
        <w:rPr>
          <w:rFonts w:ascii="Arial" w:cs="Arial" w:eastAsia="Arial" w:hAnsi="Arial"/>
          <w:color w:val="1A1A1A"/>
          <w:sz w:val="22"/>
          <w:szCs w:val="22"/>
        </w:rPr>
        <w:t xml:space="preserve">Lane thresholds, bond multipliers, and claim windows are governance-updatable policy parameters</w:t>
      </w:r>
    </w:p>
    <w:p>
      <w:pPr>
        <w:pStyle w:val="ListParagraph"/>
        <w:numPr>
          <w:ilvl w:val="0"/>
          <w:numId w:val="2"/>
        </w:numPr>
        <w:spacing w:before="60" w:after="60"/>
      </w:pPr>
      <w:r>
        <w:rPr>
          <w:rFonts w:ascii="Arial" w:cs="Arial" w:eastAsia="Arial" w:hAnsi="Arial"/>
          <w:color w:val="1A1A1A"/>
          <w:sz w:val="22"/>
          <w:szCs w:val="22"/>
        </w:rPr>
        <w:t xml:space="preserve">New certificate schemas and identity anchors can be added at runtime without consensus changes</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6.2 The TimeLockContract: A Complete Data Structure</w:t>
      </w:r>
    </w:p>
    <w:p>
      <w:pPr>
        <w:spacing w:before="80" w:after="120"/>
        <w:jc w:val="both"/>
      </w:pPr>
      <w:r>
        <w:rPr>
          <w:rFonts w:ascii="Arial" w:cs="Arial" w:eastAsia="Arial" w:hAnsi="Arial"/>
          <w:color w:val="1A1A1A"/>
          <w:sz w:val="22"/>
          <w:szCs w:val="22"/>
        </w:rPr>
        <w:t xml:space="preserve">Every ChronX time-lock is represented by a TimeLockContract with a comprehensive set of fields covering all current and future use cases. All optional fields default to None/false so existing locks remain valid as new features are activated. The current field set includes: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Group</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sender, recipient, amount_grains, unlock_at, memo, lock_version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time-lock data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Claims V2</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claim_policy, beneficiary_anchor, lock_version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Claims resolution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 Extended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cancellation_window, tags, private, expiry_policy, recurring, oracle_hint, jurisdiction_hint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Rich lock metadata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 Transferability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transferable, transfer_policy, current_beneficiary, transfer_history, earliest_transfer_date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Secondary market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V3.1 Email-lock</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recipient_email_hash, claim_window_secs, unclaimed_action, notification_sent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Email-based future gifts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 (Pending/Active/Claimed/Cancelled/Expired/Ambiguous)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Lifecycle tracking</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6.3 The Claim Lifecycle</w:t>
      </w:r>
    </w:p>
    <w:p>
      <w:pPr>
        <w:spacing w:before="80" w:after="120"/>
        <w:jc w:val="both"/>
      </w:pPr>
      <w:r>
        <w:rPr>
          <w:rFonts w:ascii="Arial" w:cs="Arial" w:eastAsia="Arial" w:hAnsi="Arial"/>
          <w:color w:val="1A1A1A"/>
          <w:sz w:val="22"/>
          <w:szCs w:val="22"/>
        </w:rPr>
        <w:t xml:space="preserve">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 — a critical property for high-value long-horizon locks.</w:t>
      </w:r>
    </w:p>
    <w:p>
      <w:pPr>
        <w:spacing w:before="80" w:after="120"/>
        <w:jc w:val="both"/>
      </w:pPr>
      <w:r>
        <w:rPr>
          <w:rFonts w:ascii="Arial" w:cs="Arial" w:eastAsia="Arial" w:hAnsi="Arial"/>
          <w:color w:val="1A1A1A"/>
          <w:sz w:val="22"/>
          <w:szCs w:val="22"/>
        </w:rPr>
        <w:t xml:space="preserve">Submissions use a commit-reveal scheme: a Claim Agent first commits a hash of their claim, waits a defined number of blocks, then reveals the full claim. This prevents frontrunning — other actors cannot observe a valid claim in the mempool and submit a competing claim before it confirms.</w:t>
      </w:r>
    </w:p>
    <w:p>
      <w:pPr>
        <w:pStyle w:val="Heading2"/>
        <w:spacing w:before="280" w:after="140"/>
      </w:pPr>
      <w:r>
        <w:rPr>
          <w:rFonts w:ascii="Arial" w:cs="Arial" w:eastAsia="Arial" w:hAnsi="Arial"/>
          <w:b/>
          <w:bCs/>
          <w:color w:val="2E5099"/>
          <w:sz w:val="26"/>
          <w:szCs w:val="26"/>
        </w:rPr>
        <w:t xml:space="preserve">6.4 Bonded Claim Agents</w:t>
      </w:r>
    </w:p>
    <w:p>
      <w:pPr>
        <w:spacing w:before="80" w:after="120"/>
        <w:jc w:val="both"/>
      </w:pPr>
      <w:r>
        <w:rPr>
          <w:rFonts w:ascii="Arial" w:cs="Arial" w:eastAsia="Arial" w:hAnsi="Arial"/>
          <w:color w:val="1A1A1A"/>
          <w:sz w:val="22"/>
          <w:szCs w:val="22"/>
        </w:rPr>
        <w:t xml:space="preserve">ChronX will introduce a permissionless registry of bonded Claim Agents — independent third parties who post economic bonds and compete to complete claims on behalf of recipients who cannot claim directly. A Claim Agent submits an Outcome Certificate attesting that the described recipient is identifiable and reachable, and facilitates the claim process under the lock’s policy.</w:t>
      </w:r>
    </w:p>
    <w:p>
      <w:pPr>
        <w:spacing w:before="80" w:after="120"/>
        <w:jc w:val="both"/>
      </w:pPr>
      <w:r>
        <w:rPr>
          <w:rFonts w:ascii="Arial" w:cs="Arial" w:eastAsia="Arial" w:hAnsi="Arial"/>
          <w:color w:val="1A1A1A"/>
          <w:sz w:val="22"/>
          <w:szCs w:val="22"/>
        </w:rPr>
        <w:t xml:space="preserve">Claim Agents are deterred from fraud by value-scaled bonding: the bond required scales with the fiat-equivalent value of the lock being claimed in the claiming jurisdiction — not the raw token amount. This ensures that the cost of fraud always exceeds the potential gain regardless of KX price fluctuations.</w:t>
      </w:r>
    </w:p>
    <w:p>
      <w:pPr>
        <w:pStyle w:val="Heading2"/>
        <w:spacing w:before="280" w:after="140"/>
      </w:pPr>
      <w:r>
        <w:rPr>
          <w:rFonts w:ascii="Arial" w:cs="Arial" w:eastAsia="Arial" w:hAnsi="Arial"/>
          <w:b/>
          <w:bCs/>
          <w:color w:val="2E5099"/>
          <w:sz w:val="26"/>
          <w:szCs w:val="26"/>
        </w:rPr>
        <w:t xml:space="preserve">6.5 Value-Tier Lane Selection</w:t>
      </w:r>
    </w:p>
    <w:p>
      <w:pPr>
        <w:spacing w:before="80" w:after="120"/>
        <w:jc w:val="both"/>
      </w:pPr>
      <w:r>
        <w:rPr>
          <w:rFonts w:ascii="Arial" w:cs="Arial" w:eastAsia="Arial" w:hAnsi="Arial"/>
          <w:color w:val="1A1A1A"/>
          <w:sz w:val="22"/>
          <w:szCs w:val="22"/>
        </w:rPr>
        <w:t xml:space="preserve">Compliance requirements for a claim are determined at claim time based on the fiat-equivalent value of the lock in the claiming jurisdiction. A trivial-value lock requires only a direct signature. A mid-value lock may require an Outcome Certificate. A high-value lock may require a full Compliance Certificate from an approved provider class. Lane thresholds are governance-updatable.</w:t>
      </w:r>
    </w:p>
    <w:p>
      <w:pPr>
        <w:pStyle w:val="Heading2"/>
        <w:spacing w:before="280" w:after="140"/>
      </w:pPr>
      <w:r>
        <w:rPr>
          <w:rFonts w:ascii="Arial" w:cs="Arial" w:eastAsia="Arial" w:hAnsi="Arial"/>
          <w:b/>
          <w:bCs/>
          <w:color w:val="2E5099"/>
          <w:sz w:val="26"/>
          <w:szCs w:val="26"/>
        </w:rPr>
        <w:t xml:space="preserve">6.6 Ambiguity Mode</w:t>
      </w:r>
    </w:p>
    <w:p>
      <w:pPr>
        <w:spacing w:before="80" w:after="120"/>
        <w:jc w:val="both"/>
      </w:pPr>
      <w:r>
        <w:rPr>
          <w:rFonts w:ascii="Arial" w:cs="Arial" w:eastAsia="Arial" w:hAnsi="Arial"/>
          <w:color w:val="1A1A1A"/>
          <w:sz w:val="22"/>
          <w:szCs w:val="22"/>
        </w:rPr>
        <w:t xml:space="preserve">ChronX does not guess. When a lock specifies a recipient that could match multiple real-world entities — for example, “my eldest child” rather than a full legal name with date of birth and jurisdiction — the lock enters Ambiguity Mode at unlock. The protocol will never resolve ambiguity by majority vote, committee discretion, or inference. Precision at lock creation time is incentivized; ambiguity has a deterministic, sender-specified resolution path.</w:t>
      </w:r>
    </w:p>
    <w:p>
      <w:pPr>
        <w:pStyle w:val="Heading2"/>
        <w:spacing w:before="280" w:after="140"/>
      </w:pPr>
      <w:r>
        <w:rPr>
          <w:rFonts w:ascii="Arial" w:cs="Arial" w:eastAsia="Arial" w:hAnsi="Arial"/>
          <w:b/>
          <w:bCs/>
          <w:color w:val="2E5099"/>
          <w:sz w:val="26"/>
          <w:szCs w:val="26"/>
        </w:rPr>
        <w:t xml:space="preserve">6.7 Cancellation Windows</w:t>
      </w:r>
    </w:p>
    <w:p>
      <w:pPr>
        <w:spacing w:before="80" w:after="120"/>
        <w:jc w:val="both"/>
      </w:pPr>
      <w:r>
        <w:rPr>
          <w:rFonts w:ascii="Arial" w:cs="Arial" w:eastAsia="Arial" w:hAnsi="Arial"/>
          <w:color w:val="1A1A1A"/>
          <w:sz w:val="22"/>
          <w:szCs w:val="22"/>
        </w:rPr>
        <w:t xml:space="preserve">Senders may optionally specify a cancellation window at lock creation time. Within this window, the sender may cancel the lock and receive a full refund. Once the cancellation window expires, the lock is permanently irrevocable. This gives senders a grace period for correction while preserving the unconditional commitment that makes ChronX time-locks trustworthy.</w:t>
      </w:r>
    </w:p>
    <w:p>
      <w:pPr>
        <w:spacing w:before="80" w:after="120"/>
        <w:jc w:val="both"/>
      </w:pPr>
      <w:r>
        <w:rPr>
          <w:rFonts w:ascii="Arial" w:cs="Arial" w:eastAsia="Arial" w:hAnsi="Arial"/>
          <w:color w:val="1A1A1A"/>
          <w:sz w:val="22"/>
          <w:szCs w:val="22"/>
        </w:rPr>
        <w:t xml:space="preserve">For locks with an unlock date of one year or more in the future, ChronX automatically applies a 24-hour cancellation window by default. This means long-horizon Promises — the ones most likely to involve significant value and careful deliberation — are created with a built-in period of reflection. A sender who changes their mind, makes an error, or simply reconsiders has exactly 24 hours to reverse the Promise with no penalty and no loss of funds.</w:t>
      </w:r>
    </w:p>
    <w:p>
      <w:pPr>
        <w:pStyle w:val="ListParagraph"/>
        <w:numPr>
          <w:ilvl w:val="0"/>
          <w:numId w:val="2"/>
        </w:numPr>
        <w:spacing w:before="60" w:after="60"/>
      </w:pPr>
      <w:r>
        <w:rPr>
          <w:rFonts w:ascii="Arial" w:cs="Arial" w:eastAsia="Arial" w:hAnsi="Arial"/>
          <w:color w:val="1A1A1A"/>
          <w:sz w:val="22"/>
          <w:szCs w:val="22"/>
        </w:rPr>
        <w:t xml:space="preserve">Locks under 1 year — cancellation window is optional, set by the sender at creation time</w:t>
      </w:r>
    </w:p>
    <w:p>
      <w:pPr>
        <w:pStyle w:val="ListParagraph"/>
        <w:numPr>
          <w:ilvl w:val="0"/>
          <w:numId w:val="2"/>
        </w:numPr>
        <w:spacing w:before="60" w:after="60"/>
      </w:pPr>
      <w:r>
        <w:rPr>
          <w:rFonts w:ascii="Arial" w:cs="Arial" w:eastAsia="Arial" w:hAnsi="Arial"/>
          <w:color w:val="1A1A1A"/>
          <w:sz w:val="22"/>
          <w:szCs w:val="22"/>
        </w:rPr>
        <w:t xml:space="preserve">Locks of 1 year or more — 24-hour cancellation window applied automatically by the protocol</w:t>
      </w:r>
    </w:p>
    <w:p>
      <w:pPr>
        <w:pStyle w:val="ListParagraph"/>
        <w:numPr>
          <w:ilvl w:val="0"/>
          <w:numId w:val="2"/>
        </w:numPr>
        <w:spacing w:before="60" w:after="60"/>
      </w:pPr>
      <w:r>
        <w:rPr>
          <w:rFonts w:ascii="Arial" w:cs="Arial" w:eastAsia="Arial" w:hAnsi="Arial"/>
          <w:color w:val="1A1A1A"/>
          <w:sz w:val="22"/>
          <w:szCs w:val="22"/>
        </w:rPr>
        <w:t xml:space="preserve">After the cancellation window expires — the lock is permanently irrevocable, by anyone, including the sender</w:t>
      </w:r>
    </w:p>
    <w:p>
      <w:pPr>
        <w:pStyle w:val="ListParagraph"/>
        <w:numPr>
          <w:ilvl w:val="0"/>
          <w:numId w:val="2"/>
        </w:numPr>
        <w:spacing w:before="60" w:after="60"/>
      </w:pPr>
      <w:r>
        <w:rPr>
          <w:rFonts w:ascii="Arial" w:cs="Arial" w:eastAsia="Arial" w:hAnsi="Arial"/>
          <w:color w:val="1A1A1A"/>
          <w:sz w:val="22"/>
          <w:szCs w:val="22"/>
        </w:rPr>
        <w:t xml:space="preserve">Pending cancellation status — during the cancellation window, the lock shows as ‘Pending — subject to reversion’ in both sender and recipient wallets</w:t>
      </w:r>
    </w:p>
    <w:p>
      <w:pPr>
        <w:pStyle w:val="ListParagraph"/>
        <w:numPr>
          <w:ilvl w:val="0"/>
          <w:numId w:val="2"/>
        </w:numPr>
        <w:spacing w:before="60" w:after="60"/>
      </w:pPr>
      <w:r>
        <w:rPr>
          <w:rFonts w:ascii="Arial" w:cs="Arial" w:eastAsia="Arial" w:hAnsi="Arial"/>
          <w:color w:val="1A1A1A"/>
          <w:sz w:val="22"/>
          <w:szCs w:val="22"/>
        </w:rPr>
        <w:t xml:space="preserve">Wallet UX — the sender’s History tab shows a Cancel button on any lock within its cancellation window. Clicking Cancel presents a confirmation: ‘Are you sure you wish to cancel this Promise? The funds will be returned to your balance immediately.’ This action is irreversible.</w:t>
      </w:r>
    </w:p>
    <w:p>
      <w:pPr>
        <w:pStyle w:val="ListParagraph"/>
        <w:numPr>
          <w:ilvl w:val="0"/>
          <w:numId w:val="2"/>
        </w:numPr>
        <w:spacing w:before="60" w:after="60"/>
      </w:pPr>
      <w:r>
        <w:rPr>
          <w:rFonts w:ascii="Arial" w:cs="Arial" w:eastAsia="Arial" w:hAnsi="Arial"/>
          <w:color w:val="1A1A1A"/>
          <w:sz w:val="22"/>
          <w:szCs w:val="22"/>
        </w:rPr>
        <w:t xml:space="preserve">Recipient notification — if an email lock is cancelled during the cancellation window, the recipient receives an email notification that the Promise has been withdrawn</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7. Future-Proof Features</w:t>
      </w:r>
    </w:p>
    <w:p>
      <w:pPr>
        <w:pStyle w:val="Heading2"/>
        <w:spacing w:before="280" w:after="140"/>
      </w:pPr>
      <w:r>
        <w:rPr>
          <w:rFonts w:ascii="Arial" w:cs="Arial" w:eastAsia="Arial" w:hAnsi="Arial"/>
          <w:b/>
          <w:bCs/>
          <w:color w:val="2E5099"/>
          <w:sz w:val="26"/>
          <w:szCs w:val="26"/>
        </w:rPr>
        <w:t xml:space="preserve">7.1 Email-Based Locks</w:t>
      </w:r>
    </w:p>
    <w:p>
      <w:pPr>
        <w:spacing w:before="80" w:after="120"/>
        <w:jc w:val="both"/>
      </w:pPr>
      <w:r>
        <w:rPr>
          <w:rFonts w:ascii="Arial" w:cs="Arial" w:eastAsia="Arial" w:hAnsi="Arial"/>
          <w:color w:val="1A1A1A"/>
          <w:sz w:val="22"/>
          <w:szCs w:val="22"/>
        </w:rPr>
        <w:t xml:space="preserve">One of the most significant barriers to mainstream adoption of any blockchain is the requirement that both sender and recipient have wallets. ChronX removes this barrier entirely through email-based locks — a Phase 3 feature with full protocol support built into genesis.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180"/>
              <w:left w:type="dxa" w:w="240"/>
              <w:bottom w:type="dxa" w:w="180"/>
              <w:right w:type="dxa" w:w="240"/>
            </w:tcMar>
          </w:tcPr>
          <w:p>
            <w:pPr>
              <w:spacing w:before="40" w:after="100"/>
            </w:pPr>
            <w:r>
              <w:rPr>
                <w:rFonts w:ascii="Arial" w:cs="Arial" w:eastAsia="Arial" w:hAnsi="Arial"/>
                <w:b/>
                <w:bCs/>
                <w:color w:val="1B2A4A"/>
                <w:sz w:val="23"/>
                <w:szCs w:val="23"/>
              </w:rPr>
              <w:t xml:space="preserve">How Email Locks Work</w:t>
            </w:r>
          </w:p>
          <w:p>
            <w:pPr>
              <w:spacing w:before="40" w:after="40"/>
              <w:jc w:val="both"/>
            </w:pPr>
            <w:r>
              <w:rPr>
                <w:rFonts w:ascii="Arial" w:cs="Arial" w:eastAsia="Arial" w:hAnsi="Arial"/>
                <w:color w:val="1A1A1A"/>
                <w:sz w:val="21"/>
                <w:szCs w:val="21"/>
              </w:rPr>
              <w:t xml:space="preserve">1. Sender creates a lock and enters the recipient’s email address instead of a wallet address.
2. ChronX hashes the email with BLAKE3 (never storing plaintext on-chain) and records it in the recipient_email_hash field.
3. The sender sets a claim_window_secs — defaulting to 72 hours. If the recipient does not claim within this window, the funds automatically revert to the sender.
4. An off-chain notification service watches the chain and sends: “You have received a future gift of X KX unlocking on [date]. Download the ChronX wallet to claim it. You have 72 hours to accept.”
5. Recipient downloads wallet, creates account, verifies email, and claims the lock.
6. If unclaimed within 72 hours: funds revert to sender automatically — no action required.
7. Sender may also cancel an unaccepted email lock manually from their History tab at any time before it is claimed.</w:t>
            </w:r>
          </w:p>
        </w:tc>
      </w:tr>
    </w:tbl>
    <w:p>
      <w:pPr>
        <w:spacing w:before="120" w:after="0"/>
      </w:pPr>
      <w:r>
        <w:t xml:space="preserve"/>
      </w:r>
    </w:p>
    <w:p>
      <w:pPr>
        <w:spacing w:before="80" w:after="120"/>
        <w:jc w:val="both"/>
      </w:pPr>
      <w:r>
        <w:rPr>
          <w:rFonts w:ascii="Arial" w:cs="Arial" w:eastAsia="Arial" w:hAnsi="Arial"/>
          <w:color w:val="1A1A1A"/>
          <w:sz w:val="22"/>
          <w:szCs w:val="22"/>
        </w:rPr>
        <w:t xml:space="preserve">The 72-hour acceptance window protects senders from sending KX to incorrect or inactive email addresses. An unaccepted email lock is clearly marked ‘Pending Acceptance’ in the sender’s History tab, with a Cancel button allowing the sender to reclaim the funds at any time before acceptance. Once the recipient accepts (claims) the lock, it becomes irrevocable for the duration of the time-lock.</w:t>
      </w:r>
    </w:p>
    <w:p>
      <w:pPr>
        <w:spacing w:before="80" w:after="120"/>
        <w:jc w:val="both"/>
      </w:pPr>
      <w:r>
        <w:rPr>
          <w:rFonts w:ascii="Arial" w:cs="Arial" w:eastAsia="Arial" w:hAnsi="Arial"/>
          <w:color w:val="1A1A1A"/>
          <w:sz w:val="22"/>
          <w:szCs w:val="22"/>
        </w:rPr>
        <w:t xml:space="preserve">Every gift sent via email lock is a user acquisition event. The viral loop: send a gift → recipient gets email → downloads wallet → becomes a ChronX user → sends gifts to their friends. This is the mechanism that drives mass adoption without requiring any marketing spend.</w:t>
      </w:r>
    </w:p>
    <w:p>
      <w:pPr>
        <w:pStyle w:val="Heading2"/>
        <w:spacing w:before="280" w:after="140"/>
      </w:pPr>
      <w:r>
        <w:rPr>
          <w:rFonts w:ascii="Arial" w:cs="Arial" w:eastAsia="Arial" w:hAnsi="Arial"/>
          <w:b/>
          <w:bCs/>
          <w:color w:val="2E5099"/>
          <w:sz w:val="26"/>
          <w:szCs w:val="26"/>
        </w:rPr>
        <w:t xml:space="preserve">7.2 Transferability and the Secondary Market</w:t>
      </w:r>
    </w:p>
    <w:p>
      <w:pPr>
        <w:spacing w:before="80" w:after="120"/>
        <w:jc w:val="both"/>
      </w:pPr>
      <w:r>
        <w:rPr>
          <w:rFonts w:ascii="Arial" w:cs="Arial" w:eastAsia="Arial" w:hAnsi="Arial"/>
          <w:color w:val="1A1A1A"/>
          <w:sz w:val="22"/>
          <w:szCs w:val="22"/>
        </w:rPr>
        <w:t xml:space="preserve">Every time-lock in ChronX has a transferable field, set by the sender at creation time and defaulting to false. When transferable is false, the lock is a sacred commitment — the claim right cannot be assigned to any other party. When transferable is true, the beneficiary may sell or transfer their right to claim the lock to a third party at a negotiated price.</w:t>
      </w:r>
    </w:p>
    <w:p>
      <w:pPr>
        <w:spacing w:before="80" w:after="120"/>
        <w:jc w:val="both"/>
      </w:pPr>
      <w:r>
        <w:rPr>
          <w:rFonts w:ascii="Arial" w:cs="Arial" w:eastAsia="Arial" w:hAnsi="Arial"/>
          <w:color w:val="1A1A1A"/>
          <w:sz w:val="22"/>
          <w:szCs w:val="22"/>
        </w:rPr>
        <w:t xml:space="preserve">This enables a Pendle-style secondary market for pre-maturity claim rights: a beneficiary with a 1,000,000 KX lock unlocking in 2035 could sell their claim right today for 700,000 KX if they need immediate liquidity. The transfer is recorded on-chain in transfer_history, maintaining a complete audit trail.</w:t>
      </w:r>
    </w:p>
    <w:p>
      <w:pPr>
        <w:spacing w:before="80" w:after="120"/>
        <w:jc w:val="both"/>
      </w:pPr>
      <w:r>
        <w:rPr>
          <w:rFonts w:ascii="Arial" w:cs="Arial" w:eastAsia="Arial" w:hAnsi="Arial"/>
          <w:color w:val="1A1A1A"/>
          <w:sz w:val="22"/>
          <w:szCs w:val="22"/>
        </w:rPr>
        <w:t xml:space="preserve">Two additional fields give senders fine-grained control:</w:t>
      </w:r>
    </w:p>
    <w:p>
      <w:pPr>
        <w:pStyle w:val="ListParagraph"/>
        <w:numPr>
          <w:ilvl w:val="0"/>
          <w:numId w:val="2"/>
        </w:numPr>
        <w:spacing w:before="60" w:after="60"/>
      </w:pPr>
      <w:r>
        <w:rPr>
          <w:rFonts w:ascii="Arial" w:cs="Arial" w:eastAsia="Arial" w:hAnsi="Arial"/>
          <w:color w:val="1A1A1A"/>
          <w:sz w:val="22"/>
          <w:szCs w:val="22"/>
        </w:rPr>
        <w:t xml:space="preserve">earliest_transfer_date — a UTC Unix timestamp before which the lock cannot be transferred, even if transferable is true. A parent can set: “transferable, but not until my child turns 25.”</w:t>
      </w:r>
    </w:p>
    <w:p>
      <w:pPr>
        <w:pStyle w:val="ListParagraph"/>
        <w:numPr>
          <w:ilvl w:val="0"/>
          <w:numId w:val="2"/>
        </w:numPr>
        <w:spacing w:before="60" w:after="60"/>
      </w:pPr>
      <w:r>
        <w:rPr>
          <w:rFonts w:ascii="Arial" w:cs="Arial" w:eastAsia="Arial" w:hAnsi="Arial"/>
          <w:color w:val="1A1A1A"/>
          <w:sz w:val="22"/>
          <w:szCs w:val="22"/>
        </w:rPr>
        <w:t xml:space="preserve">transfer_policy — a governance-updatable policy ID specifying which secondary market rules apply to this lock.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80"/>
              <w:left w:type="dxa" w:w="240"/>
              <w:bottom w:type="dxa" w:w="180"/>
              <w:right w:type="dxa" w:w="240"/>
            </w:tcMar>
          </w:tcPr>
          <w:p>
            <w:pPr>
              <w:spacing w:before="40" w:after="100"/>
            </w:pPr>
            <w:r>
              <w:rPr>
                <w:rFonts w:ascii="Arial" w:cs="Arial" w:eastAsia="Arial" w:hAnsi="Arial"/>
                <w:b/>
                <w:bCs/>
                <w:color w:val="1A6B3A"/>
                <w:sz w:val="23"/>
                <w:szCs w:val="23"/>
              </w:rPr>
              <w:t xml:space="preserve">The Installment Pattern</w:t>
            </w:r>
          </w:p>
          <w:p>
            <w:pPr>
              <w:spacing w:before="40" w:after="40"/>
              <w:jc w:val="both"/>
            </w:pPr>
            <w:r>
              <w:rPr>
                <w:rFonts w:ascii="Arial" w:cs="Arial" w:eastAsia="Arial" w:hAnsi="Arial"/>
                <w:color w:val="1A1A1A"/>
                <w:sz w:val="21"/>
                <w:szCs w:val="21"/>
              </w:rPr>
              <w:t xml:space="preserve">Rather than one large lock, a sender can create multiple recurring locks at regular intervals — for example, 50,000 KX every 6 months from 2030 to 2040. Each tranche can have independent transferability settings. The recipient gets structured access to funds over time, and each tranche can independently participate in the secondary market if transferable. This is the blockchain-native equivalent of a structured settlement or annuity — without the custodian.</w:t>
            </w:r>
          </w:p>
        </w:tc>
      </w:tr>
    </w:tbl>
    <w:p>
      <w:pPr>
        <w:spacing w:before="120" w:after="0"/>
      </w:pPr>
      <w:r>
        <w:t xml:space="preserve"/>
      </w:r>
    </w:p>
    <w:p>
      <w:pPr>
        <w:spacing w:before="160" w:after="0"/>
      </w:pPr>
      <w:r>
        <w:t xml:space="preserve"/>
      </w:r>
    </w:p>
    <w:p>
      <w:pPr>
        <w:pStyle w:val="Heading1"/>
        <w:spacing w:before="400" w:after="200"/>
      </w:pPr>
      <w:r>
        <w:rPr>
          <w:rFonts w:ascii="Arial" w:cs="Arial" w:eastAsia="Arial" w:hAnsi="Arial"/>
          <w:b/>
          <w:bCs/>
          <w:color w:val="1B2A4A"/>
          <w:sz w:val="32"/>
          <w:szCs w:val="32"/>
        </w:rPr>
        <w:t xml:space="preserve">8. Who ChronX Is For</w:t>
      </w:r>
    </w:p>
    <w:p>
      <w:pPr>
        <w:pStyle w:val="Heading2"/>
        <w:spacing w:before="280" w:after="140"/>
      </w:pPr>
      <w:r>
        <w:rPr>
          <w:rFonts w:ascii="Arial" w:cs="Arial" w:eastAsia="Arial" w:hAnsi="Arial"/>
          <w:b/>
          <w:bCs/>
          <w:color w:val="2E5099"/>
          <w:sz w:val="26"/>
          <w:szCs w:val="26"/>
        </w:rPr>
        <w:t xml:space="preserve">8.1 Everyday People</w:t>
      </w:r>
    </w:p>
    <w:p>
      <w:pPr>
        <w:spacing w:before="80" w:after="120"/>
        <w:jc w:val="both"/>
      </w:pPr>
      <w:r>
        <w:rPr>
          <w:rFonts w:ascii="Arial" w:cs="Arial" w:eastAsia="Arial" w:hAnsi="Arial"/>
          <w:color w:val="1A1A1A"/>
          <w:sz w:val="22"/>
          <w:szCs w:val="22"/>
        </w:rPr>
        <w:t xml:space="preserve">The first and largest market for ChronX is ordinary people with ordinary needs. A parent who wants to give their newborn child a financial head start. An individual who struggles with savings discipline and wants their money truly out of reach until a date they choose. Someone who wants to make a deferred gift to a friend or family member without involving a lawyer or a bank.</w:t>
      </w:r>
    </w:p>
    <w:p>
      <w:pPr>
        <w:spacing w:before="80" w:after="120"/>
        <w:jc w:val="both"/>
      </w:pPr>
      <w:r>
        <w:rPr>
          <w:rFonts w:ascii="Arial" w:cs="Arial" w:eastAsia="Arial" w:hAnsi="Arial"/>
          <w:color w:val="1A1A1A"/>
          <w:sz w:val="22"/>
          <w:szCs w:val="22"/>
        </w:rPr>
        <w:t xml:space="preserve">For these users, ChronX needs to be — and is being built to be — as simple as sending a message. Create a lock, specify a recipient and a date, confirm. No crypto knowledge required. No wallet required on the recipient’s side. The blockchain handles everything else.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180"/>
              <w:left w:type="dxa" w:w="240"/>
              <w:bottom w:type="dxa" w:w="180"/>
              <w:right w:type="dxa" w:w="240"/>
            </w:tcMar>
          </w:tcPr>
          <w:p>
            <w:pPr>
              <w:spacing w:before="40" w:after="100"/>
            </w:pPr>
            <w:r>
              <w:rPr>
                <w:rFonts w:ascii="Arial" w:cs="Arial" w:eastAsia="Arial" w:hAnsi="Arial"/>
                <w:b/>
                <w:bCs/>
                <w:color w:val="B8860B"/>
                <w:sz w:val="23"/>
                <w:szCs w:val="23"/>
              </w:rPr>
              <w:t xml:space="preserve">A Gift Your Newborn Can’t Spend Until They’re Ready</w:t>
            </w:r>
          </w:p>
          <w:p>
            <w:pPr>
              <w:spacing w:before="40" w:after="40"/>
              <w:jc w:val="both"/>
            </w:pPr>
            <w:r>
              <w:rPr>
                <w:rFonts w:ascii="Arial" w:cs="Arial" w:eastAsia="Arial" w:hAnsi="Arial"/>
                <w:color w:val="1A1A1A"/>
                <w:sz w:val="21"/>
                <w:szCs w:val="21"/>
              </w:rPr>
              <w:t xml:space="preserve">Lock 1,000 KX for your newborn child today. Set the unlock date to their 18th birthday. Enter their email address — or simply set them as the recipient when they create a wallet someday. The funds sit on-chain, untouchable by anyone including you, until the date arrives. No bank. No trust fund. No lawyer. Just a promise, kept by a blockchain.</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8.2 Crypto-Native Users</w:t>
      </w:r>
    </w:p>
    <w:p>
      <w:pPr>
        <w:spacing w:before="80" w:after="120"/>
        <w:jc w:val="both"/>
      </w:pPr>
      <w:r>
        <w:rPr>
          <w:rFonts w:ascii="Arial" w:cs="Arial" w:eastAsia="Arial" w:hAnsi="Arial"/>
          <w:color w:val="1A1A1A"/>
          <w:sz w:val="22"/>
          <w:szCs w:val="22"/>
        </w:rPr>
        <w:t xml:space="preserve">The second market is the technically sophisticated crypto user who has tried to implement timelocks using existing tools and found them wanting. Bitcoin script timelocks require technical expertise. Ethereum smart contract timelocks expose users to contract bugs, gas volatility, and code they didn’t write and can’t audit.</w:t>
      </w:r>
    </w:p>
    <w:p>
      <w:pPr>
        <w:spacing w:before="80" w:after="120"/>
        <w:jc w:val="both"/>
      </w:pPr>
      <w:r>
        <w:rPr>
          <w:rFonts w:ascii="Arial" w:cs="Arial" w:eastAsia="Arial" w:hAnsi="Arial"/>
          <w:color w:val="1A1A1A"/>
          <w:sz w:val="22"/>
          <w:szCs w:val="22"/>
        </w:rPr>
        <w:t xml:space="preserve">ChronX provides a native, auditable, purpose-built alternative. The time-lock is not a smart contract — it is a first-class protocol primitive, as simple and reliable as a balance transfer.</w:t>
      </w:r>
    </w:p>
    <w:p>
      <w:pPr>
        <w:pStyle w:val="Heading2"/>
        <w:spacing w:before="280" w:after="140"/>
      </w:pPr>
      <w:r>
        <w:rPr>
          <w:rFonts w:ascii="Arial" w:cs="Arial" w:eastAsia="Arial" w:hAnsi="Arial"/>
          <w:b/>
          <w:bCs/>
          <w:color w:val="2E5099"/>
          <w:sz w:val="26"/>
          <w:szCs w:val="26"/>
        </w:rPr>
        <w:t xml:space="preserve">8.3 Institutions and Professionals</w:t>
      </w:r>
    </w:p>
    <w:p>
      <w:pPr>
        <w:spacing w:before="80" w:after="120"/>
        <w:jc w:val="both"/>
      </w:pPr>
      <w:r>
        <w:rPr>
          <w:rFonts w:ascii="Arial" w:cs="Arial" w:eastAsia="Arial" w:hAnsi="Arial"/>
          <w:color w:val="1A1A1A"/>
          <w:sz w:val="22"/>
          <w:szCs w:val="22"/>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pPr>
        <w:spacing w:before="80" w:after="120"/>
        <w:jc w:val="both"/>
      </w:pPr>
      <w:r>
        <w:rPr>
          <w:rFonts w:ascii="Arial" w:cs="Arial" w:eastAsia="Arial" w:hAnsi="Arial"/>
          <w:color w:val="1A1A1A"/>
          <w:sz w:val="22"/>
          <w:szCs w:val="22"/>
        </w:rPr>
        <w:t xml:space="preserve">This market requires the full claims resolution infrastructure — Claim Agents, Attestors, Compliance Certificates, and governance — that ChronX is building toward. When complete, ChronX will offer something genuinely novel: a decentralized, auditable, policy-aware future payment protocol that meets institutional requirements without institutional custody.</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9. Token Sale</w:t>
      </w:r>
    </w:p>
    <w:p>
      <w:pPr>
        <w:spacing w:before="80" w:after="120"/>
        <w:jc w:val="both"/>
      </w:pPr>
      <w:r>
        <w:rPr>
          <w:rFonts w:ascii="Arial" w:cs="Arial" w:eastAsia="Arial" w:hAnsi="Arial"/>
          <w:color w:val="1A1A1A"/>
          <w:sz w:val="22"/>
          <w:szCs w:val="22"/>
        </w:rPr>
        <w:t xml:space="preserve">ChronX is raising $4,000,000 USD in a bootstrapping token sale to fund the core team, infrastructure, and exchange listings necessary to bring the protocol to the world. This is a deliberate, modest raise — not a speculative fundraise. ChronX is built for 100-year time horizons, and its funding model reflects that philosophy.</w:t>
      </w:r>
    </w:p>
    <w:p>
      <w:pPr>
        <w:spacing w:before="80" w:after="120"/>
        <w:jc w:val="both"/>
      </w:pPr>
      <w:r>
        <w:rPr>
          <w:rFonts w:ascii="Arial" w:cs="Arial" w:eastAsia="Arial" w:hAnsi="Arial"/>
          <w:color w:val="1A1A1A"/>
          <w:sz w:val="22"/>
          <w:szCs w:val="22"/>
        </w:rPr>
        <w:t>The ChronX Pre-ICO is live immediately at $0.00030 per KX, with price steps rising to $0.00033 (Jun 22, 2026) and $0.00036 (Aug 22, 2026) before the official ICO launch on September 22, 2026 — the Autumnal Equinox.</w:t>
      </w:r>
    </w:p>
    <w:p>
      <w:pPr>
        <w:pStyle w:val="ListParagraph"/>
      </w:pPr>
      <w:r>
        <w:t>Treasury reserve — all unsold tokens from the public sale allocation are locked on-chain for 12 months after ICO close, preventing any market overhang from unsold supply.</w:t>
      </w:r>
    </w:p>
    <w:p>
      <w:pPr>
        <w:pStyle w:val="ListParagraph"/>
      </w:pPr>
      <w:r>
        <w:t>Aug 22 – Sep 22, 2026 — $0.00036 per KX (final pre-ICO price)</w:t>
      </w:r>
    </w:p>
    <w:p>
      <w:pPr>
        <w:pStyle w:val="ListParagraph"/>
      </w:pPr>
      <w:r>
        <w:t>Jun 22 – Aug 22, 2026 — $0.00033 per KX</w:t>
      </w:r>
    </w:p>
    <w:p>
      <w:pPr>
        <w:pStyle w:val="ListParagraph"/>
      </w:pPr>
      <w:r>
        <w:t>Now – Jun 22, 2026 — $0.00030 per KX (lowest price ever)</w:t>
      </w:r>
    </w:p>
    <w:p>
      <w:r>
        <w:t>The Pre-ICO price rises in three steps as the ICO date approaches. Payment is accepted in BTC (bc1qftz4ut7vyeulz9e9k6nsuljdjjxszxhms3tmjh) or ETH/USDC (0xF5fD6Da90cCaeE370bE7065D5A28e1C9da4d3a54). A soft cap of $500,000 applies. Interested parties should contact contact@chronx.io. All Pre-ICO KX is delivered to the buyer's ChronX wallet address at spot price (no lock required) after payment confirmation.</w:t>
      </w:r>
    </w:p>
    <w:p>
      <w:pPr>
        <w:pStyle w:val="Heading2"/>
      </w:pPr>
      <w:r>
        <w:t>9.0 Pre-ICO (Live Now)</w:t>
      </w:r>
    </w:p>
    <w:p>
      <w:pPr>
        <w:pStyle w:val="Heading2"/>
        <w:spacing w:before="280" w:after="140"/>
      </w:pPr>
      <w:r>
        <w:rPr>
          <w:rFonts w:ascii="Arial" w:cs="Arial" w:eastAsia="Arial" w:hAnsi="Arial"/>
          <w:b/>
          <w:bCs/>
          <w:color w:val="2E5099"/>
          <w:sz w:val="26"/>
          <w:szCs w:val="26"/>
        </w:rPr>
        <w:t xml:space="preserve">9.1 Why $4 Million</w:t>
      </w:r>
    </w:p>
    <w:p>
      <w:pPr>
        <w:spacing w:before="80" w:after="120"/>
        <w:jc w:val="both"/>
      </w:pPr>
      <w:r>
        <w:rPr>
          <w:rFonts w:ascii="Arial" w:cs="Arial" w:eastAsia="Arial" w:hAnsi="Arial"/>
          <w:color w:val="1A1A1A"/>
          <w:sz w:val="22"/>
          <w:szCs w:val="22"/>
        </w:rPr>
        <w:t xml:space="preserve">The treasury releases 192,775,636 KX in its first year (2029) and provides sustained funding for 100 years. The $4M raise is bootstrap capital to get the protocol to the point where the treasury and organic ecosystem activity can sustain development independently. The goal is not to raise the maximum possible — it is to raise what is needed to build something that lasts.</w:t>
      </w:r>
    </w:p>
    <w:p>
      <w:pPr>
        <w:pStyle w:val="Heading2"/>
        <w:spacing w:before="280" w:after="140"/>
      </w:pPr>
      <w:r>
        <w:rPr>
          <w:rFonts w:ascii="Arial" w:cs="Arial" w:eastAsia="Arial" w:hAnsi="Arial"/>
          <w:b/>
          <w:bCs/>
          <w:color w:val="2E5099"/>
          <w:sz w:val="26"/>
          <w:szCs w:val="26"/>
        </w:rPr>
        <w:t xml:space="preserve">9.2 Use of Funds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development, wallet development, infrastructure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Exchange &amp; Liquidity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wKX on Base, 1inch liquidity pool seeding, liquidity reserves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hosting, email notification service, explorer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Legal &amp; Compliance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Regulatory review, terms of service, jurisdiction analysis</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9.3 Participation Tiers</w:t>
      </w:r>
    </w:p>
    <w:p>
      <w:pPr>
        <w:spacing w:before="80" w:after="120"/>
        <w:jc w:val="both"/>
      </w:pPr>
      <w:r>
        <w:rPr>
          <w:rFonts w:ascii="Arial" w:cs="Arial" w:eastAsia="Arial" w:hAnsi="Arial"/>
          <w:color w:val="1A1A1A"/>
          <w:sz w:val="22"/>
          <w:szCs w:val="22"/>
        </w:rPr>
        <w:t xml:space="preserve">Token sale participants may choose their lock duration at the time of purchase. Longer locks receive a lower token price — rewarding conviction and immediately reducing circulating supply. All locks are enforced on-chain by the ChronX protocol and publicly verifiable in the block explorer.</w:t>
      </w:r>
    </w:p>
    <w:p>
      <w:pPr>
        <w:spacing w:before="80" w:after="0"/>
      </w:pPr>
      <w:r>
        <w:t xml:space="preserve"/>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1560"/>
      </w:tblGrid>
      <w:tr>
        <w:trPr>
          <w:tblHeader/>
        </w:trP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Duration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Spot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$0.00055 USD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Believer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6 months (unlocks Mar 22, 2027)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$0.00048 USD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 off</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Founder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12 months (unlocks Sep 22, 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$0.00040 USD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 off</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Visionary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18 months (unlocks Mar 22, 2028)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$0.00032 USD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 off</w:t>
            </w:r>
          </w:p>
        </w:tc>
      </w:tr>
    </w:tbl>
    <w:p>
      <w:pPr>
        <w:spacing w:before="80" w:after="0"/>
      </w:pPr>
      <w:r>
        <w:t xml:space="preserve"/>
      </w:r>
    </w:p>
    <w:p>
      <w:pPr>
        <w:spacing w:before="80" w:after="120"/>
        <w:jc w:val="both"/>
      </w:pPr>
      <w:r>
        <w:rPr>
          <w:rFonts w:ascii="Arial" w:cs="Arial" w:eastAsia="Arial" w:hAnsi="Arial"/>
          <w:color w:val="1A1A1A"/>
          <w:sz w:val="22"/>
          <w:szCs w:val="22"/>
        </w:rPr>
        <w:t xml:space="preserve">The Founder tier (12-month lock) is recommended for most participants. In the cryptocurrency industry, 12 months represents a full market cycle — a meaningful commitment that signals genuine conviction in the protocol. The Visionary tier (18 months) offers the deepest discount for participants who share the ChronX long-horizon philosophy.</w:t>
      </w:r>
    </w:p>
    <w:p>
      <w:pPr>
        <w:pStyle w:val="Heading2"/>
        <w:spacing w:before="280" w:after="140"/>
      </w:pPr>
      <w:r>
        <w:rPr>
          <w:rFonts w:ascii="Arial" w:cs="Arial" w:eastAsia="Arial" w:hAnsi="Arial"/>
          <w:b/>
          <w:bCs/>
          <w:color w:val="2E5099"/>
          <w:sz w:val="26"/>
          <w:szCs w:val="26"/>
        </w:rPr>
        <w:t xml:space="preserve">9.4 Sale Timeline</w:t>
      </w:r>
    </w:p>
    <w:p>
      <w:pPr>
        <w:spacing w:before="80" w:after="120"/>
        <w:jc w:val="both"/>
      </w:pPr>
      <w:r>
        <w:rPr>
          <w:rFonts w:ascii="Arial" w:cs="Arial" w:eastAsia="Arial" w:hAnsi="Arial"/>
          <w:color w:val="1A1A1A"/>
          <w:sz w:val="22"/>
          <w:szCs w:val="22"/>
        </w:rPr>
        <w:t>The token sale proceeds in three phases, opening on the Autumnal Equinox — September 22, 2026:</w:t>
      </w:r>
    </w:p>
    <w:p>
      <w:pPr>
        <w:pStyle w:val="ListParagraph"/>
        <w:numPr>
          <w:ilvl w:val="0"/>
          <w:numId w:val="2"/>
        </w:numPr>
        <w:spacing w:before="60" w:after="60"/>
      </w:pPr>
      <w:r>
        <w:rPr>
          <w:rFonts w:ascii="Arial" w:cs="Arial" w:eastAsia="Arial" w:hAnsi="Arial"/>
          <w:color w:val="1A1A1A"/>
          <w:sz w:val="22"/>
          <w:szCs w:val="22"/>
        </w:rPr>
        <w:t>Phase 1 — Private Round (Sep 22 – Oct 22, 2026): Minimum ticket $10,000 USD. Founder and Visionary tiers only. Contact contact@chronx.io to participate.</w:t>
      </w:r>
    </w:p>
    <w:p>
      <w:pPr>
        <w:pStyle w:val="ListParagraph"/>
        <w:numPr>
          <w:ilvl w:val="0"/>
          <w:numId w:val="2"/>
        </w:numPr>
        <w:spacing w:before="60" w:after="60"/>
      </w:pPr>
      <w:r>
        <w:rPr>
          <w:rFonts w:ascii="Arial" w:cs="Arial" w:eastAsia="Arial" w:hAnsi="Arial"/>
          <w:color w:val="1A1A1A"/>
          <w:sz w:val="22"/>
          <w:szCs w:val="22"/>
        </w:rPr>
        <w:t>Phase 2 — Public Sale (Oct 22 – Dec 22, 2026): Minimum ticket $100 USD. All four tiers available. Full self-serve purchase flow at chronx.io.</w:t>
      </w:r>
    </w:p>
    <w:p>
      <w:pPr>
        <w:pStyle w:val="ListParagraph"/>
        <w:numPr>
          <w:ilvl w:val="0"/>
          <w:numId w:val="2"/>
        </w:numPr>
        <w:spacing w:before="60" w:after="60"/>
      </w:pPr>
      <w:r>
        <w:rPr>
          <w:rFonts w:ascii="Arial" w:cs="Arial" w:eastAsia="Arial" w:hAnsi="Arial"/>
          <w:color w:val="1A1A1A"/>
          <w:sz w:val="22"/>
          <w:szCs w:val="22"/>
        </w:rPr>
        <w:t>Phase 3 — Exchange Launch (Dec 22, 2026 onward): wKX deployed on Base, 1inch liquidity pool seeded with proceeds, chronx.io/exchange live, CoinMarketCap and CoinGecko listing applications submitted.</w:t>
      </w:r>
    </w:p>
    <w:p>
      <w:pPr>
        <w:spacing w:before="80" w:after="0"/>
      </w:pPr>
      <w:r>
        <w:t xml:space="preserve"/>
      </w:r>
    </w:p>
    <w:p>
      <w:pPr>
        <w:spacing w:before="80" w:after="0"/>
      </w:pPr>
      <w:r>
        <w:t xml:space="preserve"/>
      </w:r>
    </w:p>
    <w:p>
      <w:pPr>
        <w:pStyle w:val="Heading2"/>
        <w:spacing w:before="280" w:after="140"/>
      </w:pPr>
      <w:r>
        <w:rPr>
          <w:rFonts w:ascii="Arial" w:cs="Arial" w:eastAsia="Arial" w:hAnsi="Arial"/>
          <w:b/>
          <w:bCs/>
          <w:color w:val="2E5099"/>
          <w:sz w:val="26"/>
          <w:szCs w:val="26"/>
        </w:rPr>
        <w:t xml:space="preserve">9.5 The Scarcity Dynamic</w:t>
      </w:r>
    </w:p>
    <w:p>
      <w:pPr>
        <w:spacing w:before="80" w:after="120"/>
        <w:jc w:val="both"/>
      </w:pPr>
      <w:r>
        <w:rPr>
          <w:rFonts w:ascii="Arial" w:cs="Arial" w:eastAsia="Arial" w:hAnsi="Arial"/>
          <w:color w:val="1A1A1A"/>
          <w:sz w:val="22"/>
          <w:szCs w:val="22"/>
        </w:rPr>
        <w:t xml:space="preserve">ChronX is designed to become scarcer over time through use, not through artificial burning. Every lock created reduces circulating supply. Every long-horizon lock removes KX from circulation for years or decades. As adoption grows, the protocol’s own utility creates the scarcity that drives long-term value. This is the fundamental difference between ChronX and yield-farming protocols: value derives from genuine utility, not from engineered inflation mechanics.</w:t>
      </w:r>
    </w:p>
    <w:p>
      <w:pPr>
        <w:spacing w:before="80" w:after="0"/>
      </w:pPr>
      <w:r>
        <w:t xml:space="preserve"/>
      </w:r>
    </w:p>
    <w:p>
      <w:pPr>
        <w:pStyle w:val="Heading2"/>
        <w:spacing w:before="280" w:after="140"/>
      </w:pPr>
      <w:r>
        <w:rPr>
          <w:rFonts w:ascii="Arial" w:cs="Arial" w:eastAsia="Arial" w:hAnsi="Arial"/>
          <w:b/>
          <w:bCs/>
          <w:color w:val="2E5099"/>
          <w:sz w:val="26"/>
          <w:szCs w:val="26"/>
        </w:rPr>
        <w:t xml:space="preserve">9.6 Try It Free</w:t>
      </w:r>
    </w:p>
    <w:p>
      <w:pPr>
        <w:spacing w:before="80" w:after="120"/>
        <w:jc w:val="both"/>
      </w:pPr>
      <w:r>
        <w:rPr>
          <w:rFonts w:ascii="Arial" w:cs="Arial" w:eastAsia="Arial" w:hAnsi="Arial"/>
          <w:color w:val="1A1A1A"/>
          <w:sz w:val="22"/>
          <w:szCs w:val="22"/>
        </w:rPr>
        <w:t xml:space="preserve">The best way to understand ChronX is to receive a Promise. New users who sign up at chronx.io receive 10 KX at no cost — delivered as two on-chain Promises that demonstrate the protocol’s core thesis from the moment of onboarding.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Promise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Unlocks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Promise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KX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 from signup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Promise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 KX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270 days from signup (90 days + 6 months)</w:t>
            </w:r>
          </w:p>
        </w:tc>
      </w:tr>
    </w:tbl>
    <w:p>
      <w:pPr>
        <w:spacing w:before="80" w:after="0"/>
      </w:pPr>
      <w:r>
        <w:t xml:space="preserve"/>
      </w:r>
    </w:p>
    <w:p>
      <w:pPr>
        <w:spacing w:before="80" w:after="120"/>
        <w:jc w:val="both"/>
      </w:pPr>
      <w:r>
        <w:rPr>
          <w:rFonts w:ascii="Arial" w:cs="Arial" w:eastAsia="Arial" w:hAnsi="Arial"/>
          <w:color w:val="1A1A1A"/>
          <w:sz w:val="22"/>
          <w:szCs w:val="22"/>
        </w:rPr>
        <w:t xml:space="preserve">The user downloads the wallet, enters their KX address, and immediately sees two incoming gold Promises with countdown timers. No explanation required. The protocol teaches itself.</w:t>
      </w:r>
    </w:p>
    <w:p>
      <w:pPr>
        <w:pStyle w:val="ListParagraph"/>
        <w:numPr>
          <w:ilvl w:val="0"/>
          <w:numId w:val="2"/>
        </w:numPr>
        <w:spacing w:before="60" w:after="60"/>
      </w:pPr>
      <w:r>
        <w:rPr>
          <w:rFonts w:ascii="Arial" w:cs="Arial" w:eastAsia="Arial" w:hAnsi="Arial"/>
          <w:color w:val="1A1A1A"/>
          <w:sz w:val="22"/>
          <w:szCs w:val="22"/>
        </w:rPr>
        <w:t xml:space="preserve">Promise 1 unlocks in 90 days — close enough to feel real, far enough to demonstrate patience</w:t>
      </w:r>
    </w:p>
    <w:p>
      <w:pPr>
        <w:pStyle w:val="ListParagraph"/>
        <w:numPr>
          <w:ilvl w:val="0"/>
          <w:numId w:val="2"/>
        </w:numPr>
        <w:spacing w:before="60" w:after="60"/>
      </w:pPr>
      <w:r>
        <w:rPr>
          <w:rFonts w:ascii="Arial" w:cs="Arial" w:eastAsia="Arial" w:hAnsi="Arial"/>
          <w:color w:val="1A1A1A"/>
          <w:sz w:val="22"/>
          <w:szCs w:val="22"/>
        </w:rPr>
        <w:t xml:space="preserve">Promise 2 unlocks 6 months after Promise 1 — teaching structured future payments through direct experience</w:t>
      </w:r>
    </w:p>
    <w:p>
      <w:pPr>
        <w:pStyle w:val="ListParagraph"/>
        <w:numPr>
          <w:ilvl w:val="0"/>
          <w:numId w:val="2"/>
        </w:numPr>
        <w:spacing w:before="60" w:after="60"/>
      </w:pPr>
      <w:r>
        <w:rPr>
          <w:rFonts w:ascii="Arial" w:cs="Arial" w:eastAsia="Arial" w:hAnsi="Arial"/>
          <w:color w:val="1A1A1A"/>
          <w:sz w:val="22"/>
          <w:szCs w:val="22"/>
        </w:rPr>
        <w:t xml:space="preserve">Both Promises are publicly visible on-chain — verifiable in the block explorer from the moment they are sent</w:t>
      </w:r>
    </w:p>
    <w:p>
      <w:pPr>
        <w:spacing w:before="80" w:after="120"/>
        <w:jc w:val="both"/>
      </w:pPr>
      <w:r>
        <w:rPr>
          <w:rFonts w:ascii="Arial" w:cs="Arial" w:eastAsia="Arial" w:hAnsi="Arial"/>
          <w:color w:val="1A1A1A"/>
          <w:sz w:val="22"/>
          <w:szCs w:val="22"/>
        </w:rPr>
        <w:t xml:space="preserve">At 10 KX per signup, even 100,000 new users costs less than 0.015% of the public sale allocation. The Try It Free program is designed to be sustainable at any scale of adoption.</w:t>
      </w:r>
    </w:p>
    <w:p>
      <w:pPr>
        <w:spacing w:before="80" w:after="120"/>
        <w:jc w:val="both"/>
      </w:pPr>
      <w:r>
        <w:rPr>
          <w:rFonts w:ascii="Arial" w:cs="Arial" w:eastAsia="Arial" w:hAnsi="Arial"/>
          <w:color w:val="1A1A1A"/>
          <w:sz w:val="22"/>
          <w:szCs w:val="22"/>
        </w:rPr>
        <w:t xml:space="preserve">During Phase 1, Promises are sent manually within 24 hours of address submission. The Phase 2 email notification service will automate delivery entirely.</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10. Roadmap</w:t>
      </w:r>
    </w:p>
    <w:p>
      <w:pPr>
        <w:spacing w:before="80" w:after="120"/>
        <w:jc w:val="both"/>
      </w:pPr>
      <w:r>
        <w:rPr>
          <w:rFonts w:ascii="Arial" w:cs="Arial" w:eastAsia="Arial" w:hAnsi="Arial"/>
          <w:color w:val="1A1A1A"/>
          <w:sz w:val="22"/>
          <w:szCs w:val="22"/>
        </w:rPr>
        <w:t xml:space="preserve">The ChronX roadmap is organized by complexity and delivery speed — simpler, higher-impact items first. Phase 1 is complete. Each subsequent phase builds on the last. All protocol data structures necessary for Phases 2 through 6 are already present in the genesis codebase — no hard fork required for any planned feature.</w:t>
      </w:r>
    </w:p>
    <w:p>
      <w:pPr>
        <w:pStyle w:val="Heading2"/>
        <w:spacing w:before="280" w:after="140"/>
      </w:pPr>
      <w:r>
        <w:rPr>
          <w:rFonts w:ascii="Arial" w:cs="Arial" w:eastAsia="Arial" w:hAnsi="Arial"/>
          <w:b/>
          <w:bCs/>
          <w:color w:val="2E5099"/>
          <w:sz w:val="26"/>
          <w:szCs w:val="26"/>
        </w:rPr>
        <w:t xml:space="preserve">Phase 1 — Foundation (Complete ✓)</w:t>
      </w:r>
    </w:p>
    <w:p>
      <w:pPr>
        <w:pStyle w:val="ListParagraph"/>
        <w:numPr>
          <w:ilvl w:val="0"/>
          <w:numId w:val="3"/>
        </w:numPr>
        <w:spacing w:before="60" w:after="60"/>
      </w:pPr>
      <w:r>
        <w:rPr>
          <w:rFonts w:ascii="Arial" w:cs="Arial" w:eastAsia="Arial" w:hAnsi="Arial"/>
          <w:color w:val="1A1A1A"/>
          <w:sz w:val="22"/>
          <w:szCs w:val="22"/>
        </w:rPr>
        <w:t xml:space="preserve">Mainnet launch with V3 genesis block (January 1, 2026)</w:t>
      </w:r>
    </w:p>
    <w:p>
      <w:pPr>
        <w:pStyle w:val="ListParagraph"/>
        <w:numPr>
          <w:ilvl w:val="0"/>
          <w:numId w:val="3"/>
        </w:numPr>
        <w:spacing w:before="60" w:after="60"/>
      </w:pPr>
      <w:r>
        <w:rPr>
          <w:rFonts w:ascii="Arial" w:cs="Arial" w:eastAsia="Arial" w:hAnsi="Arial"/>
          <w:color w:val="1A1A1A"/>
          <w:sz w:val="22"/>
          <w:szCs w:val="22"/>
        </w:rPr>
        <w:t xml:space="preserve">Post-quantum wallet — Windows desktop and Android</w:t>
      </w:r>
    </w:p>
    <w:p>
      <w:pPr>
        <w:pStyle w:val="ListParagraph"/>
        <w:numPr>
          <w:ilvl w:val="0"/>
          <w:numId w:val="3"/>
        </w:numPr>
        <w:spacing w:before="60" w:after="60"/>
      </w:pPr>
      <w:r>
        <w:rPr>
          <w:rFonts w:ascii="Arial" w:cs="Arial" w:eastAsia="Arial" w:hAnsi="Arial"/>
          <w:color w:val="1A1A1A"/>
          <w:sz w:val="22"/>
          <w:szCs w:val="22"/>
        </w:rPr>
        <w:t xml:space="preserve">Direct time-lock creation (Send Later) and claim</w:t>
      </w:r>
    </w:p>
    <w:p>
      <w:pPr>
        <w:pStyle w:val="ListParagraph"/>
        <w:numPr>
          <w:ilvl w:val="0"/>
          <w:numId w:val="3"/>
        </w:numPr>
        <w:spacing w:before="60" w:after="60"/>
      </w:pPr>
      <w:r>
        <w:rPr>
          <w:rFonts w:ascii="Arial" w:cs="Arial" w:eastAsia="Arial" w:hAnsi="Arial"/>
          <w:color w:val="1A1A1A"/>
          <w:sz w:val="22"/>
          <w:szCs w:val="22"/>
        </w:rPr>
        <w:t xml:space="preserve">Incoming pending locks display (gold, paginated)</w:t>
      </w:r>
    </w:p>
    <w:p>
      <w:pPr>
        <w:pStyle w:val="ListParagraph"/>
        <w:numPr>
          <w:ilvl w:val="0"/>
          <w:numId w:val="3"/>
        </w:numPr>
        <w:spacing w:before="60" w:after="60"/>
      </w:pPr>
      <w:r>
        <w:rPr>
          <w:rFonts w:ascii="Arial" w:cs="Arial" w:eastAsia="Arial" w:hAnsi="Arial"/>
          <w:color w:val="1A1A1A"/>
          <w:sz w:val="22"/>
          <w:szCs w:val="22"/>
        </w:rPr>
        <w:t xml:space="preserve">4-digit PIN security with biometric placeholder</w:t>
      </w:r>
    </w:p>
    <w:p>
      <w:pPr>
        <w:pStyle w:val="ListParagraph"/>
        <w:numPr>
          <w:ilvl w:val="0"/>
          <w:numId w:val="3"/>
        </w:numPr>
        <w:spacing w:before="60" w:after="60"/>
      </w:pPr>
      <w:r>
        <w:rPr>
          <w:rFonts w:ascii="Arial" w:cs="Arial" w:eastAsia="Arial" w:hAnsi="Arial"/>
          <w:color w:val="1A1A1A"/>
          <w:sz w:val="22"/>
          <w:szCs w:val="22"/>
        </w:rPr>
        <w:t xml:space="preserve">QR code address display and scanning</w:t>
      </w:r>
    </w:p>
    <w:p>
      <w:pPr>
        <w:pStyle w:val="ListParagraph"/>
        <w:numPr>
          <w:ilvl w:val="0"/>
          <w:numId w:val="3"/>
        </w:numPr>
        <w:spacing w:before="60" w:after="60"/>
      </w:pPr>
      <w:r>
        <w:rPr>
          <w:rFonts w:ascii="Arial" w:cs="Arial" w:eastAsia="Arial" w:hAnsi="Arial"/>
          <w:color w:val="1A1A1A"/>
          <w:sz w:val="22"/>
          <w:szCs w:val="22"/>
        </w:rPr>
        <w:t xml:space="preserve">Transaction history</w:t>
      </w:r>
    </w:p>
    <w:p>
      <w:pPr>
        <w:pStyle w:val="ListParagraph"/>
        <w:numPr>
          <w:ilvl w:val="0"/>
          <w:numId w:val="3"/>
        </w:numPr>
        <w:spacing w:before="60" w:after="60"/>
      </w:pPr>
      <w:r>
        <w:rPr>
          <w:rFonts w:ascii="Arial" w:cs="Arial" w:eastAsia="Arial" w:hAnsi="Arial"/>
          <w:color w:val="1A1A1A"/>
          <w:sz w:val="22"/>
          <w:szCs w:val="22"/>
        </w:rPr>
        <w:t xml:space="preserve">Public node infrastructure (Vultr mainnet node)</w:t>
      </w:r>
    </w:p>
    <w:p>
      <w:pPr>
        <w:pStyle w:val="ListParagraph"/>
        <w:numPr>
          <w:ilvl w:val="0"/>
          <w:numId w:val="3"/>
        </w:numPr>
        <w:spacing w:before="60" w:after="60"/>
      </w:pPr>
      <w:r>
        <w:rPr>
          <w:rFonts w:ascii="Arial" w:cs="Arial" w:eastAsia="Arial" w:hAnsi="Arial"/>
          <w:color w:val="1A1A1A"/>
          <w:sz w:val="22"/>
          <w:szCs w:val="22"/>
        </w:rPr>
        <w:t xml:space="preserve">Two-node P2P network (Vultr + laptop)</w:t>
      </w:r>
    </w:p>
    <w:p>
      <w:pPr>
        <w:pStyle w:val="ListParagraph"/>
        <w:numPr>
          <w:ilvl w:val="0"/>
          <w:numId w:val="3"/>
        </w:numPr>
        <w:spacing w:before="60" w:after="60"/>
      </w:pPr>
      <w:r>
        <w:rPr>
          <w:rFonts w:ascii="Arial" w:cs="Arial" w:eastAsia="Arial" w:hAnsi="Arial"/>
          <w:color w:val="1A1A1A"/>
          <w:sz w:val="22"/>
          <w:szCs w:val="22"/>
        </w:rPr>
        <w:t xml:space="preserve">Full JSON-RPC 2.0 interface (13 methods)</w:t>
      </w:r>
    </w:p>
    <w:p>
      <w:pPr>
        <w:pStyle w:val="ListParagraph"/>
        <w:numPr>
          <w:ilvl w:val="0"/>
          <w:numId w:val="3"/>
        </w:numPr>
        <w:spacing w:before="60" w:after="60"/>
      </w:pPr>
      <w:r>
        <w:rPr>
          <w:rFonts w:ascii="Arial" w:cs="Arial" w:eastAsia="Arial" w:hAnsi="Arial"/>
          <w:color w:val="1A1A1A"/>
          <w:sz w:val="22"/>
          <w:szCs w:val="22"/>
        </w:rPr>
        <w:t xml:space="preserve">Protocol V3.1: transferability + email-lock fields (dormant, forward-compatible)</w:t>
      </w:r>
    </w:p>
    <w:p>
      <w:pPr>
        <w:pStyle w:val="ListParagraph"/>
        <w:numPr>
          <w:ilvl w:val="0"/>
          <w:numId w:val="3"/>
        </w:numPr>
        <w:spacing w:before="60" w:after="60"/>
      </w:pPr>
      <w:r>
        <w:rPr>
          <w:rFonts w:ascii="Arial" w:cs="Arial" w:eastAsia="Arial" w:hAnsi="Arial"/>
          <w:color w:val="1A1A1A"/>
          <w:sz w:val="22"/>
          <w:szCs w:val="22"/>
        </w:rPr>
        <w:t xml:space="preserve">Protocol V3.2: conditional payment fields (dormant, forward-compatible)</w:t>
      </w:r>
    </w:p>
    <w:p>
      <w:pPr>
        <w:pStyle w:val="ListParagraph"/>
        <w:numPr>
          <w:ilvl w:val="0"/>
          <w:numId w:val="3"/>
        </w:numPr>
        <w:spacing w:before="60" w:after="60"/>
      </w:pPr>
      <w:r>
        <w:rPr>
          <w:rFonts w:ascii="Arial" w:cs="Arial" w:eastAsia="Arial" w:hAnsi="Arial"/>
          <w:color w:val="1A1A1A"/>
          <w:sz w:val="22"/>
          <w:szCs w:val="22"/>
        </w:rPr>
        <w:t>Pre-ICO live from March 2026 at $0.00030 per KX; ICO launches September 22, 2026 — the Autumnal Equinox</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Phase 2 — Liquidity &amp; Market Presence</w:t>
      </w:r>
    </w:p>
    <w:p>
      <w:pPr>
        <w:spacing w:before="80" w:after="120"/>
        <w:jc w:val="both"/>
      </w:pPr>
      <w:r>
        <w:rPr>
          <w:rFonts w:ascii="Arial" w:cs="Arial" w:eastAsia="Arial" w:hAnsi="Arial"/>
          <w:color w:val="1A1A1A"/>
          <w:sz w:val="22"/>
          <w:szCs w:val="22"/>
        </w:rPr>
        <w:t xml:space="preserve">Phase 2 is the highest-impact, lowest-complexity phase after launch. It establishes a real open market for KX within days of the token sale close, at minimal cost, with no intermediaries and no scammy exchange listings.</w:t>
      </w:r>
    </w:p>
    <w:p>
      <w:pPr>
        <w:pStyle w:val="ListParagraph"/>
        <w:numPr>
          <w:ilvl w:val="0"/>
          <w:numId w:val="2"/>
        </w:numPr>
        <w:spacing w:before="60" w:after="60"/>
      </w:pPr>
      <w:r>
        <w:rPr>
          <w:rFonts w:ascii="Arial" w:cs="Arial" w:eastAsia="Arial" w:hAnsi="Arial"/>
          <w:color w:val="1A1A1A"/>
          <w:sz w:val="22"/>
          <w:szCs w:val="22"/>
        </w:rPr>
        <w:t xml:space="preserve">Wrapped KX (wKX) — 1:1 backed ERC-20 token deployed on Base (Coinbase’s L2). Users never see the word ‘wrapped’ — the interface handles everything transparently.</w:t>
      </w:r>
    </w:p>
    <w:p>
      <w:pPr>
        <w:pStyle w:val="ListParagraph"/>
        <w:numPr>
          <w:ilvl w:val="0"/>
          <w:numId w:val="2"/>
        </w:numPr>
        <w:spacing w:before="60" w:after="60"/>
      </w:pPr>
      <w:r>
        <w:rPr>
          <w:rFonts w:ascii="Arial" w:cs="Arial" w:eastAsia="Arial" w:hAnsi="Arial"/>
          <w:color w:val="1A1A1A"/>
          <w:sz w:val="22"/>
          <w:szCs w:val="22"/>
        </w:rPr>
        <w:t xml:space="preserve">1inch liquidity pool — wKX/USDC pool on Base seeded at launch (~$540 total cost). Real, non-custodial market from day one.</w:t>
      </w:r>
    </w:p>
    <w:p>
      <w:pPr>
        <w:pStyle w:val="ListParagraph"/>
        <w:numPr>
          <w:ilvl w:val="0"/>
          <w:numId w:val="2"/>
        </w:numPr>
        <w:spacing w:before="60" w:after="60"/>
      </w:pPr>
      <w:r>
        <w:rPr>
          <w:rFonts w:ascii="Arial" w:cs="Arial" w:eastAsia="Arial" w:hAnsi="Arial"/>
          <w:color w:val="1A1A1A"/>
          <w:sz w:val="22"/>
          <w:szCs w:val="22"/>
        </w:rPr>
        <w:t xml:space="preserve">chronx.io/exchange — seamless buy/sell interface embedded on the website. Market orders and limit orders. No account. No KYC for standard amounts. Powered by 1inch Fusion+ with MEV protection. Best price guaranteed across all DEXes.</w:t>
      </w:r>
    </w:p>
    <w:p>
      <w:pPr>
        <w:pStyle w:val="ListParagraph"/>
        <w:numPr>
          <w:ilvl w:val="0"/>
          <w:numId w:val="2"/>
        </w:numPr>
        <w:spacing w:before="60" w:after="60"/>
      </w:pPr>
      <w:r>
        <w:rPr>
          <w:rFonts w:ascii="Arial" w:cs="Arial" w:eastAsia="Arial" w:hAnsi="Arial"/>
          <w:color w:val="1A1A1A"/>
          <w:sz w:val="22"/>
          <w:szCs w:val="22"/>
        </w:rPr>
        <w:t xml:space="preserve">Wallet support — MetaMask, Coinbase Wallet, Trust Wallet, Binance Web3 Wallet, Rainbow, Phantom, and all WalletConnect-compatible wallets (300+). One interface, every major wallet.</w:t>
      </w:r>
    </w:p>
    <w:p>
      <w:pPr>
        <w:pStyle w:val="ListParagraph"/>
        <w:numPr>
          <w:ilvl w:val="0"/>
          <w:numId w:val="2"/>
        </w:numPr>
        <w:spacing w:before="60" w:after="60"/>
      </w:pPr>
      <w:r>
        <w:rPr>
          <w:rFonts w:ascii="Arial" w:cs="Arial" w:eastAsia="Arial" w:hAnsi="Arial"/>
          <w:color w:val="1A1A1A"/>
          <w:sz w:val="22"/>
          <w:szCs w:val="22"/>
        </w:rPr>
        <w:t xml:space="preserve">CoinMarketCap listing application — submitted at exchange launch. CMC tracks live price, volume, market cap, and charts from the 1inch pool. Approval 2–8 weeks.</w:t>
      </w:r>
    </w:p>
    <w:p>
      <w:pPr>
        <w:pStyle w:val="ListParagraph"/>
        <w:numPr>
          <w:ilvl w:val="0"/>
          <w:numId w:val="2"/>
        </w:numPr>
        <w:spacing w:before="60" w:after="60"/>
      </w:pPr>
      <w:r>
        <w:rPr>
          <w:rFonts w:ascii="Arial" w:cs="Arial" w:eastAsia="Arial" w:hAnsi="Arial"/>
          <w:color w:val="1A1A1A"/>
          <w:sz w:val="22"/>
          <w:szCs w:val="22"/>
        </w:rPr>
        <w:t xml:space="preserve">CoinGecko listing application — submitted simultaneously with CMC. Typically faster approval.</w:t>
      </w:r>
    </w:p>
    <w:p>
      <w:pPr>
        <w:pStyle w:val="ListParagraph"/>
        <w:numPr>
          <w:ilvl w:val="0"/>
          <w:numId w:val="2"/>
        </w:numPr>
        <w:spacing w:before="60" w:after="60"/>
      </w:pPr>
      <w:r>
        <w:rPr>
          <w:rFonts w:ascii="Arial" w:cs="Arial" w:eastAsia="Arial" w:hAnsi="Arial"/>
          <w:color w:val="1A1A1A"/>
          <w:sz w:val="22"/>
          <w:szCs w:val="22"/>
        </w:rPr>
        <w:t xml:space="preserve">24-hour cancellation window for long locks — any Promise with an unlock date of 1 year or more automatically includes a 24-hour window during which the sender may cancel and receive a full refund. The History tab shows a Cancel button with a confirmation prompt for any cancellable lock.</w:t>
      </w:r>
    </w:p>
    <w:p>
      <w:pPr>
        <w:pStyle w:val="ListParagraph"/>
        <w:numPr>
          <w:ilvl w:val="0"/>
          <w:numId w:val="2"/>
        </w:numPr>
        <w:spacing w:before="60" w:after="60"/>
      </w:pPr>
      <w:r>
        <w:rPr>
          <w:rFonts w:ascii="Arial" w:cs="Arial" w:eastAsia="Arial" w:hAnsi="Arial"/>
          <w:color w:val="1A1A1A"/>
          <w:sz w:val="22"/>
          <w:szCs w:val="22"/>
        </w:rPr>
        <w:t xml:space="preserve">DEX-first for up to one year — primary trading venue while CEX listing agreements are negotiated. Prioritizes user safety over speed.</w:t>
      </w:r>
    </w:p>
    <w:p>
      <w:pPr>
        <w:pStyle w:val="ListParagraph"/>
        <w:numPr>
          <w:ilvl w:val="0"/>
          <w:numId w:val="2"/>
        </w:numPr>
        <w:spacing w:before="60" w:after="60"/>
      </w:pPr>
      <w:r>
        <w:rPr>
          <w:rFonts w:ascii="Arial" w:cs="Arial" w:eastAsia="Arial" w:hAnsi="Arial"/>
          <w:color w:val="1A1A1A"/>
          <w:sz w:val="22"/>
          <w:szCs w:val="22"/>
        </w:rPr>
        <w:t xml:space="preserve">CEX listings — targeted 12–18 months post-launch on reputable mid-tier exchanges. CEX will complement, not replace, the DEX interface.</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Phase 3 — Accessibility</w:t>
      </w:r>
    </w:p>
    <w:p>
      <w:pPr>
        <w:spacing w:before="80" w:after="120"/>
        <w:jc w:val="both"/>
      </w:pPr>
      <w:r>
        <w:rPr>
          <w:rFonts w:ascii="Arial" w:cs="Arial" w:eastAsia="Arial" w:hAnsi="Arial"/>
          <w:color w:val="1A1A1A"/>
          <w:sz w:val="22"/>
          <w:szCs w:val="22"/>
        </w:rPr>
        <w:t xml:space="preserve">Phase 3 removes the remaining barriers to mainstream adoption — making ChronX usable by people who have never touched cryptocurrency before.</w:t>
      </w:r>
    </w:p>
    <w:p>
      <w:pPr>
        <w:pStyle w:val="ListParagraph"/>
        <w:numPr>
          <w:ilvl w:val="0"/>
          <w:numId w:val="2"/>
        </w:numPr>
        <w:spacing w:before="60" w:after="60"/>
      </w:pPr>
      <w:r>
        <w:rPr>
          <w:rFonts w:ascii="Arial" w:cs="Arial" w:eastAsia="Arial" w:hAnsi="Arial"/>
          <w:color w:val="1A1A1A"/>
          <w:sz w:val="22"/>
          <w:szCs w:val="22"/>
        </w:rPr>
        <w:t xml:space="preserve">Email-based locks — send KX to an email address instead of a wallet address. Recipient receives an email notification and has 72 hours to accept by downloading the ChronX wallet. If unclaimed within 72 hours, funds revert to sender automatically. Sender may also cancel an unaccepted email lock from their History tab at any time before acceptance.</w:t>
      </w:r>
    </w:p>
    <w:p>
      <w:pPr>
        <w:pStyle w:val="ListParagraph"/>
        <w:numPr>
          <w:ilvl w:val="0"/>
          <w:numId w:val="2"/>
        </w:numPr>
        <w:spacing w:before="60" w:after="60"/>
      </w:pPr>
      <w:r>
        <w:rPr>
          <w:rFonts w:ascii="Arial" w:cs="Arial" w:eastAsia="Arial" w:hAnsi="Arial"/>
          <w:color w:val="1A1A1A"/>
          <w:sz w:val="22"/>
          <w:szCs w:val="22"/>
        </w:rPr>
        <w:t xml:space="preserve">Off-chain email notification service — watches chain, sends claim notifications automatically</w:t>
      </w:r>
    </w:p>
    <w:p>
      <w:pPr>
        <w:pStyle w:val="ListParagraph"/>
        <w:numPr>
          <w:ilvl w:val="0"/>
          <w:numId w:val="2"/>
        </w:numPr>
        <w:spacing w:before="60" w:after="60"/>
      </w:pPr>
      <w:r>
        <w:rPr>
          <w:rFonts w:ascii="Arial" w:cs="Arial" w:eastAsia="Arial" w:hAnsi="Arial"/>
          <w:color w:val="1A1A1A"/>
          <w:sz w:val="22"/>
          <w:szCs w:val="22"/>
        </w:rPr>
        <w:t xml:space="preserve">Web wallet interface — use ChronX from any browser without installing an app</w:t>
      </w:r>
    </w:p>
    <w:p>
      <w:pPr>
        <w:pStyle w:val="ListParagraph"/>
        <w:numPr>
          <w:ilvl w:val="0"/>
          <w:numId w:val="2"/>
        </w:numPr>
        <w:spacing w:before="60" w:after="60"/>
      </w:pPr>
      <w:r>
        <w:rPr>
          <w:rFonts w:ascii="Arial" w:cs="Arial" w:eastAsia="Arial" w:hAnsi="Arial"/>
          <w:color w:val="1A1A1A"/>
          <w:sz w:val="22"/>
          <w:szCs w:val="22"/>
        </w:rPr>
        <w:t xml:space="preserve">Mobile wallet UX refinement — iOS support</w:t>
      </w:r>
    </w:p>
    <w:p>
      <w:pPr>
        <w:pStyle w:val="ListParagraph"/>
        <w:numPr>
          <w:ilvl w:val="0"/>
          <w:numId w:val="2"/>
        </w:numPr>
        <w:spacing w:before="60" w:after="60"/>
      </w:pPr>
      <w:r>
        <w:rPr>
          <w:rFonts w:ascii="Arial" w:cs="Arial" w:eastAsia="Arial" w:hAnsi="Arial"/>
          <w:color w:val="1A1A1A"/>
          <w:sz w:val="22"/>
          <w:szCs w:val="22"/>
        </w:rPr>
        <w:t xml:space="preserve">Walletless onboarding — account abstraction for non-crypto users</w:t>
      </w:r>
    </w:p>
    <w:p>
      <w:pPr>
        <w:pStyle w:val="ListParagraph"/>
        <w:numPr>
          <w:ilvl w:val="0"/>
          <w:numId w:val="2"/>
        </w:numPr>
        <w:spacing w:before="60" w:after="60"/>
      </w:pPr>
      <w:r>
        <w:rPr>
          <w:rFonts w:ascii="Arial" w:cs="Arial" w:eastAsia="Arial" w:hAnsi="Arial"/>
          <w:color w:val="1A1A1A"/>
          <w:sz w:val="22"/>
          <w:szCs w:val="22"/>
        </w:rPr>
        <w:t xml:space="preserve">Block explorer — public transaction and time-lock browser at chronx.io/explorer</w:t>
      </w:r>
    </w:p>
    <w:p>
      <w:pPr>
        <w:pStyle w:val="ListParagraph"/>
        <w:numPr>
          <w:ilvl w:val="0"/>
          <w:numId w:val="2"/>
        </w:numPr>
        <w:spacing w:before="60" w:after="60"/>
      </w:pPr>
      <w:r>
        <w:rPr>
          <w:rFonts w:ascii="Arial" w:cs="Arial" w:eastAsia="Arial" w:hAnsi="Arial"/>
          <w:color w:val="1A1A1A"/>
          <w:sz w:val="22"/>
          <w:szCs w:val="22"/>
        </w:rPr>
        <w:t xml:space="preserve">Real-time network analytics — live blockchain data and scarcity charts on chronx.io</w:t>
      </w:r>
    </w:p>
    <w:p>
      <w:pPr>
        <w:pStyle w:val="ListParagraph"/>
        <w:numPr>
          <w:ilvl w:val="0"/>
          <w:numId w:val="2"/>
        </w:numPr>
        <w:spacing w:before="60" w:after="60"/>
      </w:pPr>
      <w:r>
        <w:rPr>
          <w:rFonts w:ascii="Arial" w:cs="Arial" w:eastAsia="Arial" w:hAnsi="Arial"/>
          <w:color w:val="1A1A1A"/>
          <w:sz w:val="22"/>
          <w:szCs w:val="22"/>
        </w:rPr>
        <w:t xml:space="preserve">Developer SDK and documentation</w:t>
      </w:r>
    </w:p>
    <w:p>
      <w:pPr>
        <w:pStyle w:val="ListParagraph"/>
        <w:numPr>
          <w:ilvl w:val="0"/>
          <w:numId w:val="2"/>
        </w:numPr>
        <w:spacing w:before="60" w:after="60"/>
      </w:pPr>
      <w:r>
        <w:rPr>
          <w:rFonts w:ascii="Arial" w:cs="Arial" w:eastAsia="Arial" w:hAnsi="Arial"/>
          <w:color w:val="1A1A1A"/>
          <w:sz w:val="22"/>
          <w:szCs w:val="22"/>
        </w:rPr>
        <w:t xml:space="preserve">Multi-language wallet — Settings → Language selector for major world languages</w:t>
      </w:r>
    </w:p>
    <w:p>
      <w:pPr>
        <w:pStyle w:val="ListParagraph"/>
        <w:numPr>
          <w:ilvl w:val="0"/>
          <w:numId w:val="2"/>
        </w:numPr>
        <w:spacing w:before="60" w:after="60"/>
      </w:pPr>
      <w:r>
        <w:rPr>
          <w:rFonts w:ascii="Arial" w:cs="Arial" w:eastAsia="Arial" w:hAnsi="Arial"/>
          <w:color w:val="1A1A1A"/>
          <w:sz w:val="22"/>
          <w:szCs w:val="22"/>
        </w:rPr>
        <w:t xml:space="preserve">Biometric authentication — Windows Hello (desktop), Face ID / fingerprint (Android)</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Phase 4 — Institutional Infrastructure</w:t>
      </w:r>
    </w:p>
    <w:p>
      <w:pPr>
        <w:spacing w:before="80" w:after="120"/>
        <w:jc w:val="both"/>
      </w:pPr>
      <w:r>
        <w:rPr>
          <w:rFonts w:ascii="Arial" w:cs="Arial" w:eastAsia="Arial" w:hAnsi="Arial"/>
          <w:color w:val="1A1A1A"/>
          <w:sz w:val="22"/>
          <w:szCs w:val="22"/>
        </w:rPr>
        <w:t xml:space="preserve">Phase 4 makes ChronX viable for professional, corporate, and legal use cases requiring audit trails, compliance controls, and multi-party authorization.</w:t>
      </w:r>
    </w:p>
    <w:p>
      <w:pPr>
        <w:pStyle w:val="ListParagraph"/>
        <w:numPr>
          <w:ilvl w:val="0"/>
          <w:numId w:val="2"/>
        </w:numPr>
        <w:spacing w:before="60" w:after="60"/>
      </w:pPr>
      <w:r>
        <w:rPr>
          <w:rFonts w:ascii="Arial" w:cs="Arial" w:eastAsia="Arial" w:hAnsi="Arial"/>
          <w:color w:val="1A1A1A"/>
          <w:sz w:val="22"/>
          <w:szCs w:val="22"/>
        </w:rPr>
        <w:t xml:space="preserve">Multi-signature locks — require M-of-N signatories to claim</w:t>
      </w:r>
    </w:p>
    <w:p>
      <w:pPr>
        <w:pStyle w:val="ListParagraph"/>
        <w:numPr>
          <w:ilvl w:val="0"/>
          <w:numId w:val="2"/>
        </w:numPr>
        <w:spacing w:before="60" w:after="60"/>
      </w:pPr>
      <w:r>
        <w:rPr>
          <w:rFonts w:ascii="Arial" w:cs="Arial" w:eastAsia="Arial" w:hAnsi="Arial"/>
          <w:color w:val="1A1A1A"/>
          <w:sz w:val="22"/>
          <w:szCs w:val="22"/>
        </w:rPr>
        <w:t xml:space="preserve">Institutional wallet with policy controls and audit trails</w:t>
      </w:r>
    </w:p>
    <w:p>
      <w:pPr>
        <w:pStyle w:val="ListParagraph"/>
        <w:numPr>
          <w:ilvl w:val="0"/>
          <w:numId w:val="2"/>
        </w:numPr>
        <w:spacing w:before="60" w:after="60"/>
      </w:pPr>
      <w:r>
        <w:rPr>
          <w:rFonts w:ascii="Arial" w:cs="Arial" w:eastAsia="Arial" w:hAnsi="Arial"/>
          <w:color w:val="1A1A1A"/>
          <w:sz w:val="22"/>
          <w:szCs w:val="22"/>
        </w:rPr>
        <w:t xml:space="preserve">Jurisdiction-aware lane selection and compliance routing</w:t>
      </w:r>
    </w:p>
    <w:p>
      <w:pPr>
        <w:pStyle w:val="ListParagraph"/>
        <w:numPr>
          <w:ilvl w:val="0"/>
          <w:numId w:val="2"/>
        </w:numPr>
        <w:spacing w:before="60" w:after="60"/>
      </w:pPr>
      <w:r>
        <w:rPr>
          <w:rFonts w:ascii="Arial" w:cs="Arial" w:eastAsia="Arial" w:hAnsi="Arial"/>
          <w:color w:val="1A1A1A"/>
          <w:sz w:val="22"/>
          <w:szCs w:val="22"/>
        </w:rPr>
        <w:t xml:space="preserve">Long-horizon compliance tooling for legal professionals</w:t>
      </w:r>
    </w:p>
    <w:p>
      <w:pPr>
        <w:pStyle w:val="ListParagraph"/>
        <w:numPr>
          <w:ilvl w:val="0"/>
          <w:numId w:val="2"/>
        </w:numPr>
        <w:spacing w:before="60" w:after="60"/>
      </w:pPr>
      <w:r>
        <w:rPr>
          <w:rFonts w:ascii="Arial" w:cs="Arial" w:eastAsia="Arial" w:hAnsi="Arial"/>
          <w:color w:val="1A1A1A"/>
          <w:sz w:val="22"/>
          <w:szCs w:val="22"/>
        </w:rPr>
        <w:t xml:space="preserve">Governance for protocol parameter updates and registry management</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Phase 5 — Claim Resolution</w:t>
      </w:r>
    </w:p>
    <w:p>
      <w:pPr>
        <w:spacing w:before="80" w:after="120"/>
        <w:jc w:val="both"/>
      </w:pPr>
      <w:r>
        <w:rPr>
          <w:rFonts w:ascii="Arial" w:cs="Arial" w:eastAsia="Arial" w:hAnsi="Arial"/>
          <w:color w:val="1A1A1A"/>
          <w:sz w:val="22"/>
          <w:szCs w:val="22"/>
        </w:rPr>
        <w:t xml:space="preserve">Phase 5 introduces the Claim Agent network — a bonded, incentive-aligned layer for resolving ambiguous or conditional lock claims. This is the infrastructure that makes ChronX viable for complex real-world agreements where simple time-based release is not sufficient.</w:t>
      </w:r>
    </w:p>
    <w:p>
      <w:pPr>
        <w:pStyle w:val="ListParagraph"/>
        <w:numPr>
          <w:ilvl w:val="0"/>
          <w:numId w:val="2"/>
        </w:numPr>
        <w:spacing w:before="60" w:after="60"/>
      </w:pPr>
      <w:r>
        <w:rPr>
          <w:rFonts w:ascii="Arial" w:cs="Arial" w:eastAsia="Arial" w:hAnsi="Arial"/>
          <w:color w:val="1A1A1A"/>
          <w:sz w:val="22"/>
          <w:szCs w:val="22"/>
        </w:rPr>
        <w:t xml:space="preserve">Claim Agent registry and bonding mechanism</w:t>
      </w:r>
    </w:p>
    <w:p>
      <w:pPr>
        <w:pStyle w:val="ListParagraph"/>
        <w:numPr>
          <w:ilvl w:val="0"/>
          <w:numId w:val="2"/>
        </w:numPr>
        <w:spacing w:before="60" w:after="60"/>
      </w:pPr>
      <w:r>
        <w:rPr>
          <w:rFonts w:ascii="Arial" w:cs="Arial" w:eastAsia="Arial" w:hAnsi="Arial"/>
          <w:color w:val="1A1A1A"/>
          <w:sz w:val="22"/>
          <w:szCs w:val="22"/>
        </w:rPr>
        <w:t xml:space="preserve">Attestor registry and Compliance Certificate framework</w:t>
      </w:r>
    </w:p>
    <w:p>
      <w:pPr>
        <w:pStyle w:val="ListParagraph"/>
        <w:numPr>
          <w:ilvl w:val="0"/>
          <w:numId w:val="2"/>
        </w:numPr>
        <w:spacing w:before="60" w:after="60"/>
      </w:pPr>
      <w:r>
        <w:rPr>
          <w:rFonts w:ascii="Arial" w:cs="Arial" w:eastAsia="Arial" w:hAnsi="Arial"/>
          <w:color w:val="1A1A1A"/>
          <w:sz w:val="22"/>
          <w:szCs w:val="22"/>
        </w:rPr>
        <w:t xml:space="preserve">Ambiguity Mode and interpretation policy engine</w:t>
      </w:r>
    </w:p>
    <w:p>
      <w:pPr>
        <w:pStyle w:val="ListParagraph"/>
        <w:numPr>
          <w:ilvl w:val="0"/>
          <w:numId w:val="2"/>
        </w:numPr>
        <w:spacing w:before="60" w:after="60"/>
      </w:pPr>
      <w:r>
        <w:rPr>
          <w:rFonts w:ascii="Arial" w:cs="Arial" w:eastAsia="Arial" w:hAnsi="Arial"/>
          <w:color w:val="1A1A1A"/>
          <w:sz w:val="22"/>
          <w:szCs w:val="22"/>
        </w:rPr>
        <w:t xml:space="preserve">Commit-reveal claim submission (frontrunning prevention)</w:t>
      </w:r>
    </w:p>
    <w:p>
      <w:pPr>
        <w:pStyle w:val="ListParagraph"/>
        <w:numPr>
          <w:ilvl w:val="0"/>
          <w:numId w:val="2"/>
        </w:numPr>
        <w:spacing w:before="60" w:after="60"/>
      </w:pPr>
      <w:r>
        <w:rPr>
          <w:rFonts w:ascii="Arial" w:cs="Arial" w:eastAsia="Arial" w:hAnsi="Arial"/>
          <w:color w:val="1A1A1A"/>
          <w:sz w:val="22"/>
          <w:szCs w:val="22"/>
        </w:rPr>
        <w:t xml:space="preserve">Challenge window and bond slashing</w:t>
      </w:r>
    </w:p>
    <w:p>
      <w:pPr>
        <w:pStyle w:val="ListParagraph"/>
        <w:numPr>
          <w:ilvl w:val="0"/>
          <w:numId w:val="2"/>
        </w:numPr>
        <w:spacing w:before="60" w:after="60"/>
      </w:pPr>
      <w:r>
        <w:rPr>
          <w:rFonts w:ascii="Arial" w:cs="Arial" w:eastAsia="Arial" w:hAnsi="Arial"/>
          <w:color w:val="1A1A1A"/>
          <w:sz w:val="22"/>
          <w:szCs w:val="22"/>
        </w:rPr>
        <w:t xml:space="preserve">Oracle network for KX/fiat price snapshots</w:t>
      </w:r>
    </w:p>
    <w:p>
      <w:pPr>
        <w:pStyle w:val="ListParagraph"/>
        <w:numPr>
          <w:ilvl w:val="0"/>
          <w:numId w:val="2"/>
        </w:numPr>
        <w:spacing w:before="60" w:after="60"/>
      </w:pPr>
      <w:r>
        <w:rPr>
          <w:rFonts w:ascii="Arial" w:cs="Arial" w:eastAsia="Arial" w:hAnsi="Arial"/>
          <w:color w:val="1A1A1A"/>
          <w:sz w:val="22"/>
          <w:szCs w:val="22"/>
        </w:rPr>
        <w:t xml:space="preserve">Value-tier lane selection (Trivial / Standard / Elevated)</w:t>
      </w:r>
    </w:p>
    <w:p>
      <w:pPr>
        <w:pStyle w:val="ListParagraph"/>
        <w:numPr>
          <w:ilvl w:val="0"/>
          <w:numId w:val="2"/>
        </w:numPr>
        <w:spacing w:before="60" w:after="60"/>
      </w:pPr>
      <w:r>
        <w:rPr>
          <w:rFonts w:ascii="Arial" w:cs="Arial" w:eastAsia="Arial" w:hAnsi="Arial"/>
          <w:color w:val="1A1A1A"/>
          <w:sz w:val="22"/>
          <w:szCs w:val="22"/>
        </w:rPr>
        <w:t xml:space="preserve">Social recovery protocol for lost keys</w:t>
      </w:r>
    </w:p>
    <w:p>
      <w:pPr>
        <w:spacing w:before="120" w:after="0"/>
      </w:pPr>
      <w:r>
        <w:t xml:space="preserve"/>
      </w:r>
    </w:p>
    <w:p>
      <w:pPr>
        <w:pStyle w:val="Heading2"/>
        <w:spacing w:before="280" w:after="140"/>
      </w:pPr>
      <w:r>
        <w:rPr>
          <w:rFonts w:ascii="Arial" w:cs="Arial" w:eastAsia="Arial" w:hAnsi="Arial"/>
          <w:b/>
          <w:bCs/>
          <w:color w:val="2E5099"/>
          <w:sz w:val="26"/>
          <w:szCs w:val="26"/>
        </w:rPr>
        <w:t xml:space="preserve">Phase 6 — Conditional Payments</w:t>
      </w:r>
    </w:p>
    <w:p>
      <w:pPr>
        <w:spacing w:before="80" w:after="120"/>
        <w:jc w:val="both"/>
      </w:pPr>
      <w:r>
        <w:rPr>
          <w:rFonts w:ascii="Arial" w:cs="Arial" w:eastAsia="Arial" w:hAnsi="Arial"/>
          <w:color w:val="1A1A1A"/>
          <w:sz w:val="22"/>
          <w:szCs w:val="22"/>
        </w:rPr>
        <w:t xml:space="preserve">Phase 6 is the most complex phase and the most powerful. It introduces oracle-verified conditional payments — locks that release only if a specified real-world event is independently verified before a mandatory expiry date. If the condition is not verified in time, funds automatically revert to the sender. Phase 6 requires Phase 5’s Claim Agent network as its foundation.</w:t>
      </w:r>
    </w:p>
    <w:p>
      <w:pPr>
        <w:pStyle w:val="ListParagraph"/>
        <w:numPr>
          <w:ilvl w:val="0"/>
          <w:numId w:val="2"/>
        </w:numPr>
        <w:spacing w:before="60" w:after="60"/>
      </w:pPr>
      <w:r>
        <w:rPr>
          <w:rFonts w:ascii="Arial" w:cs="Arial" w:eastAsia="Arial" w:hAnsi="Arial"/>
          <w:color w:val="1A1A1A"/>
          <w:sz w:val="22"/>
          <w:szCs w:val="22"/>
        </w:rPr>
        <w:t xml:space="preserve">Condition description — plain English statement of the required event (e.g. ‘Mount Vesuvius erupts with Volcanic Explosivity Index ≥ 4’)</w:t>
      </w:r>
    </w:p>
    <w:p>
      <w:pPr>
        <w:pStyle w:val="ListParagraph"/>
        <w:numPr>
          <w:ilvl w:val="0"/>
          <w:numId w:val="2"/>
        </w:numPr>
        <w:spacing w:before="60" w:after="60"/>
      </w:pPr>
      <w:r>
        <w:rPr>
          <w:rFonts w:ascii="Arial" w:cs="Arial" w:eastAsia="Arial" w:hAnsi="Arial"/>
          <w:color w:val="1A1A1A"/>
          <w:sz w:val="22"/>
          <w:szCs w:val="22"/>
        </w:rPr>
        <w:t xml:space="preserve">Mandatory condition expiry — every conditional payment has a deadline; open-ended conditions are not permitted by design</w:t>
      </w:r>
    </w:p>
    <w:p>
      <w:pPr>
        <w:pStyle w:val="ListParagraph"/>
        <w:numPr>
          <w:ilvl w:val="0"/>
          <w:numId w:val="2"/>
        </w:numPr>
        <w:spacing w:before="60" w:after="60"/>
      </w:pPr>
      <w:r>
        <w:rPr>
          <w:rFonts w:ascii="Arial" w:cs="Arial" w:eastAsia="Arial" w:hAnsi="Arial"/>
          <w:color w:val="1A1A1A"/>
          <w:sz w:val="22"/>
          <w:szCs w:val="22"/>
        </w:rPr>
        <w:t xml:space="preserve">Oracle policy — sender specifies who may verify: any bonded agent, a specific named agent, M-of-N multi-sig attestation, or a registered external data feed</w:t>
      </w:r>
    </w:p>
    <w:p>
      <w:pPr>
        <w:pStyle w:val="ListParagraph"/>
        <w:numPr>
          <w:ilvl w:val="0"/>
          <w:numId w:val="2"/>
        </w:numPr>
        <w:spacing w:before="60" w:after="60"/>
      </w:pPr>
      <w:r>
        <w:rPr>
          <w:rFonts w:ascii="Arial" w:cs="Arial" w:eastAsia="Arial" w:hAnsi="Arial"/>
          <w:color w:val="1A1A1A"/>
          <w:sz w:val="22"/>
          <w:szCs w:val="22"/>
        </w:rPr>
        <w:t xml:space="preserve">Condition precision levels — Exact (no interpretation), Interpretive (reasonable judgment), or Expert (specialist attestation with higher bond requirement)</w:t>
      </w:r>
    </w:p>
    <w:p>
      <w:pPr>
        <w:pStyle w:val="ListParagraph"/>
        <w:numPr>
          <w:ilvl w:val="0"/>
          <w:numId w:val="2"/>
        </w:numPr>
        <w:spacing w:before="60" w:after="60"/>
      </w:pPr>
      <w:r>
        <w:rPr>
          <w:rFonts w:ascii="Arial" w:cs="Arial" w:eastAsia="Arial" w:hAnsi="Arial"/>
          <w:color w:val="1A1A1A"/>
          <w:sz w:val="22"/>
          <w:szCs w:val="22"/>
        </w:rPr>
        <w:t xml:space="preserve">Dispute window — a challenge period after attestation before funds release, protecting against fraudulent verification</w:t>
      </w:r>
    </w:p>
    <w:p>
      <w:pPr>
        <w:pStyle w:val="ListParagraph"/>
        <w:numPr>
          <w:ilvl w:val="0"/>
          <w:numId w:val="2"/>
        </w:numPr>
        <w:spacing w:before="60" w:after="60"/>
      </w:pPr>
      <w:r>
        <w:rPr>
          <w:rFonts w:ascii="Arial" w:cs="Arial" w:eastAsia="Arial" w:hAnsi="Arial"/>
          <w:color w:val="1A1A1A"/>
          <w:sz w:val="22"/>
          <w:szCs w:val="22"/>
        </w:rPr>
        <w:t xml:space="preserve">External data feed registry — automatable conditions via price feeds, weather APIs, public records, and other verified data sources</w:t>
      </w:r>
    </w:p>
    <w:p>
      <w:pPr>
        <w:pStyle w:val="ListParagraph"/>
        <w:numPr>
          <w:ilvl w:val="0"/>
          <w:numId w:val="2"/>
        </w:numPr>
        <w:spacing w:before="60" w:after="60"/>
      </w:pPr>
      <w:r>
        <w:rPr>
          <w:rFonts w:ascii="Arial" w:cs="Arial" w:eastAsia="Arial" w:hAnsi="Arial"/>
          <w:color w:val="1A1A1A"/>
          <w:sz w:val="22"/>
          <w:szCs w:val="22"/>
        </w:rPr>
        <w:t xml:space="preserve">Secondary market for pre-maturity claim rights (Pendle-style)</w:t>
      </w:r>
    </w:p>
    <w:p>
      <w:pPr>
        <w:pStyle w:val="ListParagraph"/>
        <w:numPr>
          <w:ilvl w:val="0"/>
          <w:numId w:val="2"/>
        </w:numPr>
        <w:spacing w:before="60" w:after="60"/>
      </w:pPr>
      <w:r>
        <w:rPr>
          <w:rFonts w:ascii="Arial" w:cs="Arial" w:eastAsia="Arial" w:hAnsi="Arial"/>
          <w:color w:val="1A1A1A"/>
          <w:sz w:val="22"/>
          <w:szCs w:val="22"/>
        </w:rPr>
        <w:t xml:space="preserve">Sender-controlled transferability activation</w:t>
      </w:r>
    </w:p>
    <w:p>
      <w:pPr>
        <w:pStyle w:val="ListParagraph"/>
        <w:numPr>
          <w:ilvl w:val="0"/>
          <w:numId w:val="2"/>
        </w:numPr>
        <w:spacing w:before="60" w:after="60"/>
      </w:pPr>
      <w:r>
        <w:rPr>
          <w:rFonts w:ascii="Arial" w:cs="Arial" w:eastAsia="Arial" w:hAnsi="Arial"/>
          <w:color w:val="1A1A1A"/>
          <w:sz w:val="22"/>
          <w:szCs w:val="22"/>
        </w:rPr>
        <w:t xml:space="preserve">Discounted lock trading — beneficiaries can liquidate early at market price</w:t>
      </w:r>
    </w:p>
    <w:p>
      <w:pPr>
        <w:pStyle w:val="ListParagraph"/>
        <w:numPr>
          <w:ilvl w:val="0"/>
          <w:numId w:val="2"/>
        </w:numPr>
        <w:spacing w:before="60" w:after="60"/>
      </w:pPr>
      <w:r>
        <w:rPr>
          <w:rFonts w:ascii="Arial" w:cs="Arial" w:eastAsia="Arial" w:hAnsi="Arial"/>
          <w:color w:val="1A1A1A"/>
          <w:sz w:val="22"/>
          <w:szCs w:val="22"/>
        </w:rPr>
        <w:t xml:space="preserve">Yield curve for KX time-value across lock durations</w:t>
      </w:r>
    </w:p>
    <w:p>
      <w:pPr>
        <w:pStyle w:val="ListParagraph"/>
        <w:numPr>
          <w:ilvl w:val="0"/>
          <w:numId w:val="2"/>
        </w:numPr>
        <w:spacing w:before="60" w:after="60"/>
      </w:pPr>
      <w:r>
        <w:rPr>
          <w:rFonts w:ascii="Arial" w:cs="Arial" w:eastAsia="Arial" w:hAnsi="Arial"/>
          <w:color w:val="1A1A1A"/>
          <w:sz w:val="22"/>
          <w:szCs w:val="22"/>
        </w:rPr>
        <w:t xml:space="preserve">Institutional liquidity pools for large-value locks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180"/>
              <w:left w:type="dxa" w:w="240"/>
              <w:bottom w:type="dxa" w:w="180"/>
              <w:right w:type="dxa" w:w="240"/>
            </w:tcMar>
          </w:tcPr>
          <w:p>
            <w:pPr>
              <w:spacing w:before="40" w:after="100"/>
            </w:pPr>
            <w:r>
              <w:rPr>
                <w:rFonts w:ascii="Arial" w:cs="Arial" w:eastAsia="Arial" w:hAnsi="Arial"/>
                <w:b/>
                <w:bCs/>
                <w:color w:val="1B2A4A"/>
                <w:sz w:val="23"/>
                <w:szCs w:val="23"/>
              </w:rPr>
              <w:t xml:space="preserve">Example: A Conditional Inheritance</w:t>
            </w:r>
          </w:p>
          <w:p>
            <w:pPr>
              <w:spacing w:before="40" w:after="40"/>
              <w:jc w:val="both"/>
            </w:pPr>
            <w:r>
              <w:rPr>
                <w:rFonts w:ascii="Arial" w:cs="Arial" w:eastAsia="Arial" w:hAnsi="Arial"/>
                <w:color w:val="1A1A1A"/>
                <w:sz w:val="21"/>
                <w:szCs w:val="21"/>
              </w:rPr>
              <w:t xml:space="preserve">Lock 50,000 KX for your spouse, payable upon verified death of the sender, before December 31, 2075. If not verified by the expiry date, funds revert automatically. The condition is attested by a bonded Claim Agent using public death records. No lawyer. No probate court. No custodian. A promise kept — or returned — by the protocol itself.
All data structures for conditional payments are present in the ChronX protocol from genesis — no hard fork required to activate this feature.</w:t>
            </w:r>
          </w:p>
        </w:tc>
      </w:tr>
    </w:tbl>
    <w:p>
      <w:pPr>
        <w:spacing w:before="160" w:after="0"/>
      </w:pPr>
      <w:r>
        <w:t xml:space="preserve"/>
      </w:r>
    </w:p>
    <w:p>
      <w:pPr>
        <w:pStyle w:val="Heading1"/>
        <w:spacing w:before="400" w:after="200"/>
      </w:pPr>
      <w:r>
        <w:rPr>
          <w:rFonts w:ascii="Arial" w:cs="Arial" w:eastAsia="Arial" w:hAnsi="Arial"/>
          <w:b/>
          <w:bCs/>
          <w:color w:val="1B2A4A"/>
          <w:sz w:val="32"/>
          <w:szCs w:val="32"/>
        </w:rPr>
        <w:t xml:space="preserve">11. Security Considerations</w:t>
      </w:r>
    </w:p>
    <w:p>
      <w:pPr>
        <w:pStyle w:val="Heading2"/>
        <w:spacing w:before="280" w:after="140"/>
      </w:pPr>
      <w:r>
        <w:rPr>
          <w:rFonts w:ascii="Arial" w:cs="Arial" w:eastAsia="Arial" w:hAnsi="Arial"/>
          <w:b/>
          <w:bCs/>
          <w:color w:val="2E5099"/>
          <w:sz w:val="26"/>
          <w:szCs w:val="26"/>
        </w:rPr>
        <w:t xml:space="preserve">11.1 Cryptographic Security</w:t>
      </w:r>
    </w:p>
    <w:p>
      <w:pPr>
        <w:spacing w:before="80" w:after="120"/>
        <w:jc w:val="both"/>
      </w:pPr>
      <w:r>
        <w:rPr>
          <w:rFonts w:ascii="Arial" w:cs="Arial" w:eastAsia="Arial" w:hAnsi="Arial"/>
          <w:color w:val="1A1A1A"/>
          <w:sz w:val="22"/>
          <w:szCs w:val="22"/>
        </w:rPr>
        <w:t xml:space="preserve">All ChronX accounts use CRYSTALS-Dilithium2 signatures providing 128-bit post-quantum security — the same standard recommended by NIST for long-term cryptographic security. Private keys are stored locally in encrypted keyfiles and never transmitted or stored on the network. Account IDs are 32-byte BLAKE3 hashes of Dilithium2 public keys, displayed as base58.</w:t>
      </w:r>
    </w:p>
    <w:p>
      <w:pPr>
        <w:pStyle w:val="Heading2"/>
        <w:spacing w:before="280" w:after="140"/>
      </w:pPr>
      <w:r>
        <w:rPr>
          <w:rFonts w:ascii="Arial" w:cs="Arial" w:eastAsia="Arial" w:hAnsi="Arial"/>
          <w:b/>
          <w:bCs/>
          <w:color w:val="2E5099"/>
          <w:sz w:val="26"/>
          <w:szCs w:val="26"/>
        </w:rPr>
        <w:t xml:space="preserve">11.2 Consensus Security</w:t>
      </w:r>
    </w:p>
    <w:p>
      <w:pPr>
        <w:spacing w:before="80" w:after="120"/>
        <w:jc w:val="both"/>
      </w:pPr>
      <w:r>
        <w:rPr>
          <w:rFonts w:ascii="Arial" w:cs="Arial" w:eastAsia="Arial" w:hAnsi="Arial"/>
          <w:color w:val="1A1A1A"/>
          <w:sz w:val="22"/>
          <w:szCs w:val="22"/>
        </w:rPr>
        <w:t xml:space="preserve">The PoW consensus mechanism at difficulty 20 bits (SHA3-256, 20 leading zero bits) provides robust protection against double-spend attacks at current network scale. Difficulty will increase as network hash rate grows. The commit-reveal mechanism for high-value claims adds an additional layer of protection against transaction-level frontrunning.</w:t>
      </w:r>
    </w:p>
    <w:p>
      <w:pPr>
        <w:pStyle w:val="Heading2"/>
        <w:spacing w:before="280" w:after="140"/>
      </w:pPr>
      <w:r>
        <w:rPr>
          <w:rFonts w:ascii="Arial" w:cs="Arial" w:eastAsia="Arial" w:hAnsi="Arial"/>
          <w:b/>
          <w:bCs/>
          <w:color w:val="2E5099"/>
          <w:sz w:val="26"/>
          <w:szCs w:val="26"/>
        </w:rPr>
        <w:t xml:space="preserve">11.3 Time-Lock Immutability</w:t>
      </w:r>
    </w:p>
    <w:p>
      <w:pPr>
        <w:spacing w:before="80" w:after="120"/>
        <w:jc w:val="both"/>
      </w:pPr>
      <w:r>
        <w:rPr>
          <w:rFonts w:ascii="Arial" w:cs="Arial" w:eastAsia="Arial" w:hAnsi="Arial"/>
          <w:color w:val="1A1A1A"/>
          <w:sz w:val="22"/>
          <w:szCs w:val="22"/>
        </w:rPr>
        <w:t xml:space="preserve">Once created, a time-lock record is immutable on-chain with one deliberate exception: senders may optionally specify a cancellation window at creation time. Within this window the sender may cancel and receive a full refund. Once the cancellation window expires, the lock is permanently irrevocable — no party, including the sender, can modify the unlock date, redirect the funds, or cancel. This design gives senders a correction window while preserving the unconditional commitment that makes ChronX time-locks trustworthy.</w:t>
      </w:r>
    </w:p>
    <w:p>
      <w:pPr>
        <w:pStyle w:val="Heading2"/>
        <w:spacing w:before="280" w:after="140"/>
      </w:pPr>
      <w:r>
        <w:rPr>
          <w:rFonts w:ascii="Arial" w:cs="Arial" w:eastAsia="Arial" w:hAnsi="Arial"/>
          <w:b/>
          <w:bCs/>
          <w:color w:val="2E5099"/>
          <w:sz w:val="26"/>
          <w:szCs w:val="26"/>
        </w:rPr>
        <w:t xml:space="preserve">11.4 UTC Timestamp Integrity</w:t>
      </w:r>
    </w:p>
    <w:p>
      <w:pPr>
        <w:spacing w:before="80" w:after="120"/>
        <w:jc w:val="both"/>
      </w:pPr>
      <w:r>
        <w:rPr>
          <w:rFonts w:ascii="Arial" w:cs="Arial" w:eastAsia="Arial" w:hAnsi="Arial"/>
          <w:color w:val="1A1A1A"/>
          <w:sz w:val="22"/>
          <w:szCs w:val="22"/>
        </w:rPr>
        <w:t xml:space="preserve">All timestamps on ChronX are UTC Unix timestamps (seconds since January 1, 1970 00:00:00 UTC). This is enforced at the protocol level — there is no timezone input, no timezone conversion, and no timezone ambiguity anywhere in the system. The genesis block, all treasury releases, the humanity stake, and every user-created lock all use the same UTC standard. This is a critical property for legal enforceability in multi-jurisdiction long-horizon commitments.</w:t>
      </w:r>
    </w:p>
    <w:p>
      <w:pPr>
        <w:pStyle w:val="Heading2"/>
        <w:spacing w:before="280" w:after="140"/>
      </w:pPr>
      <w:r>
        <w:rPr>
          <w:rFonts w:ascii="Arial" w:cs="Arial" w:eastAsia="Arial" w:hAnsi="Arial"/>
          <w:b/>
          <w:bCs/>
          <w:color w:val="2E5099"/>
          <w:sz w:val="26"/>
          <w:szCs w:val="26"/>
        </w:rPr>
        <w:t xml:space="preserve">11.5 Economic Security of Claim Resolution</w:t>
      </w:r>
    </w:p>
    <w:p>
      <w:pPr>
        <w:spacing w:before="80" w:after="120"/>
        <w:jc w:val="both"/>
      </w:pPr>
      <w:r>
        <w:rPr>
          <w:rFonts w:ascii="Arial" w:cs="Arial" w:eastAsia="Arial" w:hAnsi="Arial"/>
          <w:color w:val="1A1A1A"/>
          <w:sz w:val="22"/>
          <w:szCs w:val="22"/>
        </w:rPr>
        <w:t xml:space="preserve">The bonded Claim Agent model aligns incentives rather than relying on trust. Agents who submit fraudulent claims lose their bonds to challengers, making fraud economically irrational at scale. The value-scaled bonding requirement ensures that the cost of fraud always exceeds the potential gain, regardless of KX price fluctuations.</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12. Vision: The Default Protocol for Future Payments</w:t>
      </w:r>
    </w:p>
    <w:p>
      <w:pPr>
        <w:spacing w:before="80" w:after="120"/>
        <w:jc w:val="both"/>
      </w:pPr>
      <w:r>
        <w:rPr>
          <w:rFonts w:ascii="Arial" w:cs="Arial" w:eastAsia="Arial" w:hAnsi="Arial"/>
          <w:color w:val="1A1A1A"/>
          <w:sz w:val="22"/>
          <w:szCs w:val="22"/>
        </w:rPr>
        <w:t xml:space="preserve">In five years, the ChronX team envisions a world where sending value to the future is as normal as sending value today. A parent opens the ChronX wallet, locks 10,000 KX for their newborn, and knows — not hopes, but knows — that those funds will be there when the child turns 18. A professional structures deferred compensation with policy conditions. A person in one country sends value to a trusted friend in another, with an unlock date decades away, without any bank or court standing between the sender’s intent and the recipient’s claim.</w:t>
      </w:r>
    </w:p>
    <w:p>
      <w:pPr>
        <w:spacing w:before="80" w:after="120"/>
        <w:jc w:val="both"/>
      </w:pPr>
      <w:r>
        <w:rPr>
          <w:rFonts w:ascii="Arial" w:cs="Arial" w:eastAsia="Arial" w:hAnsi="Arial"/>
          <w:color w:val="1A1A1A"/>
          <w:sz w:val="22"/>
          <w:szCs w:val="22"/>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before="80" w:after="120"/>
        <w:jc w:val="both"/>
      </w:pPr>
      <w:r>
        <w:rPr>
          <w:rFonts w:ascii="Arial" w:cs="Arial" w:eastAsia="Arial" w:hAnsi="Arial"/>
          <w:color w:val="1A1A1A"/>
          <w:sz w:val="22"/>
          <w:szCs w:val="22"/>
        </w:rPr>
        <w:t xml:space="preserve">Every design decision is made with the question: will this still make sense in 50 years? Not adding features that don’t serve future payments. Not designing tokenomics for speculation. Not compromising cryptographic security for throughput. Not hard-coding anything that might need to change.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DF8EC" w:val="clear"/>
            <w:tcMar>
              <w:top w:type="dxa" w:w="180"/>
              <w:left w:type="dxa" w:w="240"/>
              <w:bottom w:type="dxa" w:w="180"/>
              <w:right w:type="dxa" w:w="240"/>
            </w:tcMar>
          </w:tcPr>
          <w:p>
            <w:pPr>
              <w:spacing w:before="40" w:after="100"/>
            </w:pPr>
            <w:r>
              <w:rPr>
                <w:rFonts w:ascii="Arial" w:cs="Arial" w:eastAsia="Arial" w:hAnsi="Arial"/>
                <w:b/>
                <w:bCs/>
                <w:color w:val="B8860B"/>
                <w:sz w:val="23"/>
                <w:szCs w:val="23"/>
              </w:rPr>
              <w:t xml:space="preserve">A 100-Year Proof of Concept</w:t>
            </w:r>
          </w:p>
          <w:p>
            <w:pPr>
              <w:spacing w:before="40" w:after="40"/>
              <w:jc w:val="both"/>
            </w:pPr>
            <w:r>
              <w:rPr>
                <w:rFonts w:ascii="Arial" w:cs="Arial" w:eastAsia="Arial" w:hAnsi="Arial"/>
                <w:color w:val="1A1A1A"/>
                <w:sz w:val="21"/>
                <w:szCs w:val="21"/>
              </w:rPr>
              <w:t xml:space="preserve">The Humanity Stake — 1,000,000 KX locked until January 1, 2127 — is not a marketing stunt. It is the team’s public commitment to the claim that this protocol is built to last. The funds are on-chain now. The Milestone 2076 lock will mature in 50 years as a public checkpoint. The treasury will release funds for 100 years. The final treasury release and the humanity stake will unlock on the same day in 2127 — two promises made at genesis, kept across a century. That is the standard ChronX holds itself to.</w:t>
            </w:r>
          </w:p>
        </w:tc>
      </w:tr>
    </w:tbl>
    <w:p>
      <w:pPr>
        <w:spacing w:before="160" w:after="0"/>
      </w:pPr>
      <w:r>
        <w:t xml:space="preserve"/>
      </w:r>
    </w:p>
    <w:p>
      <w:pPr>
        <w:pStyle w:val="Heading1"/>
        <w:spacing w:before="400" w:after="200"/>
      </w:pPr>
      <w:r>
        <w:rPr>
          <w:rFonts w:ascii="Arial" w:cs="Arial" w:eastAsia="Arial" w:hAnsi="Arial"/>
          <w:b/>
          <w:bCs/>
          <w:color w:val="1B2A4A"/>
          <w:sz w:val="32"/>
          <w:szCs w:val="32"/>
        </w:rPr>
        <w:t xml:space="preserve">13. Technical Specifications</w:t>
      </w:r>
    </w:p>
    <w:p>
      <w:pPr>
        <w:spacing w:before="80" w:after="120"/>
        <w:jc w:val="both"/>
      </w:pPr>
      <w:r>
        <w:rPr>
          <w:rFonts w:ascii="Arial" w:cs="Arial" w:eastAsia="Arial" w:hAnsi="Arial"/>
          <w:color w:val="1A1A1A"/>
          <w:sz w:val="22"/>
          <w:szCs w:val="22"/>
        </w:rPr>
        <w:t xml:space="preserve">This section provides a complete technical reference for developers, node operators, and AI agents working with the ChronX protocol.</w:t>
      </w:r>
    </w:p>
    <w:p>
      <w:pPr>
        <w:pStyle w:val="Heading2"/>
        <w:spacing w:before="280" w:after="140"/>
      </w:pPr>
      <w:r>
        <w:rPr>
          <w:rFonts w:ascii="Arial" w:cs="Arial" w:eastAsia="Arial" w:hAnsi="Arial"/>
          <w:b/>
          <w:bCs/>
          <w:color w:val="2E5099"/>
          <w:sz w:val="26"/>
          <w:szCs w:val="26"/>
        </w:rPr>
        <w:t xml:space="preserve">13.1 Protocol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Chain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chronx-mainnet-1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Native Token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Unit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grain (1 KX = 1,000,000 grains)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Supply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8,270,000,000 KX (fixed, no inflation ever)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Consensus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Proof of Work over DAG (SHA3-256, 20-bit leading zeros)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Signature Scheme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CRYSTALS-Dilithium2 (NIST PQC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Key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1,312 bytes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Signature Size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2,420 bytes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32-byte BLAKE3 hash of public key, base58 encoded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Transaction 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BLAKE3 of bincode-serialized TransactionBody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libp2p (Kademlia DHT + Gossip)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P2P 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30303 (TCP)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RPC Protocol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JSON-RPC 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RPC 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8545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Access-Control-Allow-*: * (all origins)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Implementation Language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sled (embedded key-value)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Serialization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bincode (binary) + serde_json (RPC)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Standard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UTC Unix timestamps (seconds since 1970-01-01 00:00:00 UTC)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Genesis Timestamp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2026-01-01 00:00:00 UTC (Unix: 1,735,689,600)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Humanity Stake Unlock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2127-01-01 00:00:00 UTC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Milestone 2076 Unlock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2076-01-01 00:00:00 UTC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Reserve Unlock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2036-01-01 00:00:00 UTC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First Treasury Release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2029-01-01 00:00:00 UTC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Treasury Release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2128-01-01 00:00:00 UTC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Treasury Schedule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Harmonic series: release k = floor(TREASURY_CHRONOS / (H_100 × 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H_100 (harmonic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≈5.187377517639621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 Difficulty Range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16–32 bits (configurable, mainnet: 20)</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13.2 Genesis Allocations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340"/>
        <w:gridCol w:w="2340"/>
        <w:gridCol w:w="1820"/>
      </w:tblGrid>
      <w:tr>
        <w:trPr>
          <w:tblHeader/>
        </w:trPr>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 / Lock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(KX)</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(grains)</w:t>
            </w:r>
          </w:p>
        </w:tc>
        <w:tc>
          <w:tcPr>
            <w:tcW w:type="dxa" w:w="18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Unlock / Condition</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Sale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7,268,000,000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7,268,000,000,000,000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Spendable at genesis</w:t>
            </w:r>
          </w:p>
        </w:tc>
      </w:tr>
      <w:tr>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Treasury (100 locks)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1,000,000,000,000,000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Annual, 2029–2128, harmonic</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Humanity Stake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1,000,000,000,000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2127-01-01 UTC</w:t>
            </w:r>
          </w:p>
        </w:tc>
      </w:tr>
      <w:tr>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Milestone 2076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500,000,000,000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2076-01-01 UTC</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500,000,000,000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2036-01-01 UTC</w:t>
            </w:r>
          </w:p>
        </w:tc>
      </w:tr>
      <w:tr>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8,270,000,000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8,270,000,000,000,000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Verified at genesis</w:t>
            </w:r>
          </w:p>
        </w:tc>
      </w:tr>
    </w:tbl>
    <w:p>
      <w:pPr>
        <w:spacing w:before="120" w:after="0"/>
      </w:pPr>
      <w:r>
        <w:t xml:space="preserve"/>
      </w:r>
    </w:p>
    <w:p>
      <w:pPr>
        <w:pStyle w:val="Heading2"/>
        <w:spacing w:before="280" w:after="140"/>
      </w:pPr>
      <w:r>
        <w:rPr>
          <w:rFonts w:ascii="Arial" w:cs="Arial" w:eastAsia="Arial" w:hAnsi="Arial"/>
          <w:b/>
          <w:bCs/>
          <w:color w:val="2E5099"/>
          <w:sz w:val="26"/>
          <w:szCs w:val="26"/>
        </w:rPr>
        <w:t xml:space="preserve">13.3 TimeLockContract Field Reference</w:t>
      </w:r>
    </w:p>
    <w:p>
      <w:pPr>
        <w:spacing w:before="80" w:after="120"/>
        <w:jc w:val="both"/>
      </w:pPr>
      <w:r>
        <w:rPr>
          <w:rFonts w:ascii="Arial" w:cs="Arial" w:eastAsia="Arial" w:hAnsi="Arial"/>
          <w:color w:val="1A1A1A"/>
          <w:sz w:val="22"/>
          <w:szCs w:val="22"/>
        </w:rPr>
        <w:t xml:space="preserve">The following table documents all fields of the TimeLockContract struct as of Protocol V3.1. All optional fields use #[serde(default)] for backward compatibility.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720"/>
        <w:gridCol w:w="324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TxId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BLAKE3 hash of creating transaction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Lock creator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Intended claimant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amount_grains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u64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Lock amount in grains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unlock_at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UTC Unix unlock timestamp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Option&lt;String&gt;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Human-readable note (max 256 bytes)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TimeLockStatus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Lifecycle state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lock_version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 version (0=direct, 1=claims)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claim_policy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Option&lt;PolicyId&gt;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Claims resolution policy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beneficiary_anchor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Option&lt;[u8;32]&gt;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Identity commitment hash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cancellation_window_secs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Option&lt;u64&gt;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Seconds sender can cancel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Vec&lt;String&gt;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User-defined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false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Hide from public queries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expiry_policy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Option&lt;ExpiryPolicy&gt;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happens if unclaimed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recurring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Option&lt;RecurringPolicy&gt;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Installment lock config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oracle_hint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Option&lt;String&gt;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Preferred oracle for 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jurisdiction_hint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jurisdiction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transferable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false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 right can be assigned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Option&lt;PolicyId&gt;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Secondary market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current_beneficiary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Option&lt;AccountId&gt;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Current claim right holder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transfer_history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Vec&lt;TxId&gt;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trail of transfers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earliest_transfer_date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Option&lt;u64&gt;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Deferred transferability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recipient_email_hash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Option&lt;[u8;32]&gt;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BLAKE3 of recipient email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claim_window_secs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Option&lt;u64&gt;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claim window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unclaimed_action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Option&lt;UnclaimedAction&gt;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RevertToSender/Burn/ForwardTo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notification_sent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false</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V3.1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notification dispatched</w:t>
            </w:r>
          </w:p>
        </w:tc>
      </w:tr>
    </w:tbl>
    <w:p>
      <w:pPr>
        <w:spacing w:before="160" w:after="0"/>
      </w:pPr>
      <w:r>
        <w:t xml:space="preserve"/>
      </w:r>
    </w:p>
    <w:p>
      <w:pPr>
        <w:pStyle w:val="Heading1"/>
        <w:spacing w:before="400" w:after="200"/>
      </w:pPr>
      <w:r>
        <w:rPr>
          <w:rFonts w:ascii="Arial" w:cs="Arial" w:eastAsia="Arial" w:hAnsi="Arial"/>
          <w:b/>
          <w:bCs/>
          <w:color w:val="1B2A4A"/>
          <w:sz w:val="32"/>
          <w:szCs w:val="32"/>
        </w:rPr>
        <w:t xml:space="preserve">14. Wallet Interface</w:t>
      </w:r>
    </w:p>
    <w:p>
      <w:pPr>
        <w:spacing w:before="80" w:after="120"/>
        <w:jc w:val="both"/>
      </w:pPr>
      <w:r>
        <w:rPr>
          <w:rFonts w:ascii="Arial" w:cs="Arial" w:eastAsia="Arial" w:hAnsi="Arial"/>
          <w:color w:val="1A1A1A"/>
          <w:sz w:val="22"/>
          <w:szCs w:val="22"/>
        </w:rPr>
        <w:t xml:space="preserve">The ChronX wallet is available for Windows (desktop .exe) and Android (.apk). It provides a purpose-built interface for managing time-locks, viewing account balances, sending KX, and managing promises. Key features include:</w:t>
      </w:r>
    </w:p>
    <w:p>
      <w:pPr>
        <w:pStyle w:val="ListParagraph"/>
        <w:numPr>
          <w:ilvl w:val="0"/>
          <w:numId w:val="2"/>
        </w:numPr>
        <w:spacing w:before="60" w:after="60"/>
      </w:pPr>
      <w:r>
        <w:rPr>
          <w:rFonts w:ascii="Arial" w:cs="Arial" w:eastAsia="Arial" w:hAnsi="Arial"/>
          <w:color w:val="1A1A1A"/>
          <w:sz w:val="22"/>
          <w:szCs w:val="22"/>
        </w:rPr>
        <w:t xml:space="preserve">4-digit PIN security on launch, with biometric / Windows Hello coming in Phase 2</w:t>
      </w:r>
    </w:p>
    <w:p>
      <w:pPr>
        <w:pStyle w:val="ListParagraph"/>
        <w:numPr>
          <w:ilvl w:val="0"/>
          <w:numId w:val="2"/>
        </w:numPr>
        <w:spacing w:before="60" w:after="60"/>
      </w:pPr>
      <w:r>
        <w:rPr>
          <w:rFonts w:ascii="Arial" w:cs="Arial" w:eastAsia="Arial" w:hAnsi="Arial"/>
          <w:color w:val="1A1A1A"/>
          <w:sz w:val="22"/>
          <w:szCs w:val="22"/>
        </w:rPr>
        <w:t xml:space="preserve">Gold-highlighted incoming pending promises with unlock dates and paginated view</w:t>
      </w:r>
    </w:p>
    <w:p>
      <w:pPr>
        <w:pStyle w:val="ListParagraph"/>
        <w:numPr>
          <w:ilvl w:val="0"/>
          <w:numId w:val="2"/>
        </w:numPr>
        <w:spacing w:before="60" w:after="60"/>
      </w:pPr>
      <w:r>
        <w:rPr>
          <w:rFonts w:ascii="Arial" w:cs="Arial" w:eastAsia="Arial" w:hAnsi="Arial"/>
          <w:color w:val="1A1A1A"/>
          <w:sz w:val="22"/>
          <w:szCs w:val="22"/>
        </w:rPr>
        <w:t xml:space="preserve">QR code display of wallet address for easy sharing</w:t>
      </w:r>
    </w:p>
    <w:p>
      <w:pPr>
        <w:pStyle w:val="ListParagraph"/>
        <w:numPr>
          <w:ilvl w:val="0"/>
          <w:numId w:val="2"/>
        </w:numPr>
        <w:spacing w:before="60" w:after="60"/>
      </w:pPr>
      <w:r>
        <w:rPr>
          <w:rFonts w:ascii="Arial" w:cs="Arial" w:eastAsia="Arial" w:hAnsi="Arial"/>
          <w:color w:val="1A1A1A"/>
          <w:sz w:val="22"/>
          <w:szCs w:val="22"/>
        </w:rPr>
        <w:t xml:space="preserve">QR code scanning for recipient address entry</w:t>
      </w:r>
    </w:p>
    <w:p>
      <w:pPr>
        <w:pStyle w:val="ListParagraph"/>
        <w:numPr>
          <w:ilvl w:val="0"/>
          <w:numId w:val="2"/>
        </w:numPr>
        <w:spacing w:before="60" w:after="60"/>
      </w:pPr>
      <w:r>
        <w:rPr>
          <w:rFonts w:ascii="Arial" w:cs="Arial" w:eastAsia="Arial" w:hAnsi="Arial"/>
          <w:color w:val="1A1A1A"/>
          <w:sz w:val="22"/>
          <w:szCs w:val="22"/>
        </w:rPr>
        <w:t xml:space="preserve">Full transaction history</w:t>
      </w:r>
    </w:p>
    <w:p>
      <w:pPr>
        <w:pStyle w:val="ListParagraph"/>
        <w:numPr>
          <w:ilvl w:val="0"/>
          <w:numId w:val="2"/>
        </w:numPr>
        <w:spacing w:before="60" w:after="60"/>
      </w:pPr>
      <w:r>
        <w:rPr>
          <w:rFonts w:ascii="Arial" w:cs="Arial" w:eastAsia="Arial" w:hAnsi="Arial"/>
          <w:color w:val="1A1A1A"/>
          <w:sz w:val="22"/>
          <w:szCs w:val="22"/>
        </w:rPr>
        <w:t xml:space="preserve">Send Later tab for creating time-locks with quick date buttons (1 mo, 1 yr, 5 yr, 10 yr, 25 yr, 100 yr)</w:t>
      </w:r>
    </w:p>
    <w:p>
      <w:pPr>
        <w:pStyle w:val="ListParagraph"/>
        <w:numPr>
          <w:ilvl w:val="0"/>
          <w:numId w:val="2"/>
        </w:numPr>
        <w:spacing w:before="60" w:after="60"/>
      </w:pPr>
      <w:r>
        <w:rPr>
          <w:rFonts w:ascii="Arial" w:cs="Arial" w:eastAsia="Arial" w:hAnsi="Arial"/>
          <w:color w:val="1A1A1A"/>
          <w:sz w:val="22"/>
          <w:szCs w:val="22"/>
        </w:rPr>
        <w:t xml:space="preserve">Promises tab showing all outgoing and self-locks</w:t>
      </w:r>
    </w:p>
    <w:p>
      <w:pPr>
        <w:pStyle w:val="ListParagraph"/>
        <w:numPr>
          <w:ilvl w:val="0"/>
          <w:numId w:val="2"/>
        </w:numPr>
        <w:spacing w:before="60" w:after="60"/>
      </w:pPr>
      <w:r>
        <w:rPr>
          <w:rFonts w:ascii="Arial" w:cs="Arial" w:eastAsia="Arial" w:hAnsi="Arial"/>
          <w:color w:val="1A1A1A"/>
          <w:sz w:val="22"/>
          <w:szCs w:val="22"/>
        </w:rPr>
        <w:t xml:space="preserve">Settings with node URL configuration and public key display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280"/>
              <w:left w:type="dxa" w:w="280"/>
              <w:bottom w:type="dxa" w:w="280"/>
              <w:right w:type="dxa" w:w="280"/>
            </w:tcMar>
          </w:tcPr>
          <w:p>
            <w:pPr>
              <w:jc w:val="center"/>
            </w:pPr>
            <w:r>
              <w:rPr>
                <w:rFonts w:ascii="Arial" w:cs="Arial" w:eastAsia="Arial" w:hAnsi="Arial"/>
                <w:i/>
                <w:iCs/>
                <w:color w:val="2E5099"/>
                <w:sz w:val="22"/>
                <w:szCs w:val="22"/>
              </w:rPr>
              <w:t xml:space="preserve">[ Wallet Screenshot — to be inserted after final build testing ]</w:t>
            </w:r>
          </w:p>
        </w:tc>
      </w:tr>
    </w:tbl>
    <w:p>
      <w:pPr>
        <w:spacing w:before="160" w:after="0"/>
      </w:pPr>
      <w:r>
        <w:t xml:space="preserve"/>
      </w:r>
    </w:p>
    <w:p>
      <w:pPr>
        <w:pStyle w:val="Heading1"/>
        <w:spacing w:before="400" w:after="200"/>
      </w:pPr>
      <w:r>
        <w:rPr>
          <w:rFonts w:ascii="Arial" w:cs="Arial" w:eastAsia="Arial" w:hAnsi="Arial"/>
          <w:b/>
          <w:bCs/>
          <w:color w:val="1B2A4A"/>
          <w:sz w:val="32"/>
          <w:szCs w:val="32"/>
        </w:rPr>
        <w:t xml:space="preserve">15. Third-Party Integrations Reference</w:t>
      </w:r>
    </w:p>
    <w:p>
      <w:pPr>
        <w:spacing w:before="80" w:after="120"/>
        <w:jc w:val="both"/>
      </w:pPr>
      <w:r>
        <w:rPr>
          <w:rFonts w:ascii="Arial" w:cs="Arial" w:eastAsia="Arial" w:hAnsi="Arial"/>
          <w:color w:val="1A1A1A"/>
          <w:sz w:val="22"/>
          <w:szCs w:val="22"/>
        </w:rPr>
        <w:t xml:space="preserve">This section documents all third-party services, protocols, and infrastructure used or planned by ChronX. It is intended as a complete reference for developers, auditors, investors, and AI systems reviewing this document.</w:t>
      </w:r>
    </w:p>
    <w:p>
      <w:pPr>
        <w:pStyle w:val="Heading2"/>
        <w:spacing w:before="280" w:after="140"/>
      </w:pPr>
      <w:r>
        <w:rPr>
          <w:rFonts w:ascii="Arial" w:cs="Arial" w:eastAsia="Arial" w:hAnsi="Arial"/>
          <w:b/>
          <w:bCs/>
          <w:color w:val="2E5099"/>
          <w:sz w:val="26"/>
          <w:szCs w:val="26"/>
        </w:rPr>
        <w:t xml:space="preserve">15.1 Blockchain Infrastructure</w:t>
      </w:r>
    </w:p>
    <w:p>
      <w:pPr>
        <w:pStyle w:val="ListParagraph"/>
        <w:numPr>
          <w:ilvl w:val="0"/>
          <w:numId w:val="2"/>
        </w:numPr>
        <w:spacing w:before="60" w:after="60"/>
      </w:pPr>
      <w:r>
        <w:rPr>
          <w:rFonts w:ascii="Arial" w:cs="Arial" w:eastAsia="Arial" w:hAnsi="Arial"/>
          <w:color w:val="1A1A1A"/>
          <w:sz w:val="22"/>
          <w:szCs w:val="22"/>
        </w:rPr>
        <w:t xml:space="preserve">Vultr VPS — https://vultr.com — Primary mainnet node hosting. Server location: North America (USA). IP: 45.63.22.189. The ChronX node runs as a background process with P2P on port 30303 and JSON-RPC on port 8545.</w:t>
      </w:r>
    </w:p>
    <w:p>
      <w:pPr>
        <w:pStyle w:val="ListParagraph"/>
        <w:numPr>
          <w:ilvl w:val="0"/>
          <w:numId w:val="2"/>
        </w:numPr>
        <w:spacing w:before="60" w:after="60"/>
      </w:pPr>
      <w:r>
        <w:rPr>
          <w:rFonts w:ascii="Arial" w:cs="Arial" w:eastAsia="Arial" w:hAnsi="Arial"/>
          <w:color w:val="1A1A1A"/>
          <w:sz w:val="22"/>
          <w:szCs w:val="22"/>
        </w:rPr>
        <w:t xml:space="preserve">Base (L2) — https://base.org — Coinbase’s Ethereum Layer 2 network. Used for Wrapped KX (wKX) ERC-20 deployment and 1inch liquidity pool. Selected for low gas fees (~$0.01/tx), large user base, and Coinbase integration.</w:t>
      </w:r>
    </w:p>
    <w:p>
      <w:pPr>
        <w:pStyle w:val="Heading2"/>
        <w:spacing w:before="280" w:after="140"/>
      </w:pPr>
      <w:r>
        <w:rPr>
          <w:rFonts w:ascii="Arial" w:cs="Arial" w:eastAsia="Arial" w:hAnsi="Arial"/>
          <w:b/>
          <w:bCs/>
          <w:color w:val="2E5099"/>
          <w:sz w:val="26"/>
          <w:szCs w:val="26"/>
        </w:rPr>
        <w:t xml:space="preserve">15.2 Exchange &amp; Liquidity</w:t>
      </w:r>
    </w:p>
    <w:p>
      <w:pPr>
        <w:pStyle w:val="ListParagraph"/>
        <w:numPr>
          <w:ilvl w:val="0"/>
          <w:numId w:val="2"/>
        </w:numPr>
        <w:spacing w:before="60" w:after="60"/>
      </w:pPr>
      <w:r>
        <w:rPr>
          <w:rFonts w:ascii="Arial" w:cs="Arial" w:eastAsia="Arial" w:hAnsi="Arial"/>
          <w:color w:val="1A1A1A"/>
          <w:sz w:val="22"/>
          <w:szCs w:val="22"/>
        </w:rPr>
        <w:t xml:space="preserve">1inch — https://1inch.io — Decentralized exchange aggregator. Powers the chronx.io/exchange interface. Aggregates liquidity across hundreds of DEXes. Supports market orders and limit orders. Includes Fusion+ MEV protection. Embedded via the 1inch widget API. No account or KYC required for standard trade amounts.</w:t>
      </w:r>
    </w:p>
    <w:p>
      <w:pPr>
        <w:pStyle w:val="ListParagraph"/>
        <w:numPr>
          <w:ilvl w:val="0"/>
          <w:numId w:val="2"/>
        </w:numPr>
        <w:spacing w:before="60" w:after="60"/>
      </w:pPr>
      <w:r>
        <w:rPr>
          <w:rFonts w:ascii="Arial" w:cs="Arial" w:eastAsia="Arial" w:hAnsi="Arial"/>
          <w:color w:val="1A1A1A"/>
          <w:sz w:val="22"/>
          <w:szCs w:val="22"/>
        </w:rPr>
        <w:t xml:space="preserve">Wrapped KX (wKX) — ERC-20 token on Base. 1:1 backed by native KX held in the ChronX public sale wallet. Mint/burn controlled by the founding team during Phase 5. Users interact with the exchange interface without ever seeing the word ‘wrapped’.</w:t>
      </w:r>
    </w:p>
    <w:p>
      <w:pPr>
        <w:pStyle w:val="Heading2"/>
        <w:spacing w:before="280" w:after="140"/>
      </w:pPr>
      <w:r>
        <w:rPr>
          <w:rFonts w:ascii="Arial" w:cs="Arial" w:eastAsia="Arial" w:hAnsi="Arial"/>
          <w:b/>
          <w:bCs/>
          <w:color w:val="2E5099"/>
          <w:sz w:val="26"/>
          <w:szCs w:val="26"/>
        </w:rPr>
        <w:t xml:space="preserve">15.3 Website &amp; Hosting</w:t>
      </w:r>
    </w:p>
    <w:p>
      <w:pPr>
        <w:pStyle w:val="ListParagraph"/>
        <w:numPr>
          <w:ilvl w:val="0"/>
          <w:numId w:val="2"/>
        </w:numPr>
        <w:spacing w:before="60" w:after="60"/>
      </w:pPr>
      <w:r>
        <w:rPr>
          <w:rFonts w:ascii="Arial" w:cs="Arial" w:eastAsia="Arial" w:hAnsi="Arial"/>
          <w:color w:val="1A1A1A"/>
          <w:sz w:val="22"/>
          <w:szCs w:val="22"/>
        </w:rPr>
        <w:t xml:space="preserve">Hostinger — https://hostinger.com — Website hosting for chronx.io. Business plan. Server IP: 82.29.199.47. FTP username: u507945893. Files served from /public_html/.</w:t>
      </w:r>
    </w:p>
    <w:p>
      <w:pPr>
        <w:pStyle w:val="ListParagraph"/>
        <w:numPr>
          <w:ilvl w:val="0"/>
          <w:numId w:val="2"/>
        </w:numPr>
        <w:spacing w:before="60" w:after="60"/>
      </w:pPr>
      <w:r>
        <w:rPr>
          <w:rFonts w:ascii="Arial" w:cs="Arial" w:eastAsia="Arial" w:hAnsi="Arial"/>
          <w:color w:val="1A1A1A"/>
          <w:sz w:val="22"/>
          <w:szCs w:val="22"/>
        </w:rPr>
        <w:t xml:space="preserve">nginx — Reverse proxy on Vultr server. Routes https://rpc.chronx.io to the ChronX node at localhost:8545. Handles SSL termination and CORS headers.</w:t>
      </w:r>
    </w:p>
    <w:p>
      <w:pPr>
        <w:pStyle w:val="ListParagraph"/>
        <w:numPr>
          <w:ilvl w:val="0"/>
          <w:numId w:val="2"/>
        </w:numPr>
        <w:spacing w:before="60" w:after="60"/>
      </w:pPr>
      <w:r>
        <w:rPr>
          <w:rFonts w:ascii="Arial" w:cs="Arial" w:eastAsia="Arial" w:hAnsi="Arial"/>
          <w:color w:val="1A1A1A"/>
          <w:sz w:val="22"/>
          <w:szCs w:val="22"/>
        </w:rPr>
        <w:t xml:space="preserve">Let’s Encrypt — https://letsencrypt.org — Free SSL certificates for rpc.chronx.io. Auto-renews via certbot.</w:t>
      </w:r>
    </w:p>
    <w:p>
      <w:pPr>
        <w:pStyle w:val="Heading2"/>
        <w:spacing w:before="280" w:after="140"/>
      </w:pPr>
      <w:r>
        <w:rPr>
          <w:rFonts w:ascii="Arial" w:cs="Arial" w:eastAsia="Arial" w:hAnsi="Arial"/>
          <w:b/>
          <w:bCs/>
          <w:color w:val="2E5099"/>
          <w:sz w:val="26"/>
          <w:szCs w:val="26"/>
        </w:rPr>
        <w:t xml:space="preserve">15.4 Wallet Infrastructure</w:t>
      </w:r>
    </w:p>
    <w:p>
      <w:pPr>
        <w:pStyle w:val="ListParagraph"/>
        <w:numPr>
          <w:ilvl w:val="0"/>
          <w:numId w:val="2"/>
        </w:numPr>
        <w:spacing w:before="60" w:after="60"/>
      </w:pPr>
      <w:r>
        <w:rPr>
          <w:rFonts w:ascii="Arial" w:cs="Arial" w:eastAsia="Arial" w:hAnsi="Arial"/>
          <w:color w:val="1A1A1A"/>
          <w:sz w:val="22"/>
          <w:szCs w:val="22"/>
        </w:rPr>
        <w:t xml:space="preserve">Tauri — https://tauri.app — Cross-platform desktop wallet framework. Rust backend + WebAssembly frontend (Yew). Used for the ChronX Windows and Android wallet application.</w:t>
      </w:r>
    </w:p>
    <w:p>
      <w:pPr>
        <w:pStyle w:val="ListParagraph"/>
        <w:numPr>
          <w:ilvl w:val="0"/>
          <w:numId w:val="2"/>
        </w:numPr>
        <w:spacing w:before="60" w:after="60"/>
      </w:pPr>
      <w:r>
        <w:rPr>
          <w:rFonts w:ascii="Arial" w:cs="Arial" w:eastAsia="Arial" w:hAnsi="Arial"/>
          <w:color w:val="1A1A1A"/>
          <w:sz w:val="22"/>
          <w:szCs w:val="22"/>
        </w:rPr>
        <w:t xml:space="preserve">CRYSTALS-Dilithium2 — NIST Post-Quantum Standard. All ChronX accounts use Dilithium2 keypairs. Public keys: 1,312 bytes. Signatures: 2,420 bytes. Account IDs are BLAKE3 hashes of public keys displayed as base58.</w:t>
      </w:r>
    </w:p>
    <w:p>
      <w:pPr>
        <w:pStyle w:val="Heading2"/>
        <w:spacing w:before="280" w:after="140"/>
      </w:pPr>
      <w:r>
        <w:rPr>
          <w:rFonts w:ascii="Arial" w:cs="Arial" w:eastAsia="Arial" w:hAnsi="Arial"/>
          <w:b/>
          <w:bCs/>
          <w:color w:val="2E5099"/>
          <w:sz w:val="26"/>
          <w:szCs w:val="26"/>
        </w:rPr>
        <w:t xml:space="preserve">15.5 Wallet Compatibility (Exchange Interface)</w:t>
      </w:r>
    </w:p>
    <w:p>
      <w:pPr>
        <w:pStyle w:val="ListParagraph"/>
        <w:numPr>
          <w:ilvl w:val="0"/>
          <w:numId w:val="2"/>
        </w:numPr>
        <w:spacing w:before="60" w:after="60"/>
      </w:pPr>
      <w:r>
        <w:rPr>
          <w:rFonts w:ascii="Arial" w:cs="Arial" w:eastAsia="Arial" w:hAnsi="Arial"/>
          <w:color w:val="1A1A1A"/>
          <w:sz w:val="22"/>
          <w:szCs w:val="22"/>
        </w:rPr>
        <w:t xml:space="preserve">MetaMask — https://metamask.io — Most widely used EVM wallet. Supported via direct injection.</w:t>
      </w:r>
    </w:p>
    <w:p>
      <w:pPr>
        <w:pStyle w:val="ListParagraph"/>
        <w:numPr>
          <w:ilvl w:val="0"/>
          <w:numId w:val="2"/>
        </w:numPr>
        <w:spacing w:before="60" w:after="60"/>
      </w:pPr>
      <w:r>
        <w:rPr>
          <w:rFonts w:ascii="Arial" w:cs="Arial" w:eastAsia="Arial" w:hAnsi="Arial"/>
          <w:color w:val="1A1A1A"/>
          <w:sz w:val="22"/>
          <w:szCs w:val="22"/>
        </w:rPr>
        <w:t xml:space="preserve">Coinbase Wallet — https://wallet.coinbase.com — Native Base support. Recommended for Base chain interactions.</w:t>
      </w:r>
    </w:p>
    <w:p>
      <w:pPr>
        <w:pStyle w:val="ListParagraph"/>
        <w:numPr>
          <w:ilvl w:val="0"/>
          <w:numId w:val="2"/>
        </w:numPr>
        <w:spacing w:before="60" w:after="60"/>
      </w:pPr>
      <w:r>
        <w:rPr>
          <w:rFonts w:ascii="Arial" w:cs="Arial" w:eastAsia="Arial" w:hAnsi="Arial"/>
          <w:color w:val="1A1A1A"/>
          <w:sz w:val="22"/>
          <w:szCs w:val="22"/>
        </w:rPr>
        <w:t xml:space="preserve">Trust Wallet — https://trustwallet.com — Popular mobile wallet. Full EVM support.</w:t>
      </w:r>
    </w:p>
    <w:p>
      <w:pPr>
        <w:pStyle w:val="ListParagraph"/>
        <w:numPr>
          <w:ilvl w:val="0"/>
          <w:numId w:val="2"/>
        </w:numPr>
        <w:spacing w:before="60" w:after="60"/>
      </w:pPr>
      <w:r>
        <w:rPr>
          <w:rFonts w:ascii="Arial" w:cs="Arial" w:eastAsia="Arial" w:hAnsi="Arial"/>
          <w:color w:val="1A1A1A"/>
          <w:sz w:val="22"/>
          <w:szCs w:val="22"/>
        </w:rPr>
        <w:t xml:space="preserve">Binance Web3 Wallet — Built into the Binance app. EVM compatible.</w:t>
      </w:r>
    </w:p>
    <w:p>
      <w:pPr>
        <w:pStyle w:val="ListParagraph"/>
        <w:numPr>
          <w:ilvl w:val="0"/>
          <w:numId w:val="2"/>
        </w:numPr>
        <w:spacing w:before="60" w:after="60"/>
      </w:pPr>
      <w:r>
        <w:rPr>
          <w:rFonts w:ascii="Arial" w:cs="Arial" w:eastAsia="Arial" w:hAnsi="Arial"/>
          <w:color w:val="1A1A1A"/>
          <w:sz w:val="22"/>
          <w:szCs w:val="22"/>
        </w:rPr>
        <w:t xml:space="preserve">Rainbow — https://rainbow.me — Popular with younger demographic.</w:t>
      </w:r>
    </w:p>
    <w:p>
      <w:pPr>
        <w:pStyle w:val="ListParagraph"/>
        <w:numPr>
          <w:ilvl w:val="0"/>
          <w:numId w:val="2"/>
        </w:numPr>
        <w:spacing w:before="60" w:after="60"/>
      </w:pPr>
      <w:r>
        <w:rPr>
          <w:rFonts w:ascii="Arial" w:cs="Arial" w:eastAsia="Arial" w:hAnsi="Arial"/>
          <w:color w:val="1A1A1A"/>
          <w:sz w:val="22"/>
          <w:szCs w:val="22"/>
        </w:rPr>
        <w:t xml:space="preserve">Phantom — https://phantom.app — Expanding to EVM chains including Base.</w:t>
      </w:r>
    </w:p>
    <w:p>
      <w:pPr>
        <w:pStyle w:val="ListParagraph"/>
        <w:numPr>
          <w:ilvl w:val="0"/>
          <w:numId w:val="2"/>
        </w:numPr>
        <w:spacing w:before="60" w:after="60"/>
      </w:pPr>
      <w:r>
        <w:rPr>
          <w:rFonts w:ascii="Arial" w:cs="Arial" w:eastAsia="Arial" w:hAnsi="Arial"/>
          <w:color w:val="1A1A1A"/>
          <w:sz w:val="22"/>
          <w:szCs w:val="22"/>
        </w:rPr>
        <w:t xml:space="preserve">WalletConnect — https://walletconnect.com — Open protocol connecting 300+ wallets via QR code. Single integration supports the entire WalletConnect ecosystem.</w:t>
      </w:r>
    </w:p>
    <w:p>
      <w:pPr>
        <w:pStyle w:val="Heading2"/>
        <w:spacing w:before="280" w:after="140"/>
      </w:pPr>
      <w:r>
        <w:rPr>
          <w:rFonts w:ascii="Arial" w:cs="Arial" w:eastAsia="Arial" w:hAnsi="Arial"/>
          <w:b/>
          <w:bCs/>
          <w:color w:val="2E5099"/>
          <w:sz w:val="26"/>
          <w:szCs w:val="26"/>
        </w:rPr>
        <w:t xml:space="preserve">15.6 Source Code &amp; Documentation</w:t>
      </w:r>
    </w:p>
    <w:p>
      <w:pPr>
        <w:pStyle w:val="ListParagraph"/>
        <w:numPr>
          <w:ilvl w:val="0"/>
          <w:numId w:val="2"/>
        </w:numPr>
        <w:spacing w:before="60" w:after="60"/>
      </w:pPr>
      <w:r>
        <w:rPr>
          <w:rFonts w:ascii="Arial" w:cs="Arial" w:eastAsia="Arial" w:hAnsi="Arial"/>
          <w:color w:val="1A1A1A"/>
          <w:sz w:val="22"/>
          <w:szCs w:val="22"/>
        </w:rPr>
        <w:t xml:space="preserve">Main protocol repo — https://github.com/Counselco/chronx — ChronX node, core library, and state engine. Language: Rust.</w:t>
      </w:r>
    </w:p>
    <w:p>
      <w:pPr>
        <w:pStyle w:val="ListParagraph"/>
        <w:numPr>
          <w:ilvl w:val="0"/>
          <w:numId w:val="2"/>
        </w:numPr>
        <w:spacing w:before="60" w:after="60"/>
      </w:pPr>
      <w:r>
        <w:rPr>
          <w:rFonts w:ascii="Arial" w:cs="Arial" w:eastAsia="Arial" w:hAnsi="Arial"/>
          <w:color w:val="1A1A1A"/>
          <w:sz w:val="22"/>
          <w:szCs w:val="22"/>
        </w:rPr>
        <w:t xml:space="preserve">Wallet repo — https://github.com/Counselco/wallet-gui — ChronX desktop and Android wallet. Language: Rust (Tauri + Yew).</w:t>
      </w:r>
    </w:p>
    <w:p>
      <w:pPr>
        <w:pStyle w:val="ListParagraph"/>
        <w:numPr>
          <w:ilvl w:val="0"/>
          <w:numId w:val="2"/>
        </w:numPr>
        <w:spacing w:before="60" w:after="60"/>
      </w:pPr>
      <w:r>
        <w:rPr>
          <w:rFonts w:ascii="Arial" w:cs="Arial" w:eastAsia="Arial" w:hAnsi="Arial"/>
          <w:color w:val="1A1A1A"/>
          <w:sz w:val="22"/>
          <w:szCs w:val="22"/>
        </w:rPr>
        <w:t xml:space="preserve">Documentation repo — https://github.com/Counselco/chronx-docs — Whitepaper, technical references, and protocol documentation.</w:t>
      </w:r>
    </w:p>
    <w:p>
      <w:pPr>
        <w:pStyle w:val="Heading2"/>
        <w:spacing w:before="280" w:after="140"/>
      </w:pPr>
      <w:r>
        <w:rPr>
          <w:rFonts w:ascii="Arial" w:cs="Arial" w:eastAsia="Arial" w:hAnsi="Arial"/>
          <w:b/>
          <w:bCs/>
          <w:color w:val="2E5099"/>
          <w:sz w:val="26"/>
          <w:szCs w:val="26"/>
        </w:rPr>
        <w:t xml:space="preserve">15.7 Communication</w:t>
      </w:r>
    </w:p>
    <w:p>
      <w:pPr>
        <w:pStyle w:val="ListParagraph"/>
        <w:numPr>
          <w:ilvl w:val="0"/>
          <w:numId w:val="2"/>
        </w:numPr>
        <w:spacing w:before="60" w:after="60"/>
      </w:pPr>
      <w:r>
        <w:rPr>
          <w:rFonts w:ascii="Arial" w:cs="Arial" w:eastAsia="Arial" w:hAnsi="Arial"/>
          <w:color w:val="1A1A1A"/>
          <w:sz w:val="22"/>
          <w:szCs w:val="22"/>
        </w:rPr>
        <w:t xml:space="preserve">General enquiries — contact@chronx.io</w:t>
      </w:r>
    </w:p>
    <w:p>
      <w:pPr>
        <w:pStyle w:val="ListParagraph"/>
        <w:numPr>
          <w:ilvl w:val="0"/>
          <w:numId w:val="2"/>
        </w:numPr>
        <w:spacing w:before="60" w:after="60"/>
      </w:pPr>
      <w:r>
        <w:rPr>
          <w:rFonts w:ascii="Arial" w:cs="Arial" w:eastAsia="Arial" w:hAnsi="Arial"/>
          <w:color w:val="1A1A1A"/>
          <w:sz w:val="22"/>
          <w:szCs w:val="22"/>
        </w:rPr>
        <w:t xml:space="preserve">Security reports — security@chronx.io</w:t>
      </w:r>
    </w:p>
    <w:p>
      <w:pPr>
        <w:pStyle w:val="ListParagraph"/>
        <w:numPr>
          <w:ilvl w:val="0"/>
          <w:numId w:val="2"/>
        </w:numPr>
        <w:spacing w:before="60" w:after="60"/>
      </w:pPr>
      <w:r>
        <w:rPr>
          <w:rFonts w:ascii="Arial" w:cs="Arial" w:eastAsia="Arial" w:hAnsi="Arial"/>
          <w:color w:val="1A1A1A"/>
          <w:sz w:val="22"/>
          <w:szCs w:val="22"/>
        </w:rPr>
        <w:t xml:space="preserve">Team &amp; careers — team@chronx.io</w:t>
      </w:r>
    </w:p>
    <w:p>
      <w:pPr>
        <w:pStyle w:val="ListParagraph"/>
        <w:numPr>
          <w:ilvl w:val="0"/>
          <w:numId w:val="2"/>
        </w:numPr>
        <w:spacing w:before="60" w:after="60"/>
      </w:pPr>
      <w:r>
        <w:rPr>
          <w:rFonts w:ascii="Arial" w:cs="Arial" w:eastAsia="Arial" w:hAnsi="Arial"/>
          <w:color w:val="1A1A1A"/>
          <w:sz w:val="22"/>
          <w:szCs w:val="22"/>
        </w:rPr>
        <w:t xml:space="preserve">Bug reports — Via in-wallet bug report button or security@chronx.io. Bug reporters may receive KX rewards.</w:t>
      </w:r>
    </w:p>
    <w:p>
      <w:pPr>
        <w:spacing w:before="160" w:after="0"/>
      </w:pPr>
      <w:r>
        <w:t xml:space="preserve"/>
      </w:r>
    </w:p>
    <w:p>
      <w:pPr>
        <w:pStyle w:val="Heading2"/>
        <w:spacing w:before="280" w:after="140"/>
      </w:pPr>
      <w:r>
        <w:rPr>
          <w:rFonts w:ascii="Arial" w:cs="Arial" w:eastAsia="Arial" w:hAnsi="Arial"/>
          <w:b/>
          <w:bCs/>
          <w:color w:val="2E5099"/>
          <w:sz w:val="26"/>
          <w:szCs w:val="26"/>
        </w:rPr>
        <w:t xml:space="preserve">15.8 Price Tracking &amp; Market Data</w:t>
      </w:r>
    </w:p>
    <w:p>
      <w:pPr>
        <w:pStyle w:val="ListParagraph"/>
        <w:numPr>
          <w:ilvl w:val="0"/>
          <w:numId w:val="2"/>
        </w:numPr>
        <w:spacing w:before="60" w:after="60"/>
      </w:pPr>
      <w:r>
        <w:rPr>
          <w:rFonts w:ascii="Arial" w:cs="Arial" w:eastAsia="Arial" w:hAnsi="Arial"/>
          <w:color w:val="1A1A1A"/>
          <w:sz w:val="22"/>
          <w:szCs w:val="22"/>
        </w:rPr>
        <w:t xml:space="preserve">CoinMarketCap — https://coinmarketcap.com — Primary price tracking and market data platform. Listing application submitted at launch of wKX on Base. CMC pulls live price, volume, market cap, circulating supply, and chart data directly from the 1inch/Base liquidity pool. Application URL: coinmarketcap.com/application-form/listing/. Approval typically 2–8 weeks. The ‘View KX on CoinMarketCap’ button in the ChronX wallet links to the KX listing page once approved.</w:t>
      </w:r>
    </w:p>
    <w:p>
      <w:pPr>
        <w:pStyle w:val="ListParagraph"/>
        <w:numPr>
          <w:ilvl w:val="0"/>
          <w:numId w:val="2"/>
        </w:numPr>
        <w:spacing w:before="60" w:after="60"/>
      </w:pPr>
      <w:r>
        <w:rPr>
          <w:rFonts w:ascii="Arial" w:cs="Arial" w:eastAsia="Arial" w:hAnsi="Arial"/>
          <w:color w:val="1A1A1A"/>
          <w:sz w:val="22"/>
          <w:szCs w:val="22"/>
        </w:rPr>
        <w:t xml:space="preserve">CoinGecko — https://coingecko.com — Secondary price tracking platform. Applied simultaneously with CoinMarketCap. Typically faster approval. Application URL: coingecko.com/en/coins/new. Many traders use CoinGecko as their primary reference — dual listing maximizes visibility.</w:t>
      </w:r>
    </w:p>
    <w:p>
      <w:pPr>
        <w:pStyle w:val="ListParagraph"/>
        <w:numPr>
          <w:ilvl w:val="0"/>
          <w:numId w:val="2"/>
        </w:numPr>
        <w:spacing w:before="60" w:after="60"/>
      </w:pPr>
      <w:r>
        <w:rPr>
          <w:rFonts w:ascii="Arial" w:cs="Arial" w:eastAsia="Arial" w:hAnsi="Arial"/>
          <w:color w:val="1A1A1A"/>
          <w:sz w:val="22"/>
          <w:szCs w:val="22"/>
        </w:rPr>
        <w:t xml:space="preserve">Listing requirements — both platforms require: minimum $10,000 liquidity in the trading pool, some trading volume, working website, whitepaper, GitHub repository, and contact information. ChronX meets all requirements from day one of the exchange launch.</w:t>
      </w:r>
    </w:p>
    <w:p>
      <w:pPr>
        <w:spacing w:before="160" w:after="0"/>
      </w:pPr>
      <w:r>
        <w:t xml:space="preserve"/>
      </w:r>
    </w:p>
    <w:p>
      <w:pPr>
        <w:pStyle w:val="Heading1"/>
        <w:spacing w:before="400" w:after="200"/>
      </w:pPr>
      <w:r>
        <w:rPr>
          <w:rFonts w:ascii="Arial" w:cs="Arial" w:eastAsia="Arial" w:hAnsi="Arial"/>
          <w:b/>
          <w:bCs/>
          <w:color w:val="1B2A4A"/>
          <w:sz w:val="32"/>
          <w:szCs w:val="32"/>
        </w:rPr>
        <w:t xml:space="preserve">Disclaimer</w:t>
      </w:r>
    </w:p>
    <w:p>
      <w:pPr>
        <w:spacing w:before="80" w:after="120"/>
        <w:jc w:val="both"/>
      </w:pPr>
      <w:r>
        <w:rPr>
          <w:rFonts w:ascii="Arial" w:cs="Arial" w:eastAsia="Arial" w:hAnsi="Arial"/>
          <w:color w:val="1A1A1A"/>
          <w:sz w:val="22"/>
          <w:szCs w:val="22"/>
        </w:rPr>
        <w:t xml:space="preserve">This whitepaper is provided for informational purposes only. Nothing in this document constitutes financial advice, investment advice, or a solicitation to purchase any token or security. KX is a utility token designed for use within the ChronX protocol. Past performance of any cryptocurrency is not indicative of future results.</w:t>
      </w:r>
    </w:p>
    <w:p>
      <w:pPr>
        <w:spacing w:before="80" w:after="120"/>
        <w:jc w:val="both"/>
      </w:pPr>
      <w:r>
        <w:rPr>
          <w:rFonts w:ascii="Arial" w:cs="Arial" w:eastAsia="Arial" w:hAnsi="Arial"/>
          <w:color w:val="1A1A1A"/>
          <w:sz w:val="22"/>
          <w:szCs w:val="22"/>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before="80" w:after="120"/>
        <w:jc w:val="both"/>
      </w:pPr>
      <w:r>
        <w:rPr>
          <w:rFonts w:ascii="Arial" w:cs="Arial" w:eastAsia="Arial" w:hAnsi="Arial"/>
          <w:color w:val="1A1A1A"/>
          <w:sz w:val="22"/>
          <w:szCs w:val="22"/>
        </w:rPr>
        <w:t xml:space="preserve">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pPr>
        <w:spacing w:before="280" w:after="0"/>
      </w:pPr>
      <w:r>
        <w:t xml:space="preserve"/>
      </w:r>
    </w:p>
    <w:p>
      <w:pPr>
        <w:spacing w:before="120" w:after="80"/>
        <w:jc w:val="center"/>
      </w:pPr>
      <w:r>
        <w:drawing>
          <wp:inline distT="0" distB="0" distL="0" distR="0">
            <wp:extent cx="1333500" cy="219075"/>
            <wp:effectExtent t="0" r="0" b="0" l="0"/>
            <wp:docPr id="1"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219075"/>
                    </a:xfrm>
                    <a:prstGeom prst="rect">
                      <a:avLst/>
                    </a:prstGeom>
                  </pic:spPr>
                </pic:pic>
              </a:graphicData>
            </a:graphic>
          </wp:inline>
        </w:drawing>
      </w:r>
    </w:p>
    <w:p>
      <w:pPr>
        <w:jc w:val="center"/>
      </w:pPr>
      <w:r>
        <w:rPr>
          <w:rFonts w:ascii="Arial" w:cs="Arial" w:eastAsia="Arial" w:hAnsi="Arial"/>
          <w:i/>
          <w:iCs/>
          <w:color w:val="2E5099"/>
          <w:sz w:val="20"/>
          <w:szCs w:val="20"/>
        </w:rPr>
        <w:t xml:space="preserve">ChronX — Financial commitment, built into the blockchain.</w:t>
      </w:r>
    </w:p>
    <w:p>
      <w:pPr>
        <w:spacing w:before="80"/>
        <w:jc w:val="center"/>
      </w:pPr>
      <w:r>
        <w:rPr>
          <w:rFonts w:ascii="Arial" w:cs="Arial" w:eastAsia="Arial" w:hAnsi="Arial"/>
          <w:color w:val="2E5099"/>
          <w:sz w:val="18"/>
          <w:szCs w:val="18"/>
        </w:rPr>
        <w:t>chronx.io  •  github.com/Counselco/chronx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9" w:sz="6" w:space="1"/>
      </w:pBdr>
      <w:tabs>
        <w:tab w:val="right" w:pos="9026"/>
      </w:tabs>
    </w:pPr>
    <w:r>
      <w:rPr>
        <w:rFonts w:ascii="Arial" w:cs="Arial" w:eastAsia="Arial" w:hAnsi="Arial"/>
        <w:color w:val="2E5099"/>
        <w:sz w:val="16"/>
        <w:szCs w:val="16"/>
      </w:rPr>
      <w:t xml:space="preserve">chronx.io  •  github.com/Counselco/chronx</w:t>
    </w:r>
    <w:r>
      <w:rPr>
        <w:rFonts w:ascii="Arial" w:cs="Arial" w:eastAsia="Arial" w:hAnsi="Arial"/>
        <w:sz w:val="16"/>
        <w:szCs w:val="16"/>
      </w:rPr>
      <w:t xml:space="preserve">	</w:t>
    </w:r>
    <w:r>
      <w:rPr>
        <w:rFonts w:ascii="Arial" w:cs="Arial" w:eastAsia="Arial" w:hAnsi="Arial"/>
        <w:color w:val="2E5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9" w:sz="6" w:space="1"/>
      </w:pBdr>
      <w:tabs>
        <w:tab w:val="right" w:pos="9026"/>
      </w:tabs>
    </w:pPr>
    <w:r>
      <w:rPr>
        <w:rFonts w:ascii="Arial" w:cs="Arial" w:eastAsia="Arial" w:hAnsi="Arial"/>
        <w:b/>
        <w:bCs/>
        <w:color w:val="1B2A4A"/>
        <w:sz w:val="18"/>
        <w:szCs w:val="18"/>
      </w:rPr>
      <w:t xml:space="preserve">ChronX</w:t>
    </w:r>
    <w:r>
      <w:rPr>
        <w:rFonts w:ascii="Arial" w:cs="Arial" w:eastAsia="Arial" w:hAnsi="Arial"/>
        <w:color w:val="2E5099"/>
        <w:sz w:val="18"/>
        <w:szCs w:val="18"/>
      </w:rPr>
      <w:t xml:space="preserve">  —  The Future Payment Protocol</w:t>
    </w:r>
    <w:r>
      <w:rPr>
        <w:rFonts w:ascii="Arial" w:cs="Arial" w:eastAsia="Arial" w:hAnsi="Arial"/>
        <w:sz w:val="18"/>
        <w:szCs w:val="18"/>
      </w:rPr>
      <w:t xml:space="preserve">	</w:t>
    </w:r>
    <w:r>
      <w:rPr>
        <w:rFonts w:ascii="Arial" w:cs="Arial" w:eastAsia="Arial" w:hAnsi="Arial"/>
        <w:i/>
        <w:iCs/>
        <w:color w:val="2E5099"/>
        <w:sz w:val="18"/>
        <w:szCs w:val="18"/>
      </w:rPr>
      <w:t xml:space="preserve">Whitepaper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09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c88389e05d5f858a0dc5ba3aba47a65fc520f51.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2026-03-02T14:24:47.843Z</dcterms:created>
  <dcterms:modified xsi:type="dcterms:W3CDTF">2026-03-02T14:24:47.875Z</dcterms:modified>
</cp:coreProperties>
</file>

<file path=docProps/custom.xml><?xml version="1.0" encoding="utf-8"?>
<Properties xmlns="http://schemas.openxmlformats.org/officeDocument/2006/custom-properties" xmlns:vt="http://schemas.openxmlformats.org/officeDocument/2006/docPropsVTypes"/>
</file>