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100" w:after="100"/>
      </w:pPr>
    </w:p>
    <w:p>
      <w:pPr>
        <w:spacing w:before="100" w:after="100"/>
        <w:jc w:val="both"/>
      </w:pPr>
      <w:r>
        <w:rPr>
          <w:rFonts w:ascii="Arial" w:cs="Arial" w:eastAsia="Arial" w:hAnsi="Arial"/>
          <w:sz w:val="22"/>
          <w:szCs w:val="22"/>
        </w:rPr>
        <w:t xml:space="preserve">By default, every time-locked promise on ChronX participates in the HedgeKX yield system — earning real yield for the recipient from real economic activity, with no additional risk and no cost to the grantor. This is not a feature added on top of a promise. It is simply what a promise on ChronX does.</w:t>
      </w:r>
    </w:p>
    <w:p>
      <w:pPr>
        <w:spacing w:before="100" w:after="100"/>
      </w:pPr>
    </w:p>
    <w:p>
      <w:pPr>
        <w:spacing w:before="100" w:after="100"/>
        <w:jc w:val="both"/>
      </w:pPr>
      <w:r>
        <w:rPr>
          <w:rFonts w:ascii="Arial" w:cs="Arial" w:eastAsia="Arial" w:hAnsi="Arial"/>
          <w:sz w:val="22"/>
          <w:szCs w:val="22"/>
        </w:rP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Verifas resolution system and the Humanity Stake provide a defined path that ensures funds are never lost, even when delivery to the specific intended recipient is not possible after an extended period. See Section 4.2 for the complete Verifas system.</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a founding node network. The protocol is designed for permissionless node participation — any operator can run a node using the open-source binary. Node operator rewards begin January 1, 2029 via the harmonic release schedule, providing a long-term economic incentive for network growth. The founding network will expand organically as the ecosystem develops toward meaningful decentralization. Every transaction is validated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2"/>
        <w:spacing w:before="320" w:after="160"/>
      </w:pPr>
      <w:r>
        <w:rPr>
          <w:rFonts w:ascii="Arial" w:cs="Arial" w:eastAsia="Arial" w:hAnsi="Arial"/>
          <w:b/>
          <w:bCs/>
          <w:color w:val="1F4E79"/>
          <w:sz w:val="28"/>
          <w:szCs w:val="28"/>
        </w:rPr>
        <w:t xml:space="preserve">Why KX? The Answer to the Obvious Question</w:t>
      </w:r>
    </w:p>
    <w:p>
      <w:pPr>
        <w:spacing w:before="100" w:after="100"/>
      </w:pPr>
    </w:p>
    <w:p>
      <w:pPr>
        <w:spacing w:before="100" w:after="100"/>
        <w:jc w:val="both"/>
      </w:pPr>
      <w:r>
        <w:rPr>
          <w:rFonts w:ascii="Arial" w:cs="Arial" w:eastAsia="Arial" w:hAnsi="Arial"/>
          <w:sz w:val="22"/>
          <w:szCs w:val="22"/>
        </w:rPr>
        <w:t xml:space="preserve">A natural question arises for participants who earn and spend in USD: if my obligation is in USD and I get paid in USD, why use KX at all — and why accept the added complexity of hedging?</w:t>
      </w:r>
    </w:p>
    <w:p>
      <w:pPr>
        <w:spacing w:before="100" w:after="100"/>
      </w:pPr>
    </w:p>
    <w:p>
      <w:pPr>
        <w:spacing w:before="100" w:after="100"/>
        <w:jc w:val="both"/>
      </w:pPr>
      <w:r>
        <w:rPr>
          <w:rFonts w:ascii="Arial" w:cs="Arial" w:eastAsia="Arial" w:hAnsi="Arial"/>
          <w:sz w:val="22"/>
          <w:szCs w:val="22"/>
        </w:rPr>
        <w:t xml:space="preserve">The answer is four things USD cannot do.</w:t>
      </w:r>
    </w:p>
    <w:p>
      <w:pPr>
        <w:spacing w:before="100" w:after="100"/>
      </w:pPr>
    </w:p>
    <w:p>
      <w:pPr>
        <w:spacing w:before="100" w:after="100"/>
        <w:jc w:val="both"/>
      </w:pPr>
      <w:r>
        <w:rPr>
          <w:rFonts w:ascii="Arial" w:cs="Arial" w:eastAsia="Arial" w:hAnsi="Arial"/>
          <w:sz w:val="22"/>
          <w:szCs w:val="22"/>
        </w:rPr>
        <w:t xml:space="preserve">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pPr>
        <w:spacing w:before="100" w:after="100"/>
      </w:pPr>
    </w:p>
    <w:p>
      <w:pPr>
        <w:spacing w:before="100" w:after="100"/>
        <w:jc w:val="both"/>
      </w:pPr>
      <w:r>
        <w:rPr>
          <w:rFonts w:ascii="Arial" w:cs="Arial" w:eastAsia="Arial" w:hAnsi="Arial"/>
          <w:sz w:val="22"/>
          <w:szCs w:val="22"/>
        </w:rPr>
        <w:t xml:space="preserve">USD cannot be zero-fee forever. Every USD transfer involves fees — bank, processor, wire, ACH, SWIFT, or card network. These compound over 100 years of settlements. KX transactions cost exactly zero, encoded at genesis and immutable forever. For long-horizon instruments this difference is material.</w:t>
      </w:r>
    </w:p>
    <w:p>
      <w:pPr>
        <w:spacing w:before="100" w:after="100"/>
      </w:pPr>
    </w:p>
    <w:p>
      <w:pPr>
        <w:spacing w:before="100" w:after="100"/>
        <w:jc w:val="both"/>
      </w:pPr>
      <w:r>
        <w:rPr>
          <w:rFonts w:ascii="Arial" w:cs="Arial" w:eastAsia="Arial" w:hAnsi="Arial"/>
          <w:sz w:val="22"/>
          <w:szCs w:val="22"/>
        </w:rPr>
        <w:t xml:space="preserve">USD cannot be post-quantum secure. CRYSTALS-Dilithium2 secures every KX wallet and transaction against the cryptographic threats of 2076 and beyond. The banking system’s cryptographic foundations were not designed for a 100-year threat horizon.</w:t>
      </w:r>
    </w:p>
    <w:p>
      <w:pPr>
        <w:spacing w:before="100" w:after="100"/>
      </w:pPr>
    </w:p>
    <w:p>
      <w:pPr>
        <w:spacing w:before="100" w:after="100"/>
        <w:jc w:val="both"/>
      </w:pPr>
      <w:r>
        <w:rPr>
          <w:rFonts w:ascii="Arial" w:cs="Arial" w:eastAsia="Arial" w:hAnsi="Arial"/>
          <w:sz w:val="22"/>
          <w:szCs w:val="22"/>
        </w:rPr>
        <w:t xml:space="preserve">The hedge is not a burden — it is the bridge. The 1% fee for a 30-day friendly loan (approximately 12% annualized) is the price of currency certainty. A bank charges roughly the same for a letter of credit. The difference: a bank keeps the fee. ChronX routes it into yield for savers, operating capital for KXGC, and liquidity for the ecosystem. The fee does the same job and simultaneously builds the infrastructure that makes the entire protocol more valuable.</w:t>
      </w:r>
    </w:p>
    <w:p>
      <w:pPr>
        <w:spacing w:before="100" w:after="100"/>
      </w:pPr>
    </w:p>
    <w:p>
      <w:pPr>
        <w:spacing w:before="100" w:after="100"/>
        <w:jc w:val="both"/>
      </w:pPr>
      <w:r>
        <w:rPr>
          <w:rFonts w:ascii="Arial" w:cs="Arial" w:eastAsia="Arial" w:hAnsi="Arial"/>
          <w:sz w:val="22"/>
          <w:szCs w:val="22"/>
        </w:rPr>
        <w:t xml:space="preserve">KX is not a currency used instead of USD. It is the substrate that makes USD promises mathematically inevitable, permanently free, quantum-secure, and economically productive. You continue to earn, spend, and think in USD. The protocol handles the rest.</w:t>
      </w:r>
    </w:p>
    <w:p>
      <w:pPr>
        <w:spacing w:before="100" w:after="100"/>
      </w:pPr>
    </w:p>
    <w:p>
      <w:pPr>
        <w:spacing w:before="100" w:after="100"/>
      </w:pPr>
    </w:p>
    <w:p>
      <w:pPr>
        <w:spacing w:before="100" w:after="100"/>
        <w:jc w:val="both"/>
      </w:pPr>
      <w:r>
        <w:rPr>
          <w:rFonts w:ascii="Arial" w:cs="Arial" w:eastAsia="Arial" w:hAnsi="Arial"/>
          <w:sz w:val="22"/>
          <w:szCs w:val="22"/>
        </w:rPr>
        <w:t xml:space="preserve">A sophisticated participant will ask the natural follow-on question: why would an existing insurance company, bank, or escrow agent route transactions through KX when they already have USD infrastructure, existing regulatory licenses, and established counterparty relationships?</w:t>
      </w:r>
    </w:p>
    <w:p>
      <w:pPr>
        <w:spacing w:before="100" w:after="100"/>
      </w:pPr>
    </w:p>
    <w:p>
      <w:pPr>
        <w:spacing w:before="100" w:after="100"/>
        <w:jc w:val="both"/>
      </w:pPr>
      <w:r>
        <w:rPr>
          <w:rFonts w:ascii="Arial" w:cs="Arial" w:eastAsia="Arial" w:hAnsi="Arial"/>
          <w:sz w:val="22"/>
          <w:szCs w:val="22"/>
        </w:rPr>
        <w:t xml:space="preserve">The honest answer is: they would not — not as their primary infrastructure, and not yet. ChronX does not ask existing institutions to replace what works. It offers infrastructure for four specific categories where existing systems fail.</w:t>
      </w:r>
    </w:p>
    <w:p>
      <w:pPr>
        <w:spacing w:before="100" w:after="100"/>
      </w:pPr>
    </w:p>
    <w:p>
      <w:pPr>
        <w:spacing w:before="100" w:after="100"/>
        <w:jc w:val="both"/>
      </w:pPr>
      <w:r>
        <w:rPr>
          <w:rFonts w:ascii="Arial" w:cs="Arial" w:eastAsia="Arial" w:hAnsi="Arial"/>
          <w:sz w:val="22"/>
          <w:szCs w:val="22"/>
        </w:rPr>
        <w:t xml:space="preserve">First: the uninsurable and unbankable. Major insurers have exited entire markets — California homeowners with paid-off properties are legally self-insurable but have no carrier willing to write their coverage at any price. A borrower in a jurisdiction with no reliable banking infrastructure cannot access USD credit markets. ChronX requires only a wallet address and an internet connection.</w:t>
      </w:r>
    </w:p>
    <w:p>
      <w:pPr>
        <w:spacing w:before="100" w:after="100"/>
      </w:pPr>
    </w:p>
    <w:p>
      <w:pPr>
        <w:spacing w:before="100" w:after="100"/>
        <w:jc w:val="both"/>
      </w:pPr>
      <w:r>
        <w:rPr>
          <w:rFonts w:ascii="Arial" w:cs="Arial" w:eastAsia="Arial" w:hAnsi="Arial"/>
          <w:sz w:val="22"/>
          <w:szCs w:val="22"/>
        </w:rPr>
        <w:t xml:space="preserve">Second: the excess and surplus lines market. A homeowner whose primary policy covers the first $50,000 of loss can purchase KXGC excess coverage for everything above that threshold — priced to their individual risk profile rather than the pool average. Someone one block from the fire station on non-combustible ground should pay dramatically less than their neighbor with wood shake roofs and no fire clearance. Traditional carriers cannot price individual risk economically at small scale. KXGC can — because the DAG is the underwriting file, CPNX attests the risk characteristics on-chain, and zero processing costs make individual parametric coverage economically viable.</w:t>
      </w:r>
    </w:p>
    <w:p>
      <w:pPr>
        <w:spacing w:before="100" w:after="100"/>
      </w:pPr>
    </w:p>
    <w:p>
      <w:pPr>
        <w:spacing w:before="100" w:after="100"/>
        <w:jc w:val="both"/>
      </w:pPr>
      <w:r>
        <w:rPr>
          <w:rFonts w:ascii="Arial" w:cs="Arial" w:eastAsia="Arial" w:hAnsi="Arial"/>
          <w:sz w:val="22"/>
          <w:szCs w:val="22"/>
        </w:rPr>
        <w:t xml:space="preserve">Third: the micropayment claim. Traditional insurance cannot process a $5 claim — the overhead exceeds the payout. The ChronX DAG processes a 10 KX conditional payment and a 10,000,000 KX conditional payment identically, at zero cost. This opens the entire market of micropayment conditional obligations: 10 KX if a flight is delayed more than two hours. 50 KX if rainfall exceeds a threshold. 100 KX if a package does not arrive. 500 KX if a contractor misses a milestone. None of these are economically viable in traditional insurance. All are trivial on ChronX.</w:t>
      </w:r>
    </w:p>
    <w:p>
      <w:pPr>
        <w:spacing w:before="100" w:after="100"/>
      </w:pPr>
    </w:p>
    <w:p>
      <w:pPr>
        <w:spacing w:before="100" w:after="100"/>
        <w:jc w:val="both"/>
      </w:pPr>
      <w:r>
        <w:rPr>
          <w:rFonts w:ascii="Arial" w:cs="Arial" w:eastAsia="Arial" w:hAnsi="Arial"/>
          <w:sz w:val="22"/>
          <w:szCs w:val="22"/>
        </w:rPr>
        <w:t xml:space="preserve">Fourth: the new instrument. Parametric triggers that execute automatically when an oracle condition is met — without an adjuster, without a claims form, without a 30-day wait. Cross-border conditional payments spanning jurisdictions with incompatible banking systems. Cascade instruments with multiple trigger layers. These instruments require automatic execution that existing infrastructure structurally cannot provide.</w:t>
      </w:r>
    </w:p>
    <w:p>
      <w:pPr>
        <w:spacing w:before="100" w:after="100"/>
      </w:pPr>
    </w:p>
    <w:p>
      <w:pPr>
        <w:spacing w:before="100" w:after="100"/>
        <w:jc w:val="both"/>
      </w:pPr>
      <w:r>
        <w:rPr>
          <w:rFonts w:ascii="Arial" w:cs="Arial" w:eastAsia="Arial" w:hAnsi="Arial"/>
          <w:sz w:val="22"/>
          <w:szCs w:val="22"/>
        </w:rPr>
        <w:t xml:space="preserve">Traditional insurance companies, banks, and escrow agents serve their markets well. ChronX serves the markets they cannot reach — and builds the instruments they cannot create. Springing obligations of any kind — insurance claims, performance bonds, escrow releases, parametric triggers, crop coverage, income protection, trade finance — are all conditional payments. The protocol does not distinguish between them. It enforces them all at zero cost, at any size, automatically.</w:t>
      </w:r>
    </w:p>
    <w:p>
      <w:pPr>
        <w:spacing w:before="100" w:after="100"/>
      </w:pP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pStyle w:val="Heading3"/>
        <w:spacing w:before="240" w:after="120"/>
      </w:pPr>
      <w:r>
        <w:rPr>
          <w:rFonts w:ascii="Arial" w:cs="Arial" w:eastAsia="Arial" w:hAnsi="Arial"/>
          <w:b/>
          <w:bCs/>
          <w:color w:val="1F4E79"/>
          <w:sz w:val="24"/>
          <w:szCs w:val="24"/>
        </w:rPr>
        <w:t xml:space="preserve">Three Natural Currency B Committer Pools</w:t>
      </w:r>
    </w:p>
    <w:p>
      <w:pPr>
        <w:spacing w:before="100" w:after="100"/>
      </w:pPr>
    </w:p>
    <w:p>
      <w:pPr>
        <w:spacing w:before="100" w:after="100"/>
        <w:jc w:val="both"/>
      </w:pPr>
      <w:r>
        <w:rPr>
          <w:rFonts w:ascii="Arial" w:cs="Arial" w:eastAsia="Arial" w:hAnsi="Arial"/>
          <w:sz w:val="22"/>
          <w:szCs w:val="22"/>
        </w:rPr>
        <w:t xml:space="preserve">HedgeKX’s Currency B Committer pool has three natural sources that exist independently of external market speculation, providing organic rational demand from the first day of operation.</w:t>
      </w:r>
    </w:p>
    <w:p>
      <w:pPr>
        <w:spacing w:before="100" w:after="100"/>
      </w:pPr>
    </w:p>
    <w:p>
      <w:pPr>
        <w:spacing w:before="100" w:after="100"/>
        <w:jc w:val="both"/>
      </w:pPr>
      <w:r>
        <w:rPr>
          <w:rFonts w:ascii="Arial" w:cs="Arial" w:eastAsia="Arial" w:hAnsi="Arial"/>
          <w:sz w:val="22"/>
          <w:szCs w:val="22"/>
        </w:rPr>
        <w:t xml:space="preserve">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pPr>
        <w:spacing w:before="100" w:after="100"/>
      </w:pPr>
    </w:p>
    <w:p>
      <w:pPr>
        <w:spacing w:before="100" w:after="100"/>
        <w:jc w:val="both"/>
      </w:pPr>
      <w:r>
        <w:rPr>
          <w:rFonts w:ascii="Arial" w:cs="Arial" w:eastAsia="Arial" w:hAnsi="Arial"/>
          <w:sz w:val="22"/>
          <w:szCs w:val="22"/>
        </w:rPr>
        <w:t xml:space="preserve">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pPr>
        <w:spacing w:before="100" w:after="100"/>
      </w:pPr>
    </w:p>
    <w:p>
      <w:pPr>
        <w:spacing w:before="100" w:after="100"/>
        <w:jc w:val="both"/>
      </w:pPr>
      <w:r>
        <w:rPr>
          <w:rFonts w:ascii="Arial" w:cs="Arial" w:eastAsia="Arial" w:hAnsi="Arial"/>
          <w:sz w:val="22"/>
          <w:szCs w:val="22"/>
        </w:rPr>
        <w:t xml:space="preserve">Pool 3 — External yield-seeking capital. As the ecosystem matures, short-duration collateralized instruments with observable repayment statistics and known yield history attract external capital seeking stable returns. This pool develops over time as Pools 1 and 2 establish the track record that makes rational external participation straightforward.</w:t>
      </w:r>
    </w:p>
    <w:p>
      <w:pPr>
        <w:spacing w:before="100" w:after="100"/>
      </w:pPr>
    </w:p>
    <w:p>
      <w:pPr>
        <w:spacing w:before="100" w:after="100"/>
        <w:jc w:val="both"/>
      </w:pPr>
      <w:r>
        <w:rPr>
          <w:rFonts w:ascii="Arial" w:cs="Arial" w:eastAsia="Arial" w:hAnsi="Arial"/>
          <w:sz w:val="22"/>
          <w:szCs w:val="22"/>
        </w:rPr>
        <w:t xml:space="preserve">These three pools mean HedgeKX has genuine two-sided flow from its first day of operation — not from speculators betting on KX, but from participants providing settlement liquidity for real obligations that must be discharged.</w:t>
      </w:r>
    </w:p>
    <w:p>
      <w:pPr>
        <w:spacing w:before="100" w:after="100"/>
      </w:pP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KXGC’s most immediate addressable market is the excess and surplus lines segment that traditional carriers systematically underserve. A homeowner whose primary policy covers the first $50,000 of loss can purchase KXGC excess coverage for everything above that threshold, priced to their individual risk profile rather than the pool average. The DAG’s immutable property record, CPNX’s on-chain attestation of risk characteristics, and the oracle’s parametric trigger eliminate the information asymmetry and processing costs that make individual excess underwriting uneconomical for traditional carriers.</w:t>
      </w:r>
    </w:p>
    <w:p>
      <w:pPr>
        <w:spacing w:before="100" w:after="100"/>
      </w:pPr>
    </w:p>
    <w:p>
      <w:pPr>
        <w:spacing w:before="100" w:after="100"/>
        <w:jc w:val="both"/>
      </w:pPr>
      <w:r>
        <w:rPr>
          <w:rFonts w:ascii="Arial" w:cs="Arial" w:eastAsia="Arial" w:hAnsi="Arial"/>
          <w:sz w:val="22"/>
          <w:szCs w:val="22"/>
        </w:rPr>
        <w:t xml:space="preserve">The layered coverage architecture is clean:</w:t>
      </w:r>
    </w:p>
    <w:p>
      <w:pPr>
        <w:spacing w:before="100" w:after="100"/>
      </w:pPr>
    </w:p>
    <w:p>
      <w:pPr>
        <w:spacing w:before="100" w:after="100"/>
        <w:jc w:val="both"/>
      </w:pPr>
      <w:r>
        <w:rPr>
          <w:rFonts w:ascii="Arial" w:cs="Arial" w:eastAsia="Arial" w:hAnsi="Arial"/>
          <w:sz w:val="22"/>
          <w:szCs w:val="22"/>
        </w:rPr>
        <w:t xml:space="preserve">Layer 1 — Primary coverage (traditional carrier): $0 to policy limit. Standard carrier, standard rates, standard claims process. Already exists. ChronX does not replace this.</w:t>
      </w:r>
    </w:p>
    <w:p>
      <w:pPr>
        <w:spacing w:before="100" w:after="100"/>
      </w:pPr>
    </w:p>
    <w:p>
      <w:pPr>
        <w:spacing w:before="100" w:after="100"/>
        <w:jc w:val="both"/>
      </w:pPr>
      <w:r>
        <w:rPr>
          <w:rFonts w:ascii="Arial" w:cs="Arial" w:eastAsia="Arial" w:hAnsi="Arial"/>
          <w:sz w:val="22"/>
          <w:szCs w:val="22"/>
        </w:rPr>
        <w:t xml:space="preserve">Layer 2 — KXGC excess (ChronX): above the primary limit, up to whatever the Tier 1 Name underwrites. Parametric trigger via oracle. Automatic payment. Priced to individual risk profile. The LinkedSpring instrument type handles activation cleanly — the KXGC instrument fires only after primary coverage is documented as exhausted.</w:t>
      </w:r>
    </w:p>
    <w:p>
      <w:pPr>
        <w:spacing w:before="100" w:after="100"/>
      </w:pPr>
    </w:p>
    <w:p>
      <w:pPr>
        <w:spacing w:before="100" w:after="100"/>
        <w:jc w:val="both"/>
      </w:pPr>
      <w:r>
        <w:rPr>
          <w:rFonts w:ascii="Arial" w:cs="Arial" w:eastAsia="Arial" w:hAnsi="Arial"/>
          <w:sz w:val="22"/>
          <w:szCs w:val="22"/>
        </w:rPr>
        <w:t xml:space="preserve">Layer 3 — KXGC catastrophic backstop: above Tier 1 capacity. The 300M KX bond. Last resort only.</w:t>
      </w:r>
    </w:p>
    <w:p>
      <w:pPr>
        <w:spacing w:before="100" w:after="100"/>
      </w:pPr>
    </w:p>
    <w:p>
      <w:pPr>
        <w:spacing w:before="100" w:after="100"/>
        <w:jc w:val="both"/>
      </w:pPr>
      <w:r>
        <w:rPr>
          <w:rFonts w:ascii="Arial" w:cs="Arial" w:eastAsia="Arial" w:hAnsi="Arial"/>
          <w:sz w:val="22"/>
          <w:szCs w:val="22"/>
        </w:rPr>
        <w:t xml:space="preserve">KXGC does not compete with existing primary insurers. It covers what they leave uncovered — at any claim size, from 10 KX to 10,000,000 KX, at zero processing cost, with automatic parametric settlement.</w:t>
      </w:r>
    </w:p>
    <w:p>
      <w:pPr>
        <w:spacing w:before="100" w:after="100"/>
      </w:pPr>
    </w:p>
    <w:p>
      <w:pPr>
        <w:spacing w:before="100" w:after="100"/>
        <w:jc w:val="both"/>
      </w:pPr>
      <w:r>
        <w:rPr>
          <w:rFonts w:ascii="Arial" w:cs="Arial" w:eastAsia="Arial" w:hAnsi="Arial"/>
          <w:sz w:val="22"/>
          <w:szCs w:val="22"/>
        </w:rPr>
        <w:t xml:space="preserve">Springing obligations extend far beyond homeowner coverage. Performance bonds, escrow releases, crop parametric coverage, gig worker income protection, trade finance conditional payments, supply chain milestone triggers — all are conditional payments that the protocol enforces identically regardless of size or domain.</w:t>
      </w:r>
    </w:p>
    <w:p>
      <w:pPr>
        <w:spacing w:before="100" w:after="100"/>
      </w:pP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4.10 Regulatory Framework and KYC</w:t>
      </w:r>
    </w:p>
    <w:p>
      <w:pPr>
        <w:spacing w:before="100" w:after="100"/>
      </w:pPr>
    </w:p>
    <w:p>
      <w:pPr>
        <w:spacing w:before="100" w:after="100"/>
        <w:jc w:val="both"/>
      </w:pPr>
      <w:r>
        <w:rPr>
          <w:rFonts w:ascii="Arial" w:cs="Arial" w:eastAsia="Arial" w:hAnsi="Arial"/>
          <w:sz w:val="22"/>
          <w:szCs w:val="22"/>
        </w:rPr>
        <w:t xml:space="preserve">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pPr>
        <w:spacing w:before="100" w:after="100"/>
      </w:pPr>
    </w:p>
    <w:p>
      <w:pPr>
        <w:spacing w:before="100" w:after="100"/>
        <w:jc w:val="both"/>
      </w:pPr>
      <w:r>
        <w:rPr>
          <w:rFonts w:ascii="Arial" w:cs="Arial" w:eastAsia="Arial" w:hAnsi="Arial"/>
          <w:sz w:val="22"/>
          <w:szCs w:val="22"/>
        </w:rPr>
        <w:t xml:space="preserve">Planned US regulatory filings per EPP:</w:t>
      </w:r>
    </w:p>
    <w:p>
      <w:pPr>
        <w:spacing w:before="100" w:after="100"/>
      </w:pPr>
    </w:p>
    <w:p>
      <w:pPr>
        <w:spacing w:before="100" w:after="100"/>
        <w:jc w:val="both"/>
      </w:pPr>
      <w:r>
        <w:rPr>
          <w:rFonts w:ascii="Arial" w:cs="Arial" w:eastAsia="Arial" w:hAnsi="Arial"/>
          <w:sz w:val="22"/>
          <w:szCs w:val="22"/>
        </w:rPr>
        <w:t xml:space="preserve">HedgeKX (New York): forward currency exchange. NFA membership and CFTC registration.</w:t>
      </w:r>
    </w:p>
    <w:p>
      <w:pPr>
        <w:spacing w:before="100" w:after="100"/>
      </w:pPr>
    </w:p>
    <w:p>
      <w:pPr>
        <w:spacing w:before="100" w:after="100"/>
        <w:jc w:val="both"/>
      </w:pPr>
      <w:r>
        <w:rPr>
          <w:rFonts w:ascii="Arial" w:cs="Arial" w:eastAsia="Arial" w:hAnsi="Arial"/>
          <w:sz w:val="22"/>
          <w:szCs w:val="22"/>
        </w:rPr>
        <w:t xml:space="preserve">KXGC (New York / Delaware): insurance holding company. NYDFS or risk retention group structure.</w:t>
      </w:r>
    </w:p>
    <w:p>
      <w:pPr>
        <w:spacing w:before="100" w:after="100"/>
      </w:pPr>
    </w:p>
    <w:p>
      <w:pPr>
        <w:spacing w:before="100" w:after="100"/>
        <w:jc w:val="both"/>
      </w:pPr>
      <w:r>
        <w:rPr>
          <w:rFonts w:ascii="Arial" w:cs="Arial" w:eastAsia="Arial" w:hAnsi="Arial"/>
          <w:sz w:val="22"/>
          <w:szCs w:val="22"/>
        </w:rPr>
        <w:t xml:space="preserve">XChan (New York): digital asset exchange. NYDFS BitLicense.</w:t>
      </w:r>
    </w:p>
    <w:p>
      <w:pPr>
        <w:spacing w:before="100" w:after="100"/>
      </w:pPr>
    </w:p>
    <w:p>
      <w:pPr>
        <w:spacing w:before="100" w:after="100"/>
        <w:jc w:val="both"/>
      </w:pPr>
      <w:r>
        <w:rPr>
          <w:rFonts w:ascii="Arial" w:cs="Arial" w:eastAsia="Arial" w:hAnsi="Arial"/>
          <w:sz w:val="22"/>
          <w:szCs w:val="22"/>
        </w:rPr>
        <w:t xml:space="preserve">MISAI (Delaware): AI-managed investment mandates. SEC registered investment adviser or exempt reporting adviser.</w:t>
      </w:r>
    </w:p>
    <w:p>
      <w:pPr>
        <w:spacing w:before="100" w:after="100"/>
      </w:pPr>
    </w:p>
    <w:p>
      <w:pPr>
        <w:spacing w:before="100" w:after="100"/>
        <w:jc w:val="both"/>
      </w:pPr>
      <w:r>
        <w:rPr>
          <w:rFonts w:ascii="Arial" w:cs="Arial" w:eastAsia="Arial" w:hAnsi="Arial"/>
          <w:sz w:val="22"/>
          <w:szCs w:val="22"/>
        </w:rPr>
        <w:t xml:space="preserve">Verifas (New York): identity attestation and human verification. General business entity; specific licensing assessed per activity scope.</w:t>
      </w:r>
    </w:p>
    <w:p>
      <w:pPr>
        <w:spacing w:before="100" w:after="100"/>
      </w:pPr>
    </w:p>
    <w:p>
      <w:pPr>
        <w:spacing w:before="100" w:after="100"/>
        <w:jc w:val="both"/>
      </w:pPr>
      <w:r>
        <w:rPr>
          <w:rFonts w:ascii="Arial" w:cs="Arial" w:eastAsia="Arial" w:hAnsi="Arial"/>
          <w:sz w:val="22"/>
          <w:szCs w:val="22"/>
        </w:rPr>
        <w:t xml:space="preserve">CPNX (Delaware): identity verification and KYC attestation. FCRA compliance and applicable state licensing.</w:t>
      </w:r>
    </w:p>
    <w:p>
      <w:pPr>
        <w:spacing w:before="100" w:after="100"/>
      </w:pPr>
    </w:p>
    <w:p>
      <w:pPr>
        <w:spacing w:before="100" w:after="100"/>
        <w:jc w:val="both"/>
      </w:pPr>
      <w:r>
        <w:rPr>
          <w:rFonts w:ascii="Arial" w:cs="Arial" w:eastAsia="Arial" w:hAnsi="Arial"/>
          <w:sz w:val="22"/>
          <w:szCs w:val="22"/>
        </w:rPr>
        <w:t xml:space="preserve">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pPr>
        <w:spacing w:before="100" w:after="100"/>
      </w:pPr>
    </w:p>
    <w:p>
      <w:pPr>
        <w:spacing w:before="100" w:after="100"/>
        <w:jc w:val="both"/>
      </w:pPr>
      <w:r>
        <w:rPr>
          <w:rFonts w:ascii="Arial" w:cs="Arial" w:eastAsia="Arial" w:hAnsi="Arial"/>
          <w:sz w:val="22"/>
          <w:szCs w:val="22"/>
        </w:rPr>
        <w:t xml:space="preserve">ChronX is not designed to evade regulation. It is designed to earn it.</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from Public Sale: 2027: 5M KX, 2028: 7.5M KX, 2029: 10M KX, 2030: 12.5M KX, 2031: 15M KX. Wallet: 5zjp4YM7RkBWk8hHN5kdv3xYhjsnXmYUJuL2vgqxHBE1</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from Public Sale: 2027: 5M, 2028: 5M, 2029: 10M, 2030: 15M, 2031: 20M, 2032: 20M, 2033: 25M, 2034: 25M, 2035: 35M, 2036: 40M KX. Wallet: G2aH9NfRFo5gdLTMjNqCRv4PkcKKEHLD99Y8vhQwSgeV</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pPr>
        <w:spacing w:before="100" w:after="100"/>
      </w:pPr>
    </w:p>
    <w:p>
      <w:pPr>
        <w:spacing w:before="100" w:after="100"/>
        <w:jc w:val="both"/>
      </w:pPr>
      <w:r>
        <w:rPr>
          <w:rFonts w:ascii="Arial" w:cs="Arial" w:eastAsia="Arial" w:hAnsi="Arial"/>
          <w:sz w:val="22"/>
          <w:szCs w:val="22"/>
        </w:rPr>
        <w:t xml:space="preserve">DAG verification: all 15 cascade locks are permanently recorded on the ChronX DAG and queryable via chronx_getLockById:</w:t>
      </w:r>
    </w:p>
    <w:p>
      <w:pPr>
        <w:spacing w:before="100" w:after="100"/>
      </w:pPr>
    </w:p>
    <w:p>
      <w:pPr>
        <w:spacing w:before="100" w:after="100"/>
        <w:jc w:val="both"/>
      </w:pPr>
      <w:r>
        <w:rPr>
          <w:rFonts w:ascii="Arial" w:cs="Arial" w:eastAsia="Arial" w:hAnsi="Arial"/>
          <w:sz w:val="22"/>
          <w:szCs w:val="22"/>
        </w:rPr>
        <w:t xml:space="preserve">HedgeKX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pPr>
        <w:spacing w:before="100" w:after="100"/>
      </w:pPr>
    </w:p>
    <w:p>
      <w:pPr>
        <w:spacing w:before="100" w:after="100"/>
        <w:jc w:val="both"/>
      </w:pPr>
      <w:r>
        <w:rPr>
          <w:rFonts w:ascii="Arial" w:cs="Arial" w:eastAsia="Arial" w:hAnsi="Arial"/>
          <w:sz w:val="22"/>
          <w:szCs w:val="22"/>
        </w:rPr>
        <w:t xml:space="preserve">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pPr>
        <w:spacing w:before="100" w:after="100"/>
      </w:pPr>
    </w:p>
    <w:p>
      <w:pPr>
        <w:spacing w:before="100" w:after="100"/>
        <w:jc w:val="both"/>
      </w:pPr>
      <w:r>
        <w:rPr>
          <w:rFonts w:ascii="Arial" w:cs="Arial" w:eastAsia="Arial" w:hAnsi="Arial"/>
          <w:sz w:val="22"/>
          <w:szCs w:val="22"/>
        </w:rPr>
        <w:t xml:space="preserve">At all times: total KX on ChronX DAG + total wKX on Base + total h1KX on Base = 8,270,000,000 KX exactly.</w:t>
      </w:r>
    </w:p>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800"/>
        <w:gridCol w:w="1400"/>
        <w:gridCol w:w="28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Who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Limit</w:t>
            </w:r>
          </w:p>
        </w:tc>
        <w:tc>
          <w:tcPr>
            <w:tcW w:type="dxa" w:w="2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Period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(Genesis Zero — Sep 21,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Anyone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$250/tx</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 No lock. No KYC. XChan market price. Governance cap applies.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Private Placement (Pre-ICO)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$0.001755—$0.002297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Accredited only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 $10,000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Bilateral agreements. 12—24 month mandatory lock. Lock duration determines price. Contact: ico@chronx.io</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 September 22,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All investors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Non-accredited: $250/tx. Accredited: higher with CPNX KYC badge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One price for everyone. Private placement locks visible on DAG.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 baseline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Ongoing XChan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Unsold public sale tokens locked in annual cascade tranches — published schedule, no surprise releases.</w:t>
            </w:r>
          </w:p>
        </w:tc>
      </w:tr>
    </w:tbl>
    <w:p>
      <w:pPr>
        <w:spacing w:before="100" w:after="100"/>
      </w:pPr>
    </w:p>
    <w:p>
      <w:pPr>
        <w:pStyle w:val="Heading2"/>
        <w:spacing w:before="320" w:after="160"/>
      </w:pPr>
      <w:r>
        <w:rPr>
          <w:rFonts w:ascii="Arial" w:cs="Arial" w:eastAsia="Arial" w:hAnsi="Arial"/>
          <w:b/>
          <w:bCs/>
          <w:color w:val="1F4E79"/>
          <w:sz w:val="28"/>
          <w:szCs w:val="28"/>
        </w:rPr>
        <w:t xml:space="preserve">Yield and Lock Duration</w:t>
      </w:r>
    </w:p>
    <w:p>
      <w:pPr>
        <w:spacing w:before="100" w:after="100"/>
      </w:pPr>
    </w:p>
    <w:p>
      <w:pPr>
        <w:spacing w:before="100" w:after="100"/>
        <w:jc w:val="both"/>
      </w:pPr>
      <w:r>
        <w:rPr>
          <w:rFonts w:ascii="Arial" w:cs="Arial" w:eastAsia="Arial" w:hAnsi="Arial"/>
          <w:sz w:val="22"/>
          <w:szCs w:val="22"/>
        </w:rPr>
        <w:t xml:space="preserve">KX purchased at ICO may be locked for any duration to earn yield from HedgeKX’s matching activity. Longer locks receive a proportionally larger share of the yield pool. There is no entry price discount for locking — one price for everyone, always. Yield is the reward for patience. It is real, earned, and grows as HedgeKX develops.</w:t>
      </w:r>
    </w:p>
    <w:p>
      <w:pPr>
        <w:spacing w:before="100" w:after="100"/>
      </w:pPr>
    </w:p>
    <w:p>
      <w:pPr>
        <w:spacing w:before="100" w:after="100"/>
        <w:jc w:val="both"/>
      </w:pPr>
      <w:r>
        <w:rPr>
          <w:rFonts w:ascii="Arial" w:cs="Arial" w:eastAsia="Arial" w:hAnsi="Arial"/>
          <w:sz w:val="22"/>
          <w:szCs w:val="22"/>
        </w:rPr>
        <w:t xml:space="preserve">At launch, yield will be minimal — HedgeKX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2"/>
        <w:spacing w:before="320" w:after="160"/>
      </w:pPr>
      <w:r>
        <w:rPr>
          <w:rFonts w:ascii="Arial" w:cs="Arial" w:eastAsia="Arial" w:hAnsi="Arial"/>
          <w:b/>
          <w:bCs/>
          <w:color w:val="1F4E79"/>
          <w:sz w:val="28"/>
          <w:szCs w:val="28"/>
        </w:rPr>
        <w:t xml:space="preserve">The Ecosystem Growth Commitment</w:t>
      </w:r>
    </w:p>
    <w:p>
      <w:pPr>
        <w:spacing w:before="100" w:after="100"/>
      </w:pPr>
    </w:p>
    <w:p>
      <w:pPr>
        <w:spacing w:before="100" w:after="100"/>
        <w:jc w:val="both"/>
      </w:pPr>
      <w:r>
        <w:rPr>
          <w:rFonts w:ascii="Arial" w:cs="Arial" w:eastAsia="Arial" w:hAnsi="Arial"/>
          <w:sz w:val="22"/>
          <w:szCs w:val="22"/>
        </w:rPr>
        <w:t xml:space="preserve">Protocol-controlled KX — including EPP bond instruments, operating capital cascade locks, and harmonic Treasury and Node Reward locks — are TYPE_S instruments. They carry no HedgeKX mandate and generate no yield claims. This is structural, not a governance promise: TYPE_S locks cannot participate in yield distribution by design.</w:t>
      </w:r>
    </w:p>
    <w:p>
      <w:pPr>
        <w:spacing w:before="100" w:after="100"/>
      </w:pPr>
    </w:p>
    <w:p>
      <w:pPr>
        <w:spacing w:before="100" w:after="100"/>
        <w:jc w:val="both"/>
      </w:pPr>
      <w:r>
        <w:rPr>
          <w:rFonts w:ascii="Arial" w:cs="Arial" w:eastAsia="Arial" w:hAnsi="Arial"/>
          <w:sz w:val="22"/>
          <w:szCs w:val="22"/>
        </w:rPr>
        <w:t xml:space="preserve">The Founder makes one additional commitment: yield_opt_out will be set on any personal locks created from the Founder wallet. Founder KX does not compete with early adopters for yield share.</w:t>
      </w:r>
    </w:p>
    <w:p>
      <w:pPr>
        <w:spacing w:before="100" w:after="100"/>
      </w:pPr>
    </w:p>
    <w:p>
      <w:pPr>
        <w:spacing w:before="100" w:after="100"/>
        <w:jc w:val="both"/>
      </w:pPr>
      <w:r>
        <w:rPr>
          <w:rFonts w:ascii="Arial" w:cs="Arial" w:eastAsia="Arial" w:hAnsi="Arial"/>
          <w:sz w:val="22"/>
          <w:szCs w:val="22"/>
        </w:rPr>
        <w:t xml:space="preserve">The combined effect is that approximately 2,841,000,000 KX in protocol-controlled and Founder-held KX generates no yield claims against the mandate pool. The HedgeKX yield pool belongs entirely to public sale participants, organic wallet holders, and early adopters who lock KX through normal use.</w:t>
      </w:r>
    </w:p>
    <w:p>
      <w:pPr>
        <w:spacing w:before="100" w:after="100"/>
      </w:pPr>
    </w:p>
    <w:p>
      <w:pPr>
        <w:spacing w:before="100" w:after="100"/>
        <w:jc w:val="both"/>
      </w:pPr>
      <w:r>
        <w:rPr>
          <w:rFonts w:ascii="Arial" w:cs="Arial" w:eastAsia="Arial" w:hAnsi="Arial"/>
          <w:sz w:val="22"/>
          <w:szCs w:val="22"/>
        </w:rPr>
        <w:t xml:space="preserve">This is not encoded as a protocol invariant — the TYPE_S nature of protocol locks is structural and permanent, while the Founder commitment is a public governance statement enforceable through DAG transparency and Foundation bond accountability. Any deviation would require a public governance vote with 30 days notice on the DAG.</w:t>
      </w:r>
    </w:p>
    <w:p>
      <w:pPr>
        <w:spacing w:before="100" w:after="100"/>
      </w:pPr>
    </w:p>
    <w:p>
      <w:pPr>
        <w:spacing w:before="100" w:after="100"/>
        <w:jc w:val="both"/>
      </w:pPr>
      <w:r>
        <w:rPr>
          <w:rFonts w:ascii="Arial" w:cs="Arial" w:eastAsia="Arial" w:hAnsi="Arial"/>
          <w:sz w:val="22"/>
          <w:szCs w:val="22"/>
        </w:rPr>
        <w:t xml:space="preserve">The protocol is built for 100 years. Early adopters who believe before the proof exists deserve the yield that comes from that belief.</w:t>
      </w:r>
    </w:p>
    <w:p>
      <w:pPr>
        <w:spacing w:before="100" w:after="100"/>
      </w:pPr>
    </w:p>
    <w:p>
      <w:pPr>
        <w:pStyle w:val="Heading1"/>
        <w:spacing w:before="480" w:after="240"/>
      </w:pPr>
      <w:r>
        <w:rPr>
          <w:rFonts w:ascii="Arial" w:cs="Arial" w:eastAsia="Arial" w:hAnsi="Arial"/>
          <w:b/>
          <w:bCs/>
          <w:color w:val="1F4E79"/>
          <w:sz w:val="34"/>
          <w:szCs w:val="34"/>
        </w:rPr>
        <w:t xml:space="preserve">8.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Date</w:t>
            </w:r>
          </w:p>
        </w:tc>
        <w:tc>
          <w:tcPr>
            <w:tcW w:type="dxa" w:w="7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25,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Genesis Zero locked. Protocol complete. Chain immutable.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Pre-ICO live ($0.001755—$0.002297/KX). Governance caps active.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 Sep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Institutional outreach and private placement. Target: $500K—$2M committed with 12—24 month locks before ICO day. Whitepaper AI stress test completion. EPP registration processes initiated. YubiHSM live — HedgeKX yield activated.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September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opens. One price: $0.00319. Private placement locks visible on DAG. Target: $1M day-one across all channels. Unsold tokens locked in cascade schedule.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22, 2027</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First Treasury harmonic release. Believer tier unlock.</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January 1, 2029</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XChan Uniswap routing. MISAI live AI execution. KXGC Tier 1 Name admissions. Full EPP regulatory registrations.</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A.2 Time-Locked Promise (TYPE S — Standard)</w:t>
      </w:r>
    </w:p>
    <w:p>
      <w:pPr>
        <w:spacing w:before="100" w:after="100"/>
      </w:pPr>
    </w:p>
    <w:p>
      <w:pPr>
        <w:spacing w:before="100" w:after="100"/>
        <w:jc w:val="both"/>
      </w:pPr>
      <w:r>
        <w:rPr>
          <w:rFonts w:ascii="Arial" w:cs="Arial" w:eastAsia="Arial" w:hAnsi="Arial"/>
          <w:sz w:val="22"/>
          <w:szCs w:val="22"/>
        </w:rPr>
        <w:t xml:space="preserve">TYPE_S is a time-locked promise without yield participation. It is identical to TYPE_Y in every respect — same principal guarantee, same DAG immutability, same protocol enforcement — except that it does not grant HedgeKX a minting mandate and generates no yield for the recipient.</w:t>
      </w:r>
    </w:p>
    <w:p>
      <w:pPr>
        <w:spacing w:before="100" w:after="100"/>
      </w:pPr>
    </w:p>
    <w:p>
      <w:pPr>
        <w:spacing w:before="100" w:after="100"/>
        <w:jc w:val="both"/>
      </w:pPr>
      <w:r>
        <w:rPr>
          <w:rFonts w:ascii="Arial" w:cs="Arial" w:eastAsia="Arial" w:hAnsi="Arial"/>
          <w:sz w:val="22"/>
          <w:szCs w:val="22"/>
        </w:rPr>
        <w:t xml:space="preserve">TYPE_S is the correct choice when yield participation is specifically undesirable:</w:t>
      </w:r>
    </w:p>
    <w:p>
      <w:pPr>
        <w:spacing w:before="100" w:after="100"/>
      </w:pPr>
    </w:p>
    <w:p>
      <w:pPr>
        <w:pStyle w:val="ListParagraph"/>
        <w:spacing w:before="60" w:after="60"/>
        <w:ind w:left="720"/>
      </w:pPr>
      <w:r>
        <w:rPr>
          <w:rFonts w:ascii="Arial" w:cs="Arial" w:eastAsia="Arial" w:hAnsi="Arial"/>
          <w:sz w:val="22"/>
          <w:szCs w:val="22"/>
        </w:rPr>
        <w:t xml:space="preserve">Escrow and security deposits: a tenant’s security deposit held by a landlord should not generate yield for the landlord that was not agreed at inception</w:t>
      </w:r>
    </w:p>
    <w:p>
      <w:pPr>
        <w:pStyle w:val="ListParagraph"/>
        <w:spacing w:before="60" w:after="60"/>
        <w:ind w:left="720"/>
      </w:pPr>
      <w:r>
        <w:rPr>
          <w:rFonts w:ascii="Arial" w:cs="Arial" w:eastAsia="Arial" w:hAnsi="Arial"/>
          <w:sz w:val="22"/>
          <w:szCs w:val="22"/>
        </w:rPr>
        <w:t xml:space="preserve">Legal settlements: structured settlement payments where the exact amount is legally specified and variable yield would complicate enforcement</w:t>
      </w:r>
    </w:p>
    <w:p>
      <w:pPr>
        <w:pStyle w:val="ListParagraph"/>
        <w:spacing w:before="60" w:after="60"/>
        <w:ind w:left="720"/>
      </w:pPr>
      <w:r>
        <w:rPr>
          <w:rFonts w:ascii="Arial" w:cs="Arial" w:eastAsia="Arial" w:hAnsi="Arial"/>
          <w:sz w:val="22"/>
          <w:szCs w:val="22"/>
        </w:rPr>
        <w:t xml:space="preserve">Tax considerations: grantors who do not wish the beneficiary to receive variable additional income with potential tax implications</w:t>
      </w:r>
    </w:p>
    <w:p>
      <w:pPr>
        <w:pStyle w:val="ListParagraph"/>
        <w:spacing w:before="60" w:after="60"/>
        <w:ind w:left="720"/>
      </w:pPr>
      <w:r>
        <w:rPr>
          <w:rFonts w:ascii="Arial" w:cs="Arial" w:eastAsia="Arial" w:hAnsi="Arial"/>
          <w:sz w:val="22"/>
          <w:szCs w:val="22"/>
        </w:rPr>
        <w:t xml:space="preserve">Simple intent: grantors who wish to give a specific fixed amount and nothing more</w:t>
      </w:r>
    </w:p>
    <w:p>
      <w:pPr>
        <w:pStyle w:val="ListParagraph"/>
        <w:spacing w:before="60" w:after="60"/>
        <w:ind w:left="720"/>
      </w:pPr>
      <w:r>
        <w:rPr>
          <w:rFonts w:ascii="Arial" w:cs="Arial" w:eastAsia="Arial" w:hAnsi="Arial"/>
          <w:sz w:val="22"/>
          <w:szCs w:val="22"/>
        </w:rPr>
        <w:t xml:space="preserve">Old-fashioned preference: some people simply prefer a clean fixed promise</w:t>
      </w:r>
    </w:p>
    <w:p>
      <w:pPr>
        <w:spacing w:before="100" w:after="100"/>
      </w:pPr>
    </w:p>
    <w:p>
      <w:pPr>
        <w:spacing w:before="100" w:after="100"/>
        <w:jc w:val="both"/>
      </w:pPr>
      <w:r>
        <w:rPr>
          <w:rFonts w:ascii="Arial" w:cs="Arial" w:eastAsia="Arial" w:hAnsi="Arial"/>
          <w:sz w:val="22"/>
          <w:szCs w:val="22"/>
        </w:rPr>
        <w:t xml:space="preserve">For all other time-locked promises, TYPE_Y is the recommended default. The protocol creates TYPE_Y unless the user explicitly selects TYPE_S or sets yield_opt_out.</w:t>
      </w:r>
    </w:p>
    <w:p>
      <w:pPr>
        <w:spacing w:before="100" w:after="100"/>
      </w:pPr>
    </w:p>
    <w:p>
      <w:pPr>
        <w:spacing w:before="100" w:after="100"/>
        <w:jc w:val="both"/>
      </w:pPr>
      <w:r>
        <w:rPr>
          <w:rFonts w:ascii="Arial" w:cs="Arial" w:eastAsia="Arial" w:hAnsi="Arial"/>
          <w:sz w:val="22"/>
          <w:szCs w:val="22"/>
        </w:rPr>
        <w:t xml:space="preserve">TYPE_S use cases (where fixed delivery without yield is specifically intended):</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A.7 TYPE Y — The Default Promise (Time-Locked with Yield Participation)</w:t>
      </w:r>
    </w:p>
    <w:p>
      <w:pPr>
        <w:spacing w:before="100" w:after="100"/>
      </w:pPr>
    </w:p>
    <w:p>
      <w:pPr>
        <w:spacing w:before="100" w:after="100"/>
        <w:jc w:val="both"/>
      </w:pPr>
      <w:r>
        <w:rPr>
          <w:rFonts w:ascii="Arial" w:cs="Arial" w:eastAsia="Arial" w:hAnsi="Arial"/>
          <w:sz w:val="22"/>
          <w:szCs w:val="22"/>
        </w:rPr>
        <w:t xml:space="preserve">TYPE_Y is the recommended default for all time-locked promises on ChronX. It is identical to TYPE_S in every respect — same principal guarantee, same immutability, same DAG enforcement — with one addition: it automatically grants HedgeKX a minting mandate, enabling yield to accrue to the beneficiary’s separate yield balance from real economic activity.</w:t>
      </w:r>
    </w:p>
    <w:p>
      <w:pPr>
        <w:spacing w:before="100" w:after="100"/>
      </w:pPr>
    </w:p>
    <w:p>
      <w:pPr>
        <w:spacing w:before="100" w:after="100"/>
        <w:jc w:val="both"/>
      </w:pPr>
      <w:r>
        <w:rPr>
          <w:rFonts w:ascii="Arial" w:cs="Arial" w:eastAsia="Arial" w:hAnsi="Arial"/>
          <w:sz w:val="22"/>
          <w:szCs w:val="22"/>
        </w:rPr>
        <w:t xml:space="preserve">There is no cost to the grantor. There is no risk to the principal. The yield belongs to whoever the promise was made to — not to the grantor. It accumulates in a separate balance that never decreases, claimable at any time.</w:t>
      </w:r>
    </w:p>
    <w:p>
      <w:pPr>
        <w:spacing w:before="100" w:after="100"/>
      </w:pPr>
    </w:p>
    <w:p>
      <w:pPr>
        <w:spacing w:before="100" w:after="100"/>
        <w:jc w:val="both"/>
      </w:pPr>
      <w:r>
        <w:rPr>
          <w:rFonts w:ascii="Arial" w:cs="Arial" w:eastAsia="Arial" w:hAnsi="Arial"/>
          <w:sz w:val="22"/>
          <w:szCs w:val="22"/>
        </w:rPr>
        <w:t xml:space="preserve">Grantors who specifically do not want yield participation use TYPE_S instead, or set yield_opt_out at TYPE_Y lock creation. Common reasons: escrow instruments, legal settlements, tax considerations, or simple preference for a fixed delivery amount. See A.2 for the complete list of TYPE_S use cases.</w:t>
      </w:r>
    </w:p>
    <w:p>
      <w:pPr>
        <w:spacing w:before="100" w:after="100"/>
      </w:pPr>
    </w:p>
    <w:p>
      <w:pPr>
        <w:spacing w:before="100" w:after="100"/>
        <w:jc w:val="both"/>
      </w:pPr>
      <w:r>
        <w:rPr>
          <w:rFonts w:ascii="Arial" w:cs="Arial" w:eastAsia="Arial" w:hAnsi="Arial"/>
          <w:sz w:val="22"/>
          <w:szCs w:val="22"/>
        </w:rPr>
        <w:t xml:space="preserve">The wallet creates TYPE_Y by default. The user must explicitly choose TYPE_S or set yield_opt_out to suppress yield participation.</w:t>
      </w:r>
    </w:p>
    <w:p>
      <w:pPr>
        <w:spacing w:before="100" w:after="100"/>
      </w:pPr>
    </w:p>
    <w:p>
      <w:pPr>
        <w:spacing w:before="100" w:after="100"/>
        <w:jc w:val="both"/>
      </w:pPr>
      <w:r>
        <w:rPr>
          <w:rFonts w:ascii="Arial" w:cs="Arial" w:eastAsia="Arial" w:hAnsi="Arial"/>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pStyle w:val="ListParagraph"/>
        <w:spacing w:before="60" w:after="60"/>
        <w:ind w:left="720"/>
      </w:pPr>
      <w:r>
        <w:rPr>
          <w:rFonts w:ascii="Arial" w:cs="Arial" w:eastAsia="Arial" w:hAnsi="Arial"/>
          <w:sz w:val="22"/>
          <w:szCs w:val="22"/>
        </w:rPr>
        <w:t xml:space="preserve">Standard promise (the default): any time-locked transfer where the grantor intends to give KX and has no reason to suppress the yield bonus for the recipient</w:t>
      </w:r>
    </w:p>
    <w:p>
      <w:pPr>
        <w:pStyle w:val="ListParagraph"/>
        <w:spacing w:before="60" w:after="60"/>
        <w:ind w:left="720"/>
      </w:pPr>
      <w:r>
        <w:rPr>
          <w:rFonts w:ascii="Arial" w:cs="Arial" w:eastAsia="Arial" w:hAnsi="Arial"/>
          <w:sz w:val="22"/>
          <w:szCs w:val="22"/>
        </w:rPr>
        <w:t xml:space="preserve">Long-horizon promises: 10-year, 20-year gifts and inheritance arrangements where yield accumulates meaningfully over time for the beneficiary</w:t>
      </w:r>
    </w:p>
    <w:p>
      <w:pPr>
        <w:pStyle w:val="ListParagraph"/>
        <w:spacing w:before="60" w:after="60"/>
        <w:ind w:left="720"/>
      </w:pPr>
      <w:r>
        <w:rPr>
          <w:rFonts w:ascii="Arial" w:cs="Arial" w:eastAsia="Arial" w:hAnsi="Arial"/>
          <w:sz w:val="22"/>
          <w:szCs w:val="22"/>
        </w:rPr>
        <w:t xml:space="preserve">ICO participant locks: KX purchased at ICO and locked for any duration automatically participates in HedgeKX yield — the lock duration determines the share of the yield pool</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YubiHSM operational.</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100" w:after="100"/>
      </w:pPr>
    </w:p>
    <w:p>
      <w:pPr>
        <w:pStyle w:val="Heading3"/>
        <w:spacing w:before="240" w:after="120"/>
      </w:pPr>
      <w:r>
        <w:rPr>
          <w:rFonts w:ascii="Arial" w:cs="Arial" w:eastAsia="Arial" w:hAnsi="Arial"/>
          <w:b/>
          <w:bCs/>
          <w:color w:val="1F4E79"/>
          <w:sz w:val="24"/>
          <w:szCs w:val="24"/>
        </w:rPr>
        <w:t xml:space="preserve">The Excess and Surplus Lines Entry Point</w:t>
      </w:r>
    </w:p>
    <w:p>
      <w:pPr>
        <w:spacing w:before="100" w:after="100"/>
      </w:pPr>
    </w:p>
    <w:p>
      <w:pPr>
        <w:spacing w:before="100" w:after="100"/>
        <w:jc w:val="both"/>
      </w:pPr>
      <w:r>
        <w:rPr>
          <w:rFonts w:ascii="Arial" w:cs="Arial" w:eastAsia="Arial" w:hAnsi="Arial"/>
          <w:sz w:val="22"/>
          <w:szCs w:val="22"/>
        </w:rPr>
        <w:t xml:space="preserve">The simplest first product for a new KXGC Tier 1 Name is excess and surplus lines coverage — sitting above a policyholder’s existing primary policy limit. This requires no displacement of the existing carrier relationship and no regulatory competition with admitted carriers.</w:t>
      </w:r>
    </w:p>
    <w:p>
      <w:pPr>
        <w:spacing w:before="100" w:after="100"/>
      </w:pPr>
    </w:p>
    <w:p>
      <w:pPr>
        <w:spacing w:before="100" w:after="100"/>
        <w:jc w:val="both"/>
      </w:pPr>
      <w:r>
        <w:rPr>
          <w:rFonts w:ascii="Arial" w:cs="Arial" w:eastAsia="Arial" w:hAnsi="Arial"/>
          <w:sz w:val="22"/>
          <w:szCs w:val="22"/>
        </w:rPr>
        <w:t xml:space="preserve">Instrument design for excess coverage: condition_type: OracleTrigger or SingleAttestation (oracle attests loss event at the covered property). linked_instrument_id: reference to primary carrier settlement record (LinkedSpring — KXGC instrument activates only after primary is documented as exhausted). pay_as: UsdEquivalentAtMaturity (pays USD equivalent of the excess loss amount). escalation_wallet: KXGC bond wallet (for Tier 1 failure scenarios).</w:t>
      </w:r>
    </w:p>
    <w:p>
      <w:pPr>
        <w:spacing w:before="100" w:after="100"/>
      </w:pPr>
    </w:p>
    <w:p>
      <w:pPr>
        <w:spacing w:before="100" w:after="100"/>
        <w:jc w:val="both"/>
      </w:pPr>
      <w:r>
        <w:rPr>
          <w:rFonts w:ascii="Arial" w:cs="Arial" w:eastAsia="Arial" w:hAnsi="Arial"/>
          <w:sz w:val="22"/>
          <w:szCs w:val="22"/>
        </w:rPr>
        <w:t xml:space="preserve">Individual risk pricing via CPNX: Before underwriting, the Tier 1 Name requests CPNX attestation of the property’s risk characteristics: distance to fire station, construction type, fire clearance, claims history, title status. These are recorded on the DAG as TYPE L entries. The Tier 1 Name prices the excess premium against the individual attested risk — not pool averages. A property one block from the fire station on non-combustible ground receives dramatically better pricing than the pool rate.</w:t>
      </w:r>
    </w:p>
    <w:p>
      <w:pPr>
        <w:spacing w:before="100" w:after="100"/>
      </w:pPr>
    </w:p>
    <w:p>
      <w:pPr>
        <w:spacing w:before="100" w:after="100"/>
        <w:jc w:val="both"/>
      </w:pPr>
      <w:r>
        <w:rPr>
          <w:rFonts w:ascii="Arial" w:cs="Arial" w:eastAsia="Arial" w:hAnsi="Arial"/>
          <w:sz w:val="22"/>
          <w:szCs w:val="22"/>
        </w:rPr>
        <w:t xml:space="preserve">Micropayment coverage is equally viable: The protocol processes a 10 KX conditional payment at zero cost. Tier 1 Names can write coverage for small parametric events — flight delays, weather triggers, delivery failures, gig worker income protection — that traditional insurance cannot serve economically. The claim size floor is determined by KX’s value, not by processing overhead.</w:t>
      </w:r>
    </w:p>
    <w:p>
      <w:pPr>
        <w:spacing w:before="100" w:after="100"/>
      </w:pP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YubiHSM operational.</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YubiHSM hardware security module is live and operational. HedgeKX yield activation is active.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100" w:after="100"/>
      </w:pPr>
    </w:p>
    <w:p>
      <w:pPr>
        <w:spacing w:before="100" w:after="100"/>
        <w:jc w:val="both"/>
      </w:pPr>
      <w:r>
        <w:rPr>
          <w:rFonts w:ascii="Arial" w:cs="Arial" w:eastAsia="Arial" w:hAnsi="Arial"/>
          <w:sz w:val="22"/>
          <w:szCs w:val="22"/>
        </w:rPr>
        <w:t xml:space="preserve">Friendly loan hedge settlement is mandatory and automatic — not optional, not oracle-triggered, not attestation-dependent. The complete settlement mechanism is time plus payment:</w:t>
      </w:r>
    </w:p>
    <w:p>
      <w:pPr>
        <w:spacing w:before="100" w:after="100"/>
      </w:pPr>
    </w:p>
    <w:p>
      <w:pPr>
        <w:spacing w:before="100" w:after="100"/>
        <w:jc w:val="both"/>
      </w:pPr>
      <w:r>
        <w:rPr>
          <w:rFonts w:ascii="Arial" w:cs="Arial" w:eastAsia="Arial" w:hAnsi="Arial"/>
          <w:sz w:val="22"/>
          <w:szCs w:val="22"/>
        </w:rPr>
        <w:t xml:space="preserve">If the borrower repays within the loan term: repayment flows to the Base settlement address, automatically releasing the Currency B Committer’s USDC back with the yield fee, and returning the lender’s KX collateral. No human action required.</w:t>
      </w:r>
    </w:p>
    <w:p>
      <w:pPr>
        <w:spacing w:before="100" w:after="100"/>
      </w:pPr>
    </w:p>
    <w:p>
      <w:pPr>
        <w:spacing w:before="100" w:after="100"/>
        <w:jc w:val="both"/>
      </w:pPr>
      <w:r>
        <w:rPr>
          <w:rFonts w:ascii="Arial" w:cs="Arial" w:eastAsia="Arial" w:hAnsi="Arial"/>
          <w:sz w:val="22"/>
          <w:szCs w:val="22"/>
        </w:rPr>
        <w:t xml:space="preserve">If the borrower does not repay by the loan maturity date: the settlement contract automatically exercises at timeout, transferring the lender’s locked KX collateral to the Currency B Committer at the agreed locked rate. No oracle needed. No attestation needed. Time is the only trigger.</w:t>
      </w:r>
    </w:p>
    <w:p>
      <w:pPr>
        <w:spacing w:before="100" w:after="100"/>
      </w:pPr>
    </w:p>
    <w:p>
      <w:pPr>
        <w:spacing w:before="100" w:after="100"/>
        <w:jc w:val="both"/>
      </w:pPr>
      <w:r>
        <w:rPr>
          <w:rFonts w:ascii="Arial" w:cs="Arial" w:eastAsia="Arial" w:hAnsi="Arial"/>
          <w:sz w:val="22"/>
          <w:szCs w:val="22"/>
        </w:rPr>
        <w:t xml:space="preserve">This mandatory automatic settlement applies equally to all PAY_AS loans where the lender has denominated in USD and the borrower must repay in USD equivalent. Real loans — mortgages, construction draws, business lines of credit — follow the same mechanics at larger scale and longer duration. The borrower’s scheduled repayments flow automatically through the settlement mechanism. Each payment date is a known, deterministic settlement event. The Currency B Committer providing USD settlement liquidity for a PAY_AS loan is not speculating on KX price — they are providing the USD liquidity layer that makes PAY_AS instruments function, with automatic settlement on each repayment date and automatic KX collateral exercise on any missed payment.</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Complete. YubiHSM operational. Yield active.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a dedicated signing host.</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signing host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spacing w:before="100" w:after="100"/>
      </w:pPr>
    </w:p>
    <w:p>
      <w:pPr>
        <w:spacing w:before="100" w:after="100"/>
        <w:jc w:val="both"/>
      </w:pPr>
      <w:r>
        <w:rPr>
          <w:rFonts w:ascii="Arial" w:cs="Arial" w:eastAsia="Arial" w:hAnsi="Arial"/>
          <w:sz w:val="22"/>
          <w:szCs w:val="22"/>
        </w:rPr>
        <w:t xml:space="preserve">CURRENT IMPLEMENTATION NOTE: The ZK light client described below is the TARGET architecture — it is not yet deployed. The current implementation uses the multi-relayer threshold scheme (3-of-5 independent relayers). The ZK light client is a near-term build priority on the post-ICO roadmap. Until it is deployed, the state root verification trust assumption is the multi-relayer scheme, not pure mathematics. The two models are described below with their respective trust assumptions clearly distinguished.</w:t>
      </w:r>
    </w:p>
    <w:p>
      <w:pPr>
        <w:spacing w:before="100" w:after="100"/>
      </w:pP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spacing w:before="100" w:after="100"/>
      </w:pPr>
    </w:p>
    <w:p>
      <w:pPr>
        <w:pStyle w:val="Heading3"/>
        <w:spacing w:before="240" w:after="120"/>
      </w:pPr>
      <w:r>
        <w:rPr>
          <w:rFonts w:ascii="Arial" w:cs="Arial" w:eastAsia="Arial" w:hAnsi="Arial"/>
          <w:b/>
          <w:bCs/>
          <w:color w:val="1F4E79"/>
          <w:sz w:val="24"/>
          <w:szCs w:val="24"/>
        </w:rPr>
        <w:t xml:space="preserve">Two Distinct Instrument Categories</w:t>
      </w:r>
    </w:p>
    <w:p>
      <w:pPr>
        <w:spacing w:before="100" w:after="100"/>
      </w:pPr>
    </w:p>
    <w:p>
      <w:pPr>
        <w:spacing w:before="100" w:after="100"/>
        <w:jc w:val="both"/>
      </w:pPr>
      <w:r>
        <w:rPr>
          <w:rFonts w:ascii="Arial" w:cs="Arial" w:eastAsia="Arial" w:hAnsi="Arial"/>
          <w:sz w:val="22"/>
          <w:szCs w:val="22"/>
        </w:rPr>
        <w:t xml:space="preserve">HedgeKX facilitates two fundamentally different categories of instrument that share the same underlying settlement infrastructure but differ in their economic character and exercise mechanics.</w:t>
      </w:r>
    </w:p>
    <w:p>
      <w:pPr>
        <w:spacing w:before="100" w:after="100"/>
      </w:pPr>
    </w:p>
    <w:p>
      <w:pPr>
        <w:spacing w:before="100" w:after="100"/>
        <w:jc w:val="both"/>
      </w:pPr>
      <w:r>
        <w:rPr>
          <w:rFonts w:ascii="Arial" w:cs="Arial" w:eastAsia="Arial" w:hAnsi="Arial"/>
          <w:sz w:val="22"/>
          <w:szCs w:val="22"/>
        </w:rPr>
        <w:t xml:space="preserve">Category 1 — Settlement-liquidity instruments (friendly loans, PAY_AS loans, KXGC premium float deployment): The Currency B Committer provides USD settlement liquidity for obligations that have contractually obligated repayment or known scheduled cash flows. Exercise is mandatory and automatic — governed entirely by time and payment receipt, with no oracle and no human attestation. The Currency B Committer is not accepting speculative KX price risk in the traditional sense. They are providing the USD layer that makes PAY_AS instruments function, earning approximately 12% annualized on 30-day instruments, and receiving KX collateral at the locked rate only if the obligor fails to perform. This category is available from day one and provides HedgeKX’s organic baseline activity.</w:t>
      </w:r>
    </w:p>
    <w:p>
      <w:pPr>
        <w:spacing w:before="100" w:after="100"/>
      </w:pPr>
    </w:p>
    <w:p>
      <w:pPr>
        <w:spacing w:before="100" w:after="100"/>
        <w:jc w:val="both"/>
      </w:pPr>
      <w:r>
        <w:rPr>
          <w:rFonts w:ascii="Arial" w:cs="Arial" w:eastAsia="Arial" w:hAnsi="Arial"/>
          <w:sz w:val="22"/>
          <w:szCs w:val="22"/>
        </w:rPr>
        <w:t xml:space="preserve">Category 2 — Traditional forward exchange (external yield-seeking capital accepting directional KX risk): The Currency B Committer commits USDC with full awareness that KX’s price may move against them during the commitment period. Exercise depends on market conditions and hedge terms. This is the mature market instrument that develops as KX accumulates price history and external participants evaluate the risk-return profile of directional KX exposure. This category develops over time as the ecosystem matures.</w:t>
      </w:r>
    </w:p>
    <w:p>
      <w:pPr>
        <w:spacing w:before="100" w:after="100"/>
      </w:pPr>
    </w:p>
    <w:p>
      <w:pPr>
        <w:spacing w:before="100" w:after="100"/>
        <w:jc w:val="both"/>
      </w:pPr>
      <w:r>
        <w:rPr>
          <w:rFonts w:ascii="Arial" w:cs="Arial" w:eastAsia="Arial" w:hAnsi="Arial"/>
          <w:sz w:val="22"/>
          <w:szCs w:val="22"/>
        </w:rPr>
        <w:t xml:space="preserve">KXGC participates in both categories simultaneously: as an Exchange Buyer locking KX collateral to hedge its claim liabilities (Category 2), and as a Currency B Committer deploying its premium float as settlement liquidity to earn yield on reserves (Category 1). This natural two-sided participation means KXGC is self-financing its own hedge book — premium income funds the Currency B Committer position that generates yield, while the Exchange Buyer position protects claim-paying capacity. Standard insurance treasury management, implemented on a DAG.</w:t>
      </w:r>
    </w:p>
    <w:p>
      <w:pPr>
        <w:spacing w:before="100" w:after="100"/>
      </w:pP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