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v5.9</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10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 Supports collateralized lending, escrow, and variable rate instruments.</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denomination system reflects this design intent: when obligations are denominated in an external currency and KX serves as the transport mechanism, participants may be indifferent to KX price fluctuations for those specific transactions. ChronX believes this design is consistent with the principles underlying utility token classification under frameworks such as SEC v. W.J. Howey Co. — however, ChronX does not provide legal or regulatory advice, makes no representation as to the regulatory status of KX in any jurisdiction, and strongly encourages all participants to seek independent legal counsel. The ICO is generally being offered to accredited investors, with de minimis access available to retail participants to explore the protocol via XChan.</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pStyle w:val="ListParagraph"/>
        <w:numPr>
          <w:ilvl w:val="0"/>
          <w:numId w:val="2"/>
        </w:numPr>
        <w:spacing w:before="40" w:after="40"/>
      </w:pPr>
      <w:r>
        <w:rPr>
          <w:rFonts w:ascii="Arial" w:cs="Arial" w:eastAsia="Arial" w:hAnsi="Arial"/>
          <w:sz w:val="22"/>
          <w:szCs w:val="22"/>
        </w:rPr>
        <w:t xml:space="preserve">Lender sends KX to borrower (TYPE T transfer).</w:t>
      </w:r>
    </w:p>
    <w:p>
      <w:pPr>
        <w:pStyle w:val="ListParagraph"/>
        <w:numPr>
          <w:ilvl w:val="0"/>
          <w:numId w:val="2"/>
        </w:numPr>
        <w:spacing w:before="40" w:after="40"/>
      </w:pPr>
      <w:r>
        <w:rPr>
          <w:rFonts w:ascii="Arial" w:cs="Arial" w:eastAsia="Arial" w:hAnsi="Arial"/>
          <w:sz w:val="22"/>
          <w:szCs w:val="22"/>
        </w:rPr>
        <w:t xml:space="preserve">Both parties create a TYPE D Debt Instrument encoding the full repayment schedule.</w:t>
      </w:r>
    </w:p>
    <w:p>
      <w:pPr>
        <w:pStyle w:val="ListParagraph"/>
        <w:numPr>
          <w:ilvl w:val="0"/>
          <w:numId w:val="2"/>
        </w:numPr>
        <w:spacing w:before="40" w:after="40"/>
      </w:pPr>
      <w:r>
        <w:rPr>
          <w:rFonts w:ascii="Arial" w:cs="Arial" w:eastAsia="Arial" w:hAnsi="Arial"/>
          <w:sz w:val="22"/>
          <w:szCs w:val="22"/>
        </w:rPr>
        <w:t xml:space="preserve">MISAI monitors the schedule automatically.</w:t>
      </w:r>
    </w:p>
    <w:p>
      <w:pPr>
        <w:pStyle w:val="ListParagraph"/>
        <w:numPr>
          <w:ilvl w:val="0"/>
          <w:numId w:val="2"/>
        </w:numPr>
        <w:spacing w:before="40" w:after="40"/>
      </w:pPr>
      <w:r>
        <w:rPr>
          <w:rFonts w:ascii="Arial" w:cs="Arial" w:eastAsia="Arial" w:hAnsi="Arial"/>
          <w:sz w:val="22"/>
          <w:szCs w:val="22"/>
        </w:rPr>
        <w:t xml:space="preserve">Payment received: MISAI marks it complete. Record is permanent.</w:t>
      </w:r>
    </w:p>
    <w:p>
      <w:pPr>
        <w:pStyle w:val="ListParagraph"/>
        <w:numPr>
          <w:ilvl w:val="0"/>
          <w:numId w:val="2"/>
        </w:numPr>
        <w:spacing w:before="40" w:after="40"/>
      </w:pPr>
      <w:r>
        <w:rPr>
          <w:rFonts w:ascii="Arial" w:cs="Arial" w:eastAsia="Arial" w:hAnsi="Arial"/>
          <w:sz w:val="22"/>
          <w:szCs w:val="22"/>
        </w:rPr>
        <w:t xml:space="preserve">Payment missed beyond grace period: MISAI sends one notice to each party, publishes a DefaultRecord, and exits. Both parties may consult legal counsel.</w:t>
      </w:r>
    </w:p>
    <w:p>
      <w:pPr>
        <w:spacing w:before="60" w:after="120"/>
        <w:jc w:val="both"/>
      </w:pPr>
      <w:r>
        <w:rPr>
          <w:rFonts w:ascii="Arial" w:cs="Arial" w:eastAsia="Arial" w:hAnsi="Arial"/>
          <w:b w:val="false"/>
          <w:bCs w:val="false"/>
          <w:i w:val="false"/>
          <w:iCs w:val="false"/>
          <w:color w:val="000000"/>
          <w:sz w:val="22"/>
          <w:szCs w:val="22"/>
        </w:rPr>
        <w:t xml:space="preserve">ChronX makes no promises it cannot keep. It keeps every on-chain promise it makes.</w:t>
      </w:r>
    </w:p>
    <w:p>
      <w:pPr>
        <w:pStyle w:val="Heading2"/>
        <w:spacing w:before="280" w:after="120"/>
      </w:pPr>
      <w:r>
        <w:rPr>
          <w:rFonts w:ascii="Arial" w:cs="Arial" w:eastAsia="Arial" w:hAnsi="Arial"/>
          <w:b/>
          <w:bCs/>
          <w:color w:val="000000"/>
          <w:sz w:val="28"/>
          <w:szCs w:val="28"/>
        </w:rPr>
        <w:t xml:space="preserve">5.2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MISAI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Open to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 — Loan, Credit, PAY_AS, and Collateralized Lending Primitives</w:t>
      </w:r>
    </w:p>
    <w:p>
      <w:pPr>
        <w:spacing w:before="60" w:after="120"/>
        <w:jc w:val="both"/>
      </w:pPr>
      <w:r>
        <w:rPr>
          <w:rFonts w:ascii="Arial" w:cs="Arial" w:eastAsia="Arial" w:hAnsi="Arial"/>
          <w:b w:val="false"/>
          <w:bCs w:val="false"/>
          <w:i w:val="false"/>
          <w:iCs w:val="false"/>
          <w:color w:val="000000"/>
          <w:sz w:val="22"/>
          <w:szCs w:val="22"/>
        </w:rPr>
        <w:t xml:space="preserve">Genesis 10 introduces the following protocol primitives: TYPE D (Debt Instrument) with full payment schedule and MISAI servicing; the PAY_AS open denomination field on all time locks; collateralized lending with automatic liquidation; escrow as an independent on-chain primitive with its own default triggers; variable rate loans with party-defined rate sources; PaymentMatch flexibility; LoanResolution for post-default settlements; GovernanceParams state (governance-settable, no hardcoded values); LoanCreate, DefaultRecord, LoanReinstatement, LoanWriteOff, LoanEarlyPayoff, LoanCompletion, LenderMemo, LoanLiquidation, LoanResolution, EscrowCreate, EscrowDeposit, EscrowAdjustment, EscrowDisbursement, EscrowReconciliation, RateAdjustment, and MicroLoanCreate action types; and HedgeX marketplace infrastructure. See Technical Addendum A for full specification.</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system reflects this design intent — when KX serves purely as the transport mechanism for obligations denominated in external currencies, participants may be indifferent to KX price movements for those transactions. ChronX believes this design is consistent with principles underlying utility token classification under frameworks such as SEC v. W.J. Howey Co., but makes no legal representation as to the regulatory status of KX in any jurisdiction. All participants are encouraged to seek independent legal counsel. The ICO is generally being offered to accredited investors, with de minimis access available to retail participants wishing to explore the protocol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Its records are analogous to public court records — permanently visible and immutable by design. The LenderMemo system provides a protocol-native annotation layer for court-ordered resolutions and negotiated settlements. Participants should be aware that all on-chain activity is public and permanent.</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cryptography,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 De minimis retail access via XChan.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Loan primitives, PAY_AS denomination system, collateralized lending, escrow primitives, variable rate loans, LenderMemo, GovernanceParams, HedgeX infrastructure, micro-loan primitive.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v5.9</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MISAI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v5.9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2026-03-21T14:19:11.627Z</dcterms:created>
  <dcterms:modified xsi:type="dcterms:W3CDTF">2026-03-21T14:19:11.628Z</dcterms:modified>
</cp:coreProperties>
</file>

<file path=docProps/custom.xml><?xml version="1.0" encoding="utf-8"?>
<Properties xmlns="http://schemas.openxmlformats.org/officeDocument/2006/custom-properties" xmlns:vt="http://schemas.openxmlformats.org/officeDocument/2006/docPropsVTypes"/>
</file>