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4.6 KXGC — KX Guarantee Co.</w:t>
      </w:r>
    </w:p>
    <w:p>
      <w:pPr>
        <w:spacing w:before="100" w:after="10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80"/>
      </w:pPr>
      <w:r>
        <w:t xml:space="preserve"/>
      </w: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price certainty.</w:t>
      </w:r>
    </w:p>
    <w:p>
      <w:pPr>
        <w:spacing w:before="80" w:after="80"/>
      </w:pPr>
      <w:r>
        <w:t xml:space="preserve"/>
      </w:r>
    </w:p>
    <w:p>
      <w:pPr>
        <w:spacing w:before="100" w:after="100"/>
        <w:jc w:val="both"/>
      </w:pPr>
      <w:r>
        <w:rPr>
          <w:rFonts w:ascii="Arial" w:cs="Arial" w:eastAsia="Arial" w:hAnsi="Arial"/>
          <w:sz w:val="22"/>
          <w:szCs w:val="22"/>
        </w:rPr>
        <w:t xml:space="preserve">Bond wallet: BqjGDbhzLJJgzpVywRxug4wTa2Qqtwipc1hkcLLJsWzF</w:t>
      </w:r>
    </w:p>
    <w:p>
      <w:r>
        <w:br w:type="page"/>
      </w: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28% off ICO</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One published.</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now</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 ($250 cap).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29–31,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YubiHSM 2 FIPS arrival. Bridge and attestation keys migrated to hardware. Savings yield activation.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Post-ICO</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(governance-gated). KXGC Tier 1 admissions. Secondary market activation (governance vote). OracleTrigger and CompoundAND engine logic. ZK light client for state root verification.</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A.2 Time-Locked Promise (TYPE S — Standard)</w:t>
      </w:r>
    </w:p>
    <w:p>
      <w:pPr>
        <w:spacing w:before="100" w:after="100"/>
        <w:jc w:val="both"/>
      </w:pPr>
      <w:r>
        <w:rPr>
          <w:rFonts w:ascii="Arial" w:cs="Arial" w:eastAsia="Arial" w:hAnsi="Arial"/>
          <w:sz w:val="22"/>
          <w:szCs w:val="22"/>
        </w:rPr>
        <w:t xml:space="preserve">A promise to deliver KX at a future date. The KX is locked on the DAG immediately. This is the core instrument of ChronX.</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A.7 TYPE Y — Interest-Bearing Savings Deposit</w:t>
      </w:r>
    </w:p>
    <w:p>
      <w:pPr>
        <w:spacing w:before="100" w:after="10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 The lock automatically grants HedgeKX a minting mandate unless yield_opt_out is set at creation. Yield accrues to the beneficiary's separate yield balance on the DAG. Principal is guaranteed by the DAG regardless of yield activity.</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i/>
          <w:iCs/>
          <w:sz w:val="22"/>
          <w:szCs w:val="22"/>
        </w:rPr>
        <w:t xml:space="preserve">Who this is for: estate planners, trust attorneys, family offices, anyone making promises that outlast contact information.</w:t>
      </w:r>
    </w:p>
    <w:p>
      <w:pPr>
        <w:spacing w:before="80" w:after="80"/>
      </w:pPr>
      <w:r>
        <w:t xml:space="preserve"/>
      </w:r>
    </w:p>
    <w:p>
      <w:pPr>
        <w:spacing w:before="100" w:after="10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 When creating TimeLockCreate with unlock_at &gt; 365 days, include a beneficiary_package encrypted to Verifas's HSM public key. If unclaimed at maturity + 100 years: KX transfers to Humanity Stake.</w:t>
      </w:r>
    </w:p>
    <w:p>
      <w:pPr>
        <w:spacing w:before="80" w:after="80"/>
      </w:pPr>
      <w:r>
        <w:t xml:space="preserve"/>
      </w: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