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v5.6</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9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ICO open to accredited investors. Up to $100 equivalent available via XChan for all participants.</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Universal Denomination System</w:t>
      </w:r>
    </w:p>
    <w:p>
      <w:pPr>
        <w:spacing w:before="60" w:after="120"/>
        <w:jc w:val="both"/>
      </w:pPr>
      <w:r>
        <w:rPr>
          <w:rFonts w:ascii="Arial" w:cs="Arial" w:eastAsia="Arial" w:hAnsi="Arial"/>
          <w:b w:val="false"/>
          <w:bCs w:val="false"/>
          <w:i w:val="false"/>
          <w:iCs w:val="false"/>
          <w:color w:val="000000"/>
          <w:sz w:val="22"/>
          <w:szCs w:val="22"/>
        </w:rPr>
        <w:t xml:space="preserve">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pPr>
        <w:spacing w:before="60" w:after="120"/>
        <w:jc w:val="both"/>
      </w:pPr>
      <w:r>
        <w:rPr>
          <w:rFonts w:ascii="Arial" w:cs="Arial" w:eastAsia="Arial" w:hAnsi="Arial"/>
          <w:b w:val="false"/>
          <w:bCs w:val="false"/>
          <w:i w:val="false"/>
          <w:iCs w:val="false"/>
          <w:color w:val="000000"/>
          <w:sz w:val="22"/>
          <w:szCs w:val="22"/>
        </w:rPr>
        <w:t xml:space="preserve">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pPr>
        <w:pBdr>
          <w:left w:val="single" w:color="C9A84C" w:sz="6" w:space="10"/>
        </w:pBdr>
        <w:spacing w:before="160" w:after="160"/>
        <w:ind w:left="720" w:right="720"/>
      </w:pPr>
      <w:r>
        <w:rPr>
          <w:rFonts w:ascii="Arial" w:cs="Arial" w:eastAsia="Arial" w:hAnsi="Arial"/>
          <w:i/>
          <w:iCs/>
          <w:color w:val="2E3A5C"/>
          <w:sz w:val="22"/>
          <w:szCs w:val="22"/>
        </w:rPr>
        <w:t xml:space="preserve">"A promise denominated in any currency is still a promise. What that currency means at maturity is a question for governance — not for the protocol."</w:t>
      </w:r>
    </w:p>
    <w:p>
      <w:pPr>
        <w:spacing w:before="60" w:after="120"/>
        <w:jc w:val="both"/>
      </w:pPr>
      <w:r>
        <w:rPr>
          <w:rFonts w:ascii="Arial" w:cs="Arial" w:eastAsia="Arial" w:hAnsi="Arial"/>
          <w:b w:val="false"/>
          <w:bCs w:val="false"/>
          <w:i w:val="false"/>
          <w:iCs w:val="false"/>
          <w:color w:val="000000"/>
          <w:sz w:val="22"/>
          <w:szCs w:val="22"/>
        </w:rPr>
        <w:t xml:space="preserve">How PAY_AS works:</w:t>
      </w:r>
    </w:p>
    <w:p>
      <w:pPr>
        <w:pStyle w:val="ListParagraph"/>
        <w:numPr>
          <w:ilvl w:val="0"/>
          <w:numId w:val="2"/>
        </w:numPr>
        <w:spacing w:before="40" w:after="40"/>
      </w:pPr>
      <w:r>
        <w:rPr>
          <w:rFonts w:ascii="Arial" w:cs="Arial" w:eastAsia="Arial" w:hAnsi="Arial"/>
          <w:sz w:val="22"/>
          <w:szCs w:val="22"/>
        </w:rPr>
        <w:t xml:space="preserve">At creation, the grantor specifies a currency code and a timing preference (at creation or at maturity).</w:t>
      </w:r>
    </w:p>
    <w:p>
      <w:pPr>
        <w:pStyle w:val="ListParagraph"/>
        <w:numPr>
          <w:ilvl w:val="0"/>
          <w:numId w:val="2"/>
        </w:numPr>
        <w:spacing w:before="40" w:after="40"/>
      </w:pPr>
      <w:r>
        <w:rPr>
          <w:rFonts w:ascii="Arial" w:cs="Arial" w:eastAsia="Arial" w:hAnsi="Arial"/>
          <w:sz w:val="22"/>
          <w:szCs w:val="22"/>
        </w:rPr>
        <w:t xml:space="preserve">The currency code is recorded immutably on the DAG. The protocol does not validate or restrict it.</w:t>
      </w:r>
    </w:p>
    <w:p>
      <w:pPr>
        <w:pStyle w:val="ListParagraph"/>
        <w:numPr>
          <w:ilvl w:val="0"/>
          <w:numId w:val="2"/>
        </w:numPr>
        <w:spacing w:before="40" w:after="40"/>
      </w:pPr>
      <w:r>
        <w:rPr>
          <w:rFonts w:ascii="Arial" w:cs="Arial" w:eastAsia="Arial" w:hAnsi="Arial"/>
          <w:sz w:val="22"/>
          <w:szCs w:val="22"/>
        </w:rPr>
        <w:t xml:space="preserve">At maturity, MISAI queries the governance oracle list for the current price of that currency code in KX.</w:t>
      </w:r>
    </w:p>
    <w:p>
      <w:pPr>
        <w:pStyle w:val="ListParagraph"/>
        <w:numPr>
          <w:ilvl w:val="0"/>
          <w:numId w:val="2"/>
        </w:numPr>
        <w:spacing w:before="40" w:after="40"/>
      </w:pPr>
      <w:r>
        <w:rPr>
          <w:rFonts w:ascii="Arial" w:cs="Arial" w:eastAsia="Arial" w:hAnsi="Arial"/>
          <w:sz w:val="22"/>
          <w:szCs w:val="22"/>
        </w:rPr>
        <w:t xml:space="preserve">If the currency code is active: MISAI calculates the KX equivalent and settles.</w:t>
      </w:r>
    </w:p>
    <w:p>
      <w:pPr>
        <w:pStyle w:val="ListParagraph"/>
        <w:numPr>
          <w:ilvl w:val="0"/>
          <w:numId w:val="2"/>
        </w:numPr>
        <w:spacing w:before="40" w:after="40"/>
      </w:pPr>
      <w:r>
        <w:rPr>
          <w:rFonts w:ascii="Arial" w:cs="Arial" w:eastAsia="Arial" w:hAnsi="Arial"/>
          <w:sz w:val="22"/>
          <w:szCs w:val="22"/>
        </w:rPr>
        <w:t xml:space="preserve">If the currency code has been deprecated by governance: the oracle list contains a successor mapping and a conversion rate, approved by Foundation vote. MISAI follows the mapping.</w:t>
      </w:r>
    </w:p>
    <w:p>
      <w:pPr>
        <w:pStyle w:val="ListParagraph"/>
        <w:numPr>
          <w:ilvl w:val="0"/>
          <w:numId w:val="2"/>
        </w:numPr>
        <w:spacing w:before="40" w:after="40"/>
      </w:pPr>
      <w:r>
        <w:rPr>
          <w:rFonts w:ascii="Arial" w:cs="Arial" w:eastAsia="Arial" w:hAnsi="Arial"/>
          <w:sz w:val="22"/>
          <w:szCs w:val="22"/>
        </w:rPr>
        <w:t xml:space="preserve">If no successor mapping exists: both parties are notified and may agree on a settlement amount manually.</w:t>
      </w:r>
    </w:p>
    <w:p>
      <w:pPr>
        <w:spacing w:before="60" w:after="120"/>
        <w:jc w:val="both"/>
      </w:pPr>
      <w:r>
        <w:rPr>
          <w:rFonts w:ascii="Arial" w:cs="Arial" w:eastAsia="Arial" w:hAnsi="Arial"/>
          <w:b w:val="false"/>
          <w:bCs w:val="false"/>
          <w:i w:val="false"/>
          <w:iCs w:val="false"/>
          <w:color w:val="000000"/>
          <w:sz w:val="22"/>
          <w:szCs w:val="22"/>
        </w:rPr>
        <w:t xml:space="preserve">This architecture means a promise denominated in any currency today will find its way to settlement in whatever medium of exchange governance recognizes at maturity — even if that medium does not yet exist.</w:t>
      </w:r>
    </w:p>
    <w:p>
      <w:pPr>
        <w:pStyle w:val="Heading2"/>
        <w:spacing w:before="280" w:after="120"/>
      </w:pPr>
      <w:r>
        <w:rPr>
          <w:rFonts w:ascii="Arial" w:cs="Arial" w:eastAsia="Arial" w:hAnsi="Arial"/>
          <w:b/>
          <w:bCs/>
          <w:color w:val="000000"/>
          <w:sz w:val="28"/>
          <w:szCs w:val="28"/>
        </w:rPr>
        <w:t xml:space="preserve">3.3 Governance and the Oracle List</w:t>
      </w:r>
    </w:p>
    <w:p>
      <w:pPr>
        <w:spacing w:before="60" w:after="120"/>
        <w:jc w:val="both"/>
      </w:pPr>
      <w:r>
        <w:rPr>
          <w:rFonts w:ascii="Arial" w:cs="Arial" w:eastAsia="Arial" w:hAnsi="Arial"/>
          <w:b w:val="false"/>
          <w:bCs w:val="false"/>
          <w:i w:val="false"/>
          <w:iCs w:val="false"/>
          <w:color w:val="000000"/>
          <w:sz w:val="22"/>
          <w:szCs w:val="22"/>
        </w:rPr>
        <w:t xml:space="preserve">The Foundation governance maintains an approved oracle list: a mapping of currency codes to price sources, updated by governance vote. Adding a new currency requires only a governance vote and a node upgrade — no protocol change, no new genesis. Deprecating a currency requires a governance vote specifying a successor mapping or a manual settlement path.</w:t>
      </w:r>
    </w:p>
    <w:p>
      <w:pPr>
        <w:spacing w:before="60" w:after="120"/>
        <w:jc w:val="both"/>
      </w:pPr>
      <w:r>
        <w:rPr>
          <w:rFonts w:ascii="Arial" w:cs="Arial" w:eastAsia="Arial" w:hAnsi="Arial"/>
          <w:b w:val="false"/>
          <w:bCs w:val="false"/>
          <w:i w:val="false"/>
          <w:iCs w:val="false"/>
          <w:color w:val="000000"/>
          <w:sz w:val="22"/>
          <w:szCs w:val="22"/>
        </w:rPr>
        <w:t xml:space="preserve">The minimum loan size — the floor below which a TYPE D Debt Instrument will not be accepted by nodes — is also a governance parameter. It is set and adjusted by Foundation vote, with nodes enforcing the current value. No amount is hardcoded at the protocol level.</w:t>
      </w:r>
    </w:p>
    <w:p>
      <w:pPr>
        <w:pStyle w:val="Heading2"/>
        <w:spacing w:before="280" w:after="120"/>
      </w:pPr>
      <w:r>
        <w:rPr>
          <w:rFonts w:ascii="Arial" w:cs="Arial" w:eastAsia="Arial" w:hAnsi="Arial"/>
          <w:b/>
          <w:bCs/>
          <w:color w:val="000000"/>
          <w:sz w:val="28"/>
          <w:szCs w:val="28"/>
        </w:rPr>
        <w:t xml:space="preserve">3.4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to function as a utility token. The PAY_AS denomination system is the clearest expression of this design: when obligations are denominated in any external currency and KX is used only as the transport mechanism, users are indifferent to the KX price for those transactions. ChronX does not provide legal or regulatory advice. Participants are responsible for compliance with the laws of their jurisdictions. The ICO is structured to limit primary participation to accredited investors, with broader access limited to a small amount via XChan, reflecting a considered approach to regulatory risk management.</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are in Exhibit A. Plain-English explanations are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pStyle w:val="ListParagraph"/>
        <w:numPr>
          <w:ilvl w:val="0"/>
          <w:numId w:val="2"/>
        </w:numPr>
        <w:spacing w:before="40" w:after="40"/>
      </w:pPr>
      <w:r>
        <w:rPr>
          <w:rFonts w:ascii="Arial" w:cs="Arial" w:eastAsia="Arial" w:hAnsi="Arial"/>
          <w:sz w:val="22"/>
          <w:szCs w:val="22"/>
        </w:rPr>
        <w:t xml:space="preserve">Lender sends KX to borrower (TYPE T transfer).</w:t>
      </w:r>
    </w:p>
    <w:p>
      <w:pPr>
        <w:pStyle w:val="ListParagraph"/>
        <w:numPr>
          <w:ilvl w:val="0"/>
          <w:numId w:val="2"/>
        </w:numPr>
        <w:spacing w:before="40" w:after="40"/>
      </w:pPr>
      <w:r>
        <w:rPr>
          <w:rFonts w:ascii="Arial" w:cs="Arial" w:eastAsia="Arial" w:hAnsi="Arial"/>
          <w:sz w:val="22"/>
          <w:szCs w:val="22"/>
        </w:rPr>
        <w:t xml:space="preserve">Both parties create a TYPE D Debt Instrument encoding the full repayment schedule.</w:t>
      </w:r>
    </w:p>
    <w:p>
      <w:pPr>
        <w:pStyle w:val="ListParagraph"/>
        <w:numPr>
          <w:ilvl w:val="0"/>
          <w:numId w:val="2"/>
        </w:numPr>
        <w:spacing w:before="40" w:after="40"/>
      </w:pPr>
      <w:r>
        <w:rPr>
          <w:rFonts w:ascii="Arial" w:cs="Arial" w:eastAsia="Arial" w:hAnsi="Arial"/>
          <w:sz w:val="22"/>
          <w:szCs w:val="22"/>
        </w:rPr>
        <w:t xml:space="preserve">MISAI monitors the schedule automatically.</w:t>
      </w:r>
    </w:p>
    <w:p>
      <w:pPr>
        <w:pStyle w:val="ListParagraph"/>
        <w:numPr>
          <w:ilvl w:val="0"/>
          <w:numId w:val="2"/>
        </w:numPr>
        <w:spacing w:before="40" w:after="40"/>
      </w:pPr>
      <w:r>
        <w:rPr>
          <w:rFonts w:ascii="Arial" w:cs="Arial" w:eastAsia="Arial" w:hAnsi="Arial"/>
          <w:sz w:val="22"/>
          <w:szCs w:val="22"/>
        </w:rPr>
        <w:t xml:space="preserve">Payment received: MISAI marks it complete. Record is permanent.</w:t>
      </w:r>
    </w:p>
    <w:p>
      <w:pPr>
        <w:pStyle w:val="ListParagraph"/>
        <w:numPr>
          <w:ilvl w:val="0"/>
          <w:numId w:val="2"/>
        </w:numPr>
        <w:spacing w:before="40" w:after="40"/>
      </w:pPr>
      <w:r>
        <w:rPr>
          <w:rFonts w:ascii="Arial" w:cs="Arial" w:eastAsia="Arial" w:hAnsi="Arial"/>
          <w:sz w:val="22"/>
          <w:szCs w:val="22"/>
        </w:rPr>
        <w:t xml:space="preserve">Payment missed beyond grace period: MISAI sends one notice to each party, publishes a DefaultRecord, and exits. Both parties may consult legal counsel.</w:t>
      </w:r>
    </w:p>
    <w:p>
      <w:pPr>
        <w:spacing w:before="60" w:after="120"/>
        <w:jc w:val="both"/>
      </w:pPr>
      <w:r>
        <w:rPr>
          <w:rFonts w:ascii="Arial" w:cs="Arial" w:eastAsia="Arial" w:hAnsi="Arial"/>
          <w:b w:val="false"/>
          <w:bCs w:val="false"/>
          <w:i w:val="false"/>
          <w:iCs w:val="false"/>
          <w:color w:val="000000"/>
          <w:sz w:val="22"/>
          <w:szCs w:val="22"/>
        </w:rPr>
        <w:t xml:space="preserve">ChronX makes no promises it cannot keep. It keeps every on-chain promise it makes.</w:t>
      </w:r>
    </w:p>
    <w:p>
      <w:pPr>
        <w:pStyle w:val="Heading2"/>
        <w:spacing w:before="280" w:after="120"/>
      </w:pPr>
      <w:r>
        <w:rPr>
          <w:rFonts w:ascii="Arial" w:cs="Arial" w:eastAsia="Arial" w:hAnsi="Arial"/>
          <w:b/>
          <w:bCs/>
          <w:color w:val="000000"/>
          <w:sz w:val="28"/>
          <w:szCs w:val="28"/>
        </w:rPr>
        <w:t xml:space="preserve">5.2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DefaultRecord and the LenderMemo System</w:t>
      </w:r>
    </w:p>
    <w:p>
      <w:pPr>
        <w:spacing w:before="60" w:after="120"/>
        <w:jc w:val="both"/>
      </w:pPr>
      <w:r>
        <w:rPr>
          <w:rFonts w:ascii="Arial" w:cs="Arial" w:eastAsia="Arial" w:hAnsi="Arial"/>
          <w:b w:val="false"/>
          <w:bCs w:val="false"/>
          <w:i w:val="false"/>
          <w:iCs w:val="false"/>
          <w:color w:val="000000"/>
          <w:sz w:val="22"/>
          <w:szCs w:val="22"/>
        </w:rPr>
        <w:t xml:space="preserve">When a loan defaults, MISAI publishes a DefaultRecord to the DAG — a permanent, publicly visible record of the date, amounts, and outstanding balance. Like all blockchain data, this record is immutable. ChronX does not delete or modify data, any more than any public ledger deletes a transaction.</w:t>
      </w:r>
    </w:p>
    <w:p>
      <w:pPr>
        <w:spacing w:before="60" w:after="120"/>
        <w:jc w:val="both"/>
      </w:pPr>
      <w:r>
        <w:rPr>
          <w:rFonts w:ascii="Arial" w:cs="Arial" w:eastAsia="Arial" w:hAnsi="Arial"/>
          <w:b w:val="false"/>
          <w:bCs w:val="false"/>
          <w:i w:val="false"/>
          <w:iCs w:val="false"/>
          <w:color w:val="000000"/>
          <w:sz w:val="22"/>
          <w:szCs w:val="22"/>
        </w:rPr>
        <w:t xml:space="preserve">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pPr>
        <w:spacing w:before="60" w:after="120"/>
        <w:jc w:val="both"/>
      </w:pPr>
      <w:r>
        <w:rPr>
          <w:rFonts w:ascii="Arial" w:cs="Arial" w:eastAsia="Arial" w:hAnsi="Arial"/>
          <w:b w:val="false"/>
          <w:bCs w:val="false"/>
          <w:i w:val="false"/>
          <w:iCs w:val="false"/>
          <w:color w:val="000000"/>
          <w:sz w:val="22"/>
          <w:szCs w:val="22"/>
        </w:rPr>
        <w:t xml:space="preserve">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pPr>
        <w:spacing w:before="60" w:after="120"/>
        <w:jc w:val="both"/>
      </w:pPr>
      <w:r>
        <w:rPr>
          <w:rFonts w:ascii="Arial" w:cs="Arial" w:eastAsia="Arial" w:hAnsi="Arial"/>
          <w:b w:val="false"/>
          <w:bCs w:val="false"/>
          <w:i w:val="false"/>
          <w:iCs w:val="false"/>
          <w:color w:val="000000"/>
          <w:sz w:val="22"/>
          <w:szCs w:val="22"/>
        </w:rPr>
        <w:t xml:space="preserve">This architecture is the correct response to right-to-be-forgotten concerns: ChronX is a public ledger, not a data controller. The appropriate response to a court order regarding an on-chain default record is annotation, not deletion. LenderMemo is that annotation layer.</w:t>
      </w:r>
    </w:p>
    <w:p>
      <w:pPr>
        <w:pStyle w:val="Heading2"/>
        <w:spacing w:before="280" w:after="120"/>
      </w:pPr>
      <w:r>
        <w:rPr>
          <w:rFonts w:ascii="Arial" w:cs="Arial" w:eastAsia="Arial" w:hAnsi="Arial"/>
          <w:b/>
          <w:bCs/>
          <w:color w:val="000000"/>
          <w:sz w:val="28"/>
          <w:szCs w:val="28"/>
        </w:rPr>
        <w:t xml:space="preserve">5.4 Reinstatement, Write-Off, and Early Payoff</w:t>
      </w:r>
    </w:p>
    <w:p>
      <w:pPr>
        <w:spacing w:before="60" w:after="120"/>
        <w:jc w:val="both"/>
      </w:pPr>
      <w:r>
        <w:rPr>
          <w:rFonts w:ascii="Arial" w:cs="Arial" w:eastAsia="Arial" w:hAnsi="Arial"/>
          <w:b w:val="false"/>
          <w:bCs w:val="false"/>
          <w:i w:val="false"/>
          <w:iCs w:val="false"/>
          <w:color w:val="000000"/>
          <w:sz w:val="22"/>
          <w:szCs w:val="22"/>
        </w:rPr>
        <w:t xml:space="preserve">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pPr>
        <w:pStyle w:val="Heading2"/>
        <w:spacing w:before="280" w:after="120"/>
      </w:pPr>
      <w:r>
        <w:rPr>
          <w:rFonts w:ascii="Arial" w:cs="Arial" w:eastAsia="Arial" w:hAnsi="Arial"/>
          <w:b/>
          <w:bCs/>
          <w:color w:val="000000"/>
          <w:sz w:val="28"/>
          <w:szCs w:val="28"/>
        </w:rPr>
        <w:t xml:space="preserve">5.5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adequate liquidity for the relevant trading pair. ChronX is committed to building and maintaining liquidity infrastructure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party posts a hedge campaign specifying the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to fund the campaign.</w:t>
      </w:r>
    </w:p>
    <w:p>
      <w:pPr>
        <w:pStyle w:val="ListParagraph"/>
        <w:numPr>
          <w:ilvl w:val="0"/>
          <w:numId w:val="2"/>
        </w:numPr>
        <w:spacing w:before="40" w:after="40"/>
      </w:pPr>
      <w:r>
        <w:rPr>
          <w:rFonts w:ascii="Arial" w:cs="Arial" w:eastAsia="Arial" w:hAnsi="Arial"/>
          <w:sz w:val="22"/>
          <w:szCs w:val="22"/>
        </w:rPr>
        <w:t xml:space="preserve">Campaign reaches threshold: hedge funded, transaction proceeds.</w:t>
      </w:r>
    </w:p>
    <w:p>
      <w:pPr>
        <w:pStyle w:val="ListParagraph"/>
        <w:numPr>
          <w:ilvl w:val="0"/>
          <w:numId w:val="2"/>
        </w:numPr>
        <w:spacing w:before="40" w:after="40"/>
      </w:pPr>
      <w:r>
        <w:rPr>
          <w:rFonts w:ascii="Arial" w:cs="Arial" w:eastAsia="Arial" w:hAnsi="Arial"/>
          <w:sz w:val="22"/>
          <w:szCs w:val="22"/>
        </w:rPr>
        <w:t xml:space="preserve">Campaign fails threshold: all pledges returned automatically. No funds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a stable medium of exchange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and delivers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is committed to the permanent public record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MISAI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 &amp; 2</w:t>
      </w:r>
      <w:r>
        <w:rPr>
          <w:rFonts w:ascii="Arial" w:cs="Arial" w:eastAsia="Arial" w:hAnsi="Arial"/>
          <w:sz w:val="22"/>
          <w:szCs w:val="22"/>
        </w:rPr>
        <w:t xml:space="preserve">: Accredited investors only.</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Accredited investors. Up to $100 equivalent available to all participants via XChan.</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Proof of Work and Spam Resistance</w:t>
      </w:r>
    </w:p>
    <w:p>
      <w:pPr>
        <w:spacing w:before="60" w:after="120"/>
        <w:jc w:val="both"/>
      </w:pPr>
      <w:r>
        <w:rPr>
          <w:rFonts w:ascii="Arial" w:cs="Arial" w:eastAsia="Arial" w:hAnsi="Arial"/>
          <w:b w:val="false"/>
          <w:bCs w:val="false"/>
          <w:i w:val="false"/>
          <w:iCs w:val="false"/>
          <w:color w:val="000000"/>
          <w:sz w:val="22"/>
          <w:szCs w:val="22"/>
        </w:rPr>
        <w:t xml:space="preserve">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pPr>
        <w:pStyle w:val="Heading2"/>
        <w:spacing w:before="280" w:after="120"/>
      </w:pPr>
      <w:r>
        <w:rPr>
          <w:rFonts w:ascii="Arial" w:cs="Arial" w:eastAsia="Arial" w:hAnsi="Arial"/>
          <w:b/>
          <w:bCs/>
          <w:color w:val="000000"/>
          <w:sz w:val="28"/>
          <w:szCs w:val="28"/>
        </w:rPr>
        <w:t xml:space="preserve">11.5 Genesis 10a — Loan, Credit, and PAY_AS Primitives</w:t>
      </w:r>
    </w:p>
    <w:p>
      <w:pPr>
        <w:spacing w:before="60" w:after="120"/>
        <w:jc w:val="both"/>
      </w:pPr>
      <w:r>
        <w:rPr>
          <w:rFonts w:ascii="Arial" w:cs="Arial" w:eastAsia="Arial" w:hAnsi="Arial"/>
          <w:b w:val="false"/>
          <w:bCs w:val="false"/>
          <w:i w:val="false"/>
          <w:iCs w:val="false"/>
          <w:color w:val="000000"/>
          <w:sz w:val="22"/>
          <w:szCs w:val="22"/>
        </w:rPr>
        <w:t xml:space="preserve">Genesis 10a introduces the following protocol primitives: TYPE D (Debt Instrument) with full payment schedule and MISAI servicing; the PAY_AS open denomination field on all time locks; GovernanceParams state (minimum loan size, approved oracle list — both governance-settable, neither hardcoded); LoanCreate, DefaultRecord, LoanReinstatement, LoanWriteOff, LoanEarlyPayoff, LoanCompletion, and LenderMemo action types; the MISAI Oracle supporting all governance-approved currency codes; and HedgeX marketplace infrastructure.</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to function as a utility token. The PAY_AS system is the clearest expression of this design. ChronX does not provide legal or regulatory advice. Participants are responsible for compliance with applicable law. The ICO is structured to limit primary participation to accredited investors, with broader access limited to a small amount via XChan.</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DefaultRecord and Data Privacy</w:t>
      </w:r>
    </w:p>
    <w:p>
      <w:pPr>
        <w:spacing w:before="60" w:after="120"/>
        <w:jc w:val="both"/>
      </w:pPr>
      <w:r>
        <w:rPr>
          <w:rFonts w:ascii="Arial" w:cs="Arial" w:eastAsia="Arial" w:hAnsi="Arial"/>
          <w:b w:val="false"/>
          <w:bCs w:val="false"/>
          <w:i w:val="false"/>
          <w:iCs w:val="false"/>
          <w:color w:val="000000"/>
          <w:sz w:val="22"/>
          <w:szCs w:val="22"/>
        </w:rPr>
        <w:t xml:space="preserve">ChronX is a public blockchain. Its records are analogous to public court records — permanently visible and immutable by design. The LenderMemo system provides a protocol-native annotation layer for court-ordered resolutions and negotiated settlements. Participants should be aware that all on-chain activity is public and permanent.</w:t>
      </w:r>
    </w:p>
    <w:p>
      <w:pPr>
        <w:pStyle w:val="Heading2"/>
        <w:spacing w:before="280" w:after="120"/>
      </w:pPr>
      <w:r>
        <w:rPr>
          <w:rFonts w:ascii="Arial" w:cs="Arial" w:eastAsia="Arial" w:hAnsi="Arial"/>
          <w:b/>
          <w:bCs/>
          <w:color w:val="000000"/>
          <w:sz w:val="28"/>
          <w:szCs w:val="28"/>
        </w:rPr>
        <w:t xml:space="preserve">12.5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Accredited investors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Loan primitives, PAY_AS (currency-agnostic), LenderMemo, GovernanceParams, HedgeX infrastructure, MISAI oracle.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Accredited investors. Up to $100 equivalent via XChan for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risk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v5.6</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a sum of value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 PAY_AS (denomination of grantor's choice, at maturity). Unlock date set to 18th birthday. Beneficiary context encrypted on-chain.</w:t>
      </w:r>
    </w:p>
    <w:p>
      <w:pPr>
        <w:pStyle w:val="ListParagraph"/>
        <w:numPr>
          <w:ilvl w:val="0"/>
          <w:numId w:val="2"/>
        </w:numPr>
        <w:spacing w:before="40" w:after="40"/>
      </w:pPr>
      <w:r>
        <w:rPr>
          <w:rFonts w:ascii="Arial" w:cs="Arial" w:eastAsia="Arial" w:hAnsi="Arial"/>
          <w:sz w:val="22"/>
          <w:szCs w:val="22"/>
        </w:rPr>
        <w:t xml:space="preserve">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contact information no longer exists, Verifas attestors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w:t>
      </w:r>
    </w:p>
    <w:p>
      <w:pPr>
        <w:pStyle w:val="ListParagraph"/>
        <w:numPr>
          <w:ilvl w:val="0"/>
          <w:numId w:val="2"/>
        </w:numPr>
        <w:spacing w:before="40" w:after="40"/>
      </w:pPr>
      <w:r>
        <w:rPr>
          <w:rFonts w:ascii="Arial" w:cs="Arial" w:eastAsia="Arial" w:hAnsi="Arial"/>
          <w:sz w:val="22"/>
          <w:szCs w:val="22"/>
        </w:rPr>
        <w:t xml:space="preserve">CASCADE (monthly stages) + MISAI monitoring. Each payment permanently marked complete.</w:t>
      </w:r>
    </w:p>
    <w:p>
      <w:pPr>
        <w:pStyle w:val="ListParagraph"/>
        <w:numPr>
          <w:ilvl w:val="0"/>
          <w:numId w:val="2"/>
        </w:numPr>
        <w:spacing w:before="40" w:after="40"/>
      </w:pPr>
      <w:r>
        <w:rPr>
          <w:rFonts w:ascii="Arial" w:cs="Arial" w:eastAsia="Arial" w:hAnsi="Arial"/>
          <w:sz w:val="22"/>
          <w:szCs w:val="22"/>
        </w:rPr>
        <w:t xml:space="preserve">Any missed payment generates a permanent DefaultRecord. LenderMemo available for court-ordered resolution.</w:t>
      </w:r>
    </w:p>
    <w:p>
      <w:pPr>
        <w:spacing w:before="60" w:after="120"/>
        <w:jc w:val="both"/>
      </w:pPr>
      <w:r>
        <w:rPr>
          <w:rFonts w:ascii="Arial" w:cs="Arial" w:eastAsia="Arial" w:hAnsi="Arial"/>
          <w:b w:val="false"/>
          <w:bCs w:val="false"/>
          <w:i w:val="false"/>
          <w:iCs w:val="false"/>
          <w:color w:val="000000"/>
          <w:sz w:val="22"/>
          <w:szCs w:val="22"/>
        </w:rPr>
        <w:t xml:space="preserve">Result: Self-documenting compliance record. Full annotated history always visible.</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value when their child completes a college degree.</w:t>
      </w:r>
    </w:p>
    <w:p>
      <w:pPr>
        <w:pStyle w:val="ListParagraph"/>
        <w:numPr>
          <w:ilvl w:val="0"/>
          <w:numId w:val="2"/>
        </w:numPr>
        <w:spacing w:before="40" w:after="40"/>
      </w:pPr>
      <w:r>
        <w:rPr>
          <w:rFonts w:ascii="Arial" w:cs="Arial" w:eastAsia="Arial" w:hAnsi="Arial"/>
          <w:sz w:val="22"/>
          <w:szCs w:val="22"/>
        </w:rPr>
        <w:t xml:space="preserve">TYPE V + Verifas attestor. Funds locked until attestor verifies degree completion.</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annual giving to a nonprofit for ten years.</w:t>
      </w:r>
    </w:p>
    <w:p>
      <w:pPr>
        <w:pStyle w:val="ListParagraph"/>
        <w:numPr>
          <w:ilvl w:val="0"/>
          <w:numId w:val="2"/>
        </w:numPr>
        <w:spacing w:before="40" w:after="40"/>
      </w:pPr>
      <w:r>
        <w:rPr>
          <w:rFonts w:ascii="Arial" w:cs="Arial" w:eastAsia="Arial" w:hAnsi="Arial"/>
          <w:sz w:val="22"/>
          <w:szCs w:val="22"/>
        </w:rPr>
        <w:t xml:space="preserve">CASCADE (annual stages). Irrevocable after cancellation window. Optional TYPE V matching condition.</w:t>
      </w:r>
    </w:p>
    <w:p>
      <w:pPr>
        <w:spacing w:before="60" w:after="120"/>
        <w:jc w:val="both"/>
      </w:pPr>
      <w:r>
        <w:rPr>
          <w:rFonts w:ascii="Arial" w:cs="Arial" w:eastAsia="Arial" w:hAnsi="Arial"/>
          <w:b w:val="false"/>
          <w:bCs w:val="false"/>
          <w:i w:val="false"/>
          <w:iCs w:val="false"/>
          <w:color w:val="000000"/>
          <w:sz w:val="22"/>
          <w:szCs w:val="22"/>
        </w:rPr>
        <w:t xml:space="preserve">Result: Binding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a sum payable over 20 years.</w:t>
      </w:r>
    </w:p>
    <w:p>
      <w:pPr>
        <w:pStyle w:val="ListParagraph"/>
        <w:numPr>
          <w:ilvl w:val="0"/>
          <w:numId w:val="2"/>
        </w:numPr>
        <w:spacing w:before="40" w:after="40"/>
      </w:pPr>
      <w:r>
        <w:rPr>
          <w:rFonts w:ascii="Arial" w:cs="Arial" w:eastAsia="Arial" w:hAnsi="Arial"/>
          <w:sz w:val="22"/>
          <w:szCs w:val="22"/>
        </w:rPr>
        <w:t xml:space="preserve">TYPE D + PAY_AS (denomination at maturity), monthly stages.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 attorney as bonded attestor. Complete chain of custody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annotatable audit trail.</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 TYPE V cliff condition. Annual release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with no stock option agreement or cap table required.</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publisher owes quarterly royalties to an international creator for 10 years.</w:t>
      </w:r>
    </w:p>
    <w:p>
      <w:pPr>
        <w:pStyle w:val="ListParagraph"/>
        <w:numPr>
          <w:ilvl w:val="0"/>
          <w:numId w:val="2"/>
        </w:numPr>
        <w:spacing w:before="40" w:after="40"/>
      </w:pPr>
      <w:r>
        <w:rPr>
          <w:rFonts w:ascii="Arial" w:cs="Arial" w:eastAsia="Arial" w:hAnsi="Arial"/>
          <w:sz w:val="22"/>
          <w:szCs w:val="22"/>
        </w:rPr>
        <w:t xml:space="preserve">CASCADE + PAY_AS (any governance-approved currency, settled at maturity). Zero intermediary cost.</w:t>
      </w:r>
    </w:p>
    <w:p>
      <w:pPr>
        <w:spacing w:before="60" w:after="120"/>
        <w:jc w:val="both"/>
      </w:pPr>
      <w:r>
        <w:rPr>
          <w:rFonts w:ascii="Arial" w:cs="Arial" w:eastAsia="Arial" w:hAnsi="Arial"/>
          <w:b w:val="false"/>
          <w:bCs w:val="false"/>
          <w:i w:val="false"/>
          <w:iCs w:val="false"/>
          <w:color w:val="000000"/>
          <w:sz w:val="22"/>
          <w:szCs w:val="22"/>
        </w:rPr>
        <w:t xml:space="preserve">Result: Permanent payment history, zero wire fees.</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capital via a 5-year instrument paying annual coupons.</w:t>
      </w:r>
    </w:p>
    <w:p>
      <w:pPr>
        <w:pStyle w:val="ListParagraph"/>
        <w:numPr>
          <w:ilvl w:val="0"/>
          <w:numId w:val="2"/>
        </w:numPr>
        <w:spacing w:before="40" w:after="40"/>
      </w:pPr>
      <w:r>
        <w:rPr>
          <w:rFonts w:ascii="Arial" w:cs="Arial" w:eastAsia="Arial" w:hAnsi="Arial"/>
          <w:sz w:val="22"/>
          <w:szCs w:val="22"/>
        </w:rPr>
        <w:t xml:space="preserve">TYPE Y + CASCADE (annual coupons) + PAY_AS + HedgeX protection available.</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service provider charges recurring fees per enterprise client.</w:t>
      </w:r>
    </w:p>
    <w:p>
      <w:pPr>
        <w:pStyle w:val="ListParagraph"/>
        <w:numPr>
          <w:ilvl w:val="0"/>
          <w:numId w:val="2"/>
        </w:numPr>
        <w:spacing w:before="40" w:after="40"/>
      </w:pPr>
      <w:r>
        <w:rPr>
          <w:rFonts w:ascii="Arial" w:cs="Arial" w:eastAsia="Arial" w:hAnsi="Arial"/>
          <w:sz w:val="22"/>
          <w:szCs w:val="22"/>
        </w:rPr>
        <w:t xml:space="preserve">TYPE C (Credit Authorization).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No payment processor, no chargebacks, no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Supplier has cryptographic certainty of payment.</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Proportional Distribution</w:t>
      </w:r>
    </w:p>
    <w:p>
      <w:pPr>
        <w:spacing w:before="60" w:after="120"/>
        <w:jc w:val="both"/>
      </w:pPr>
      <w:r>
        <w:rPr>
          <w:rFonts w:ascii="Arial" w:cs="Arial" w:eastAsia="Arial" w:hAnsi="Arial"/>
          <w:b w:val="false"/>
          <w:bCs w:val="false"/>
          <w:i w:val="false"/>
          <w:iCs w:val="false"/>
          <w:color w:val="000000"/>
          <w:sz w:val="22"/>
          <w:szCs w:val="22"/>
        </w:rPr>
        <w:t xml:space="preserve">An organization distributes value periodically to a large group of participants.</w:t>
      </w:r>
    </w:p>
    <w:p>
      <w:pPr>
        <w:pStyle w:val="ListParagraph"/>
        <w:numPr>
          <w:ilvl w:val="0"/>
          <w:numId w:val="2"/>
        </w:numPr>
        <w:spacing w:before="40" w:after="40"/>
      </w:pPr>
      <w:r>
        <w:rPr>
          <w:rFonts w:ascii="Arial" w:cs="Arial" w:eastAsia="Arial" w:hAnsi="Arial"/>
          <w:sz w:val="22"/>
          <w:szCs w:val="22"/>
        </w:rPr>
        <w:t xml:space="preserve">TYPE G (Wallet Group) + CASCADE. MISAI distributes proportionally in a single atomic transaction.</w:t>
      </w:r>
    </w:p>
    <w:p>
      <w:pPr>
        <w:spacing w:before="60" w:after="120"/>
        <w:jc w:val="both"/>
      </w:pPr>
      <w:r>
        <w:rPr>
          <w:rFonts w:ascii="Arial" w:cs="Arial" w:eastAsia="Arial" w:hAnsi="Arial"/>
          <w:b w:val="false"/>
          <w:bCs w:val="false"/>
          <w:i w:val="false"/>
          <w:iCs w:val="false"/>
          <w:color w:val="000000"/>
          <w:sz w:val="22"/>
          <w:szCs w:val="22"/>
        </w:rPr>
        <w:t xml:space="preserve">Result: Many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Axiom IV ensures decision and custody agents are always separate.</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per decision made on behalf of a client.</w:t>
      </w:r>
    </w:p>
    <w:p>
      <w:pPr>
        <w:pStyle w:val="ListParagraph"/>
        <w:numPr>
          <w:ilvl w:val="0"/>
          <w:numId w:val="2"/>
        </w:numPr>
        <w:spacing w:before="40" w:after="40"/>
      </w:pPr>
      <w:r>
        <w:rPr>
          <w:rFonts w:ascii="Arial" w:cs="Arial" w:eastAsia="Arial" w:hAnsi="Arial"/>
          <w:sz w:val="22"/>
          <w:szCs w:val="22"/>
        </w:rPr>
        <w:t xml:space="preserve">TYPE C. Each decision draws a small amount automatically. Complete on-chain record of every charge.</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denomination-stable loans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(any governance-approved currency) + HedgeX. DefaultRecords create portable global credit history.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stable-denomination UX, zero-fee settlement, and permanent credit records.</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Up to 100 years. After that, the Humanity Stake — a pool governed for the benefit of all humanity — receives any unclaimed funds. No funds are ever lost.</w:t>
      </w:r>
    </w:p>
    <w:p>
      <w:pPr>
        <w:pStyle w:val="Heading2"/>
        <w:spacing w:before="280" w:after="120"/>
      </w:pPr>
      <w:r>
        <w:rPr>
          <w:rFonts w:ascii="Arial" w:cs="Arial" w:eastAsia="Arial" w:hAnsi="Arial"/>
          <w:b/>
          <w:bCs/>
          <w:color w:val="000000"/>
          <w:sz w:val="28"/>
          <w:szCs w:val="28"/>
        </w:rPr>
        <w:t xml:space="preserve">What About the Currency?</w:t>
      </w:r>
    </w:p>
    <w:p>
      <w:pPr>
        <w:spacing w:before="60" w:after="120"/>
        <w:jc w:val="both"/>
      </w:pPr>
      <w:r>
        <w:rPr>
          <w:rFonts w:ascii="Arial" w:cs="Arial" w:eastAsia="Arial" w:hAnsi="Arial"/>
          <w:b w:val="false"/>
          <w:bCs w:val="false"/>
          <w:i w:val="false"/>
          <w:iCs w:val="false"/>
          <w:color w:val="000000"/>
          <w:sz w:val="22"/>
          <w:szCs w:val="22"/>
        </w:rPr>
        <w:t xml:space="preserve">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On ChronX, those promises are written directly onto the blockchain — permanently and publicly. MISAI watches the schedule. Payments received are marked complete. Payments missed generate a DefaultRecord. The entire loan history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permanent, cryptographically signed, timestamped record attached to the borrower's wallet address. Any future lender who queries that address sees the complete loan history — not a score, the actual record.</w:t>
      </w:r>
    </w:p>
    <w:p>
      <w:pPr>
        <w:pStyle w:val="Heading2"/>
        <w:spacing w:before="280" w:after="120"/>
      </w:pPr>
      <w:r>
        <w:rPr>
          <w:rFonts w:ascii="Arial" w:cs="Arial" w:eastAsia="Arial" w:hAnsi="Arial"/>
          <w:b/>
          <w:bCs/>
          <w:color w:val="000000"/>
          <w:sz w:val="28"/>
          <w:szCs w:val="28"/>
        </w:rPr>
        <w:t xml:space="preserve">What Is a LenderMemo?</w:t>
      </w:r>
    </w:p>
    <w:p>
      <w:pPr>
        <w:spacing w:before="60" w:after="120"/>
        <w:jc w:val="both"/>
      </w:pPr>
      <w:r>
        <w:rPr>
          <w:rFonts w:ascii="Arial" w:cs="Arial" w:eastAsia="Arial" w:hAnsi="Arial"/>
          <w:b w:val="false"/>
          <w:bCs w:val="false"/>
          <w:i w:val="false"/>
          <w:iCs w:val="false"/>
          <w:color w:val="000000"/>
          <w:sz w:val="22"/>
          <w:szCs w:val="22"/>
        </w:rPr>
        <w:t xml:space="preserve">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parties agree, the loan can be reinstated at any time. No time limit. A court-ordered reinstatement twenty years later is as valid as one issued the next day.</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lock is a ChronX promise with a twist: instead of the KX sitting idle for twenty years, MISAI is authorized to withdraw the investable tranche, manage it, and return whatever it has grown into at maturity. Think of it as a digital endowment.</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AI management may result in gains or losses up to and including total loss. MISAI is not a guaranteed return product.</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makes decisions without recording them publicly first. The decision agent is always separate from the custody wallet — Axiom IV, enforced at the protocol level, not merely promised in a terms document.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posts a hedge campaign specifying coverage needed and the premium offered. Holders pledge coverage in exchange for stable-currency yield. All terms are agreed before the hedge is funded. If the campaign doesn't fill, all pledges are returned automatically.</w:t>
      </w:r>
    </w:p>
    <w:p>
      <w:r>
        <w:br w:type="page"/>
      </w:r>
    </w:p>
    <w:p>
      <w:pPr>
        <w:pStyle w:val="Heading1"/>
        <w:spacing w:before="400" w:after="120"/>
      </w:pPr>
      <w:r>
        <w:rPr>
          <w:rFonts w:ascii="Arial" w:cs="Arial" w:eastAsia="Arial" w:hAnsi="Arial"/>
          <w:b/>
          <w:bCs/>
          <w:color w:val="C9A84C"/>
          <w:sz w:val="36"/>
          <w:szCs w:val="36"/>
        </w:rPr>
        <w:t xml:space="preserve">B.5 PAY_AS and the Future of Money</w:t>
      </w:r>
    </w:p>
    <w:p>
      <w:pPr>
        <w:pStyle w:val="Heading2"/>
        <w:spacing w:before="280" w:after="120"/>
      </w:pPr>
      <w:r>
        <w:rPr>
          <w:rFonts w:ascii="Arial" w:cs="Arial" w:eastAsia="Arial" w:hAnsi="Arial"/>
          <w:b/>
          <w:bCs/>
          <w:color w:val="000000"/>
          <w:sz w:val="28"/>
          <w:szCs w:val="28"/>
        </w:rPr>
        <w:t xml:space="preserve">Why No Specific Currencies Are Named</w:t>
      </w:r>
    </w:p>
    <w:p>
      <w:pPr>
        <w:spacing w:before="60" w:after="120"/>
        <w:jc w:val="both"/>
      </w:pPr>
      <w:r>
        <w:rPr>
          <w:rFonts w:ascii="Arial" w:cs="Arial" w:eastAsia="Arial" w:hAnsi="Arial"/>
          <w:b w:val="false"/>
          <w:bCs w:val="false"/>
          <w:i w:val="false"/>
          <w:iCs w:val="false"/>
          <w:color w:val="000000"/>
          <w:sz w:val="22"/>
          <w:szCs w:val="22"/>
        </w:rPr>
        <w:t xml:space="preserve">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pPr>
        <w:spacing w:before="60" w:after="120"/>
        <w:jc w:val="both"/>
      </w:pPr>
      <w:r>
        <w:rPr>
          <w:rFonts w:ascii="Arial" w:cs="Arial" w:eastAsia="Arial" w:hAnsi="Arial"/>
          <w:b w:val="false"/>
          <w:bCs w:val="false"/>
          <w:i w:val="false"/>
          <w:iCs w:val="false"/>
          <w:color w:val="000000"/>
          <w:sz w:val="22"/>
          <w:szCs w:val="22"/>
        </w:rPr>
        <w:t xml:space="preserve">PAY_AS is deliberately currency-agnostic. It records the denomination intent. Foundation governance maintains the list of recognized currencies and their oracle sources. When a currency ceases to exist, governance votes on a successor. MISAI follows the mapping.</w:t>
      </w:r>
    </w:p>
    <w:p>
      <w:pPr>
        <w:pStyle w:val="Heading2"/>
        <w:spacing w:before="280" w:after="120"/>
      </w:pPr>
      <w:r>
        <w:rPr>
          <w:rFonts w:ascii="Arial" w:cs="Arial" w:eastAsia="Arial" w:hAnsi="Arial"/>
          <w:b/>
          <w:bCs/>
          <w:color w:val="000000"/>
          <w:sz w:val="28"/>
          <w:szCs w:val="28"/>
        </w:rPr>
        <w:t xml:space="preserve">What If a Currency Has No Successor?</w:t>
      </w:r>
    </w:p>
    <w:p>
      <w:pPr>
        <w:spacing w:before="60" w:after="120"/>
        <w:jc w:val="both"/>
      </w:pPr>
      <w:r>
        <w:rPr>
          <w:rFonts w:ascii="Arial" w:cs="Arial" w:eastAsia="Arial" w:hAnsi="Arial"/>
          <w:b w:val="false"/>
          <w:bCs w:val="false"/>
          <w:i w:val="false"/>
          <w:iCs w:val="false"/>
          <w:color w:val="000000"/>
          <w:sz w:val="22"/>
          <w:szCs w:val="22"/>
        </w:rPr>
        <w:t xml:space="preserve">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pPr>
        <w:pStyle w:val="Heading2"/>
        <w:spacing w:before="280" w:after="120"/>
      </w:pPr>
      <w:r>
        <w:rPr>
          <w:rFonts w:ascii="Arial" w:cs="Arial" w:eastAsia="Arial" w:hAnsi="Arial"/>
          <w:b/>
          <w:bCs/>
          <w:color w:val="000000"/>
          <w:sz w:val="28"/>
          <w:szCs w:val="28"/>
        </w:rPr>
        <w:t xml:space="preserve">Is This Theoretical?</w:t>
      </w:r>
    </w:p>
    <w:p>
      <w:pPr>
        <w:spacing w:before="60" w:after="120"/>
        <w:jc w:val="both"/>
      </w:pPr>
      <w:r>
        <w:rPr>
          <w:rFonts w:ascii="Arial" w:cs="Arial" w:eastAsia="Arial" w:hAnsi="Arial"/>
          <w:b w:val="false"/>
          <w:bCs w:val="false"/>
          <w:i w:val="false"/>
          <w:iCs w:val="false"/>
          <w:color w:val="000000"/>
          <w:sz w:val="22"/>
          <w:szCs w:val="22"/>
        </w:rPr>
        <w:t xml:space="preserve">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pPr>
        <w:pStyle w:val="Heading1"/>
        <w:spacing w:before="400" w:after="120"/>
      </w:pPr>
      <w:r>
        <w:rPr>
          <w:rFonts w:ascii="Arial" w:cs="Arial" w:eastAsia="Arial" w:hAnsi="Arial"/>
          <w:b/>
          <w:bCs/>
          <w:color w:val="C9A84C"/>
          <w:sz w:val="36"/>
          <w:szCs w:val="36"/>
        </w:rPr>
        <w:t xml:space="preserve">B.6 Protocol Identity and Badges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badges (Founding Team) are issued as TYPE L transactions — on-chain, signed by a bonded agent, permanently visible. Dynamic badges (KXGO tiers) are managed server-side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v5.6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2026-03-20T23:22:05.920Z</dcterms:created>
  <dcterms:modified xsi:type="dcterms:W3CDTF">2026-03-20T23:22:05.921Z</dcterms:modified>
</cp:coreProperties>
</file>

<file path=docProps/custom.xml><?xml version="1.0" encoding="utf-8"?>
<Properties xmlns="http://schemas.openxmlformats.org/officeDocument/2006/custom-properties" xmlns:vt="http://schemas.openxmlformats.org/officeDocument/2006/docPropsVTypes"/>
</file>