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240"/>
        <w:jc w:val="center"/>
      </w:pPr>
      <w:r>
        <w:drawing>
          <wp:inline distT="0" distB="0" distL="0" distR="0">
            <wp:extent cx="3429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29000" cy="685800"/>
                    </a:xfrm>
                    <a:prstGeom prst="rect">
                      <a:avLst/>
                    </a:prstGeom>
                  </pic:spPr>
                </pic:pic>
              </a:graphicData>
            </a:graphic>
          </wp:inline>
        </w:drawing>
      </w:r>
    </w:p>
    <w:p>
      <w:pPr>
        <w:spacing w:before="0" w:after="80"/>
        <w:jc w:val="center"/>
      </w:pPr>
      <w:r>
        <w:rPr>
          <w:rFonts w:ascii="Arial" w:cs="Arial" w:eastAsia="Arial" w:hAnsi="Arial"/>
          <w:b/>
          <w:bCs/>
          <w:color w:val="C9A84C"/>
          <w:sz w:val="64"/>
          <w:szCs w:val="64"/>
        </w:rPr>
        <w:t xml:space="preserve">CHRONX PROTOCOL</w:t>
      </w:r>
    </w:p>
    <w:p>
      <w:pPr>
        <w:spacing w:before="0" w:after="80"/>
        <w:jc w:val="center"/>
      </w:pPr>
      <w:r>
        <w:rPr>
          <w:rFonts w:ascii="Arial" w:cs="Arial" w:eastAsia="Arial" w:hAnsi="Arial"/>
          <w:color w:val="2E3A5C"/>
          <w:sz w:val="32"/>
          <w:szCs w:val="32"/>
        </w:rPr>
        <w:t xml:space="preserve">Whitepaper v5.6</w:t>
      </w:r>
    </w:p>
    <w:p>
      <w:pPr>
        <w:spacing w:before="0" w:after="160"/>
        <w:jc w:val="center"/>
      </w:pPr>
      <w:r>
        <w:rPr>
          <w:rFonts w:ascii="Arial" w:cs="Arial" w:eastAsia="Arial" w:hAnsi="Arial"/>
          <w:i/>
          <w:iCs/>
          <w:color w:val="666666"/>
          <w:sz w:val="28"/>
          <w:szCs w:val="28"/>
        </w:rPr>
        <w:t xml:space="preserve">The Future Payment Protocol</w:t>
      </w:r>
    </w:p>
    <w:p>
      <w:pPr>
        <w:pBdr>
          <w:bottom w:val="single" w:color="C9A84C" w:sz="4" w:space="1"/>
        </w:pBdr>
        <w:spacing w:before="200" w:after="200"/>
      </w:pPr>
      <w:r>
        <w:t xml:space="preserve"/>
      </w:r>
    </w:p>
    <w:p>
      <w:pPr>
        <w:spacing w:before="160" w:after="80"/>
        <w:jc w:val="center"/>
      </w:pPr>
      <w:r>
        <w:rPr>
          <w:rFonts w:ascii="Arial" w:cs="Arial" w:eastAsia="Arial" w:hAnsi="Arial"/>
          <w:b/>
          <w:bCs/>
          <w:color w:val="000000"/>
          <w:sz w:val="28"/>
          <w:szCs w:val="28"/>
        </w:rPr>
        <w:t xml:space="preserve">The Ledger for Long-Horizon Human Promises</w:t>
      </w:r>
    </w:p>
    <w:p>
      <w:pPr>
        <w:spacing w:before="0" w:after="240"/>
        <w:jc w:val="center"/>
      </w:pPr>
      <w:r>
        <w:rPr>
          <w:rFonts w:ascii="Arial" w:cs="Arial" w:eastAsia="Arial" w:hAnsi="Arial"/>
          <w:color w:val="666666"/>
          <w:sz w:val="22"/>
          <w:szCs w:val="22"/>
        </w:rPr>
        <w:t xml:space="preserve">Genesis 9  •  Post-Quantum Cryptography  •  Zero Fees</w:t>
      </w:r>
    </w:p>
    <w:p>
      <w:r>
        <w:t xml:space="preserve"/>
      </w:r>
    </w:p>
    <w:p>
      <w:r>
        <w:t xml:space="preserve"/>
      </w:r>
    </w:p>
    <w:p>
      <w:pPr>
        <w:spacing w:before="0" w:after="80"/>
        <w:jc w:val="center"/>
      </w:pPr>
      <w:r>
        <w:rPr>
          <w:rFonts w:ascii="Arial" w:cs="Arial" w:eastAsia="Arial" w:hAnsi="Arial"/>
          <w:b/>
          <w:bCs/>
          <w:color w:val="C9A84C"/>
          <w:sz w:val="24"/>
          <w:szCs w:val="24"/>
        </w:rPr>
        <w:t xml:space="preserve">ICO: September 22, 2026  •  $0.00319 per KX</w:t>
      </w:r>
    </w:p>
    <w:p>
      <w:pPr>
        <w:spacing w:before="0" w:after="0"/>
        <w:jc w:val="center"/>
      </w:pPr>
      <w:r>
        <w:rPr>
          <w:rFonts w:ascii="Arial" w:cs="Arial" w:eastAsia="Arial" w:hAnsi="Arial"/>
          <w:color w:val="2E3A5C"/>
          <w:sz w:val="24"/>
          <w:szCs w:val="24"/>
        </w:rPr>
        <w:t xml:space="preserve">chronx.io</w:t>
      </w:r>
    </w:p>
    <w:p>
      <w:r>
        <w:t xml:space="preserve"/>
      </w:r>
    </w:p>
    <w:p>
      <w:r>
        <w:t xml:space="preserve"/>
      </w:r>
    </w:p>
    <w:p>
      <w:r>
        <w:t xml:space="preserve"/>
      </w:r>
    </w:p>
    <w:p>
      <w:r>
        <w:t xml:space="preserve"/>
      </w:r>
    </w:p>
    <w:p>
      <w:r>
        <w:br w:type="page"/>
      </w:r>
    </w:p>
    <w:p>
      <w:pPr>
        <w:pStyle w:val="Heading1"/>
        <w:spacing w:before="400" w:after="120"/>
      </w:pPr>
      <w:r>
        <w:rPr>
          <w:rFonts w:ascii="Arial" w:cs="Arial" w:eastAsia="Arial" w:hAnsi="Arial"/>
          <w:b/>
          <w:bCs/>
          <w:color w:val="C9A84C"/>
          <w:sz w:val="36"/>
          <w:szCs w:val="36"/>
        </w:rPr>
        <w:t xml:space="preserve">1. Executive Summary</w:t>
      </w:r>
    </w:p>
    <w:p>
      <w:pPr>
        <w:spacing w:before="60" w:after="120"/>
        <w:jc w:val="both"/>
      </w:pPr>
      <w:r>
        <w:rPr>
          <w:rFonts w:ascii="Arial" w:cs="Arial" w:eastAsia="Arial" w:hAnsi="Arial"/>
          <w:b w:val="false"/>
          <w:bCs w:val="false"/>
          <w:i w:val="false"/>
          <w:iCs w:val="false"/>
          <w:color w:val="000000"/>
          <w:sz w:val="22"/>
          <w:szCs w:val="22"/>
        </w:rPr>
        <w:t xml:space="preserve">ChronX is a purpose-built blockchain protocol designed for one thing: making financial promises that are enforced by the protocol itself. Whether a payment is due tomorrow or in one hundred years, ChronX ensures it arrives automatically, securely, and without fees.</w:t>
      </w:r>
    </w:p>
    <w:p>
      <w:pPr>
        <w:spacing w:before="60" w:after="120"/>
        <w:jc w:val="both"/>
      </w:pPr>
      <w:r>
        <w:rPr>
          <w:rFonts w:ascii="Arial" w:cs="Arial" w:eastAsia="Arial" w:hAnsi="Arial"/>
          <w:b w:val="false"/>
          <w:bCs w:val="false"/>
          <w:i w:val="false"/>
          <w:iCs w:val="false"/>
          <w:color w:val="000000"/>
          <w:sz w:val="22"/>
          <w:szCs w:val="22"/>
        </w:rPr>
        <w:t xml:space="preserve">Unlike general-purpose blockchains retrofitted for payments, ChronX was built from the ground up for long-horizon financial obligations. Every element of the protocol — from post-quantum cryptography to the MISAI artificial intelligence layer — serves this single purpose.</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merely record that a promise was made. ChronX makes the promise inevitable."</w:t>
      </w:r>
    </w:p>
    <w:p>
      <w:pPr>
        <w:spacing w:before="60" w:after="120"/>
        <w:jc w:val="both"/>
      </w:pPr>
      <w:r>
        <w:rPr>
          <w:rFonts w:ascii="Arial" w:cs="Arial" w:eastAsia="Arial" w:hAnsi="Arial"/>
          <w:b/>
          <w:bCs/>
          <w:i w:val="false"/>
          <w:iCs w:val="false"/>
          <w:color w:val="000000"/>
          <w:sz w:val="22"/>
          <w:szCs w:val="22"/>
        </w:rPr>
        <w:t xml:space="preserve">Key facts:</w:t>
      </w:r>
    </w:p>
    <w:p>
      <w:pPr>
        <w:pStyle w:val="ListParagraph"/>
        <w:numPr>
          <w:ilvl w:val="0"/>
          <w:numId w:val="2"/>
        </w:numPr>
        <w:spacing w:before="40" w:after="40"/>
      </w:pPr>
      <w:r>
        <w:rPr>
          <w:rFonts w:ascii="Arial" w:cs="Arial" w:eastAsia="Arial" w:hAnsi="Arial"/>
          <w:b/>
          <w:bCs/>
          <w:sz w:val="22"/>
          <w:szCs w:val="22"/>
        </w:rPr>
        <w:t xml:space="preserve">Fixed supply</w:t>
      </w:r>
      <w:r>
        <w:rPr>
          <w:rFonts w:ascii="Arial" w:cs="Arial" w:eastAsia="Arial" w:hAnsi="Arial"/>
          <w:sz w:val="22"/>
          <w:szCs w:val="22"/>
        </w:rPr>
        <w:t xml:space="preserve">: 8,270,000,000 KX tokens. No inflation. Ever.</w:t>
      </w:r>
    </w:p>
    <w:p>
      <w:pPr>
        <w:pStyle w:val="ListParagraph"/>
        <w:numPr>
          <w:ilvl w:val="0"/>
          <w:numId w:val="2"/>
        </w:numPr>
        <w:spacing w:before="40" w:after="40"/>
      </w:pPr>
      <w:r>
        <w:rPr>
          <w:rFonts w:ascii="Arial" w:cs="Arial" w:eastAsia="Arial" w:hAnsi="Arial"/>
          <w:b/>
          <w:bCs/>
          <w:sz w:val="22"/>
          <w:szCs w:val="22"/>
        </w:rPr>
        <w:t xml:space="preserve">Zero fees</w:t>
      </w:r>
      <w:r>
        <w:rPr>
          <w:rFonts w:ascii="Arial" w:cs="Arial" w:eastAsia="Arial" w:hAnsi="Arial"/>
          <w:sz w:val="22"/>
          <w:szCs w:val="22"/>
        </w:rPr>
        <w:t xml:space="preserve">: Zero transaction fees on all transfers, promises, and loans.</w:t>
      </w:r>
    </w:p>
    <w:p>
      <w:pPr>
        <w:pStyle w:val="ListParagraph"/>
        <w:numPr>
          <w:ilvl w:val="0"/>
          <w:numId w:val="2"/>
        </w:numPr>
        <w:spacing w:before="40" w:after="40"/>
      </w:pPr>
      <w:r>
        <w:rPr>
          <w:rFonts w:ascii="Arial" w:cs="Arial" w:eastAsia="Arial" w:hAnsi="Arial"/>
          <w:b/>
          <w:bCs/>
          <w:sz w:val="22"/>
          <w:szCs w:val="22"/>
        </w:rPr>
        <w:t xml:space="preserve">Post-quantum cryptography</w:t>
      </w:r>
      <w:r>
        <w:rPr>
          <w:rFonts w:ascii="Arial" w:cs="Arial" w:eastAsia="Arial" w:hAnsi="Arial"/>
          <w:sz w:val="22"/>
          <w:szCs w:val="22"/>
        </w:rPr>
        <w:t xml:space="preserve">: CRYSTALS-Dilithium2 — secure against future quantum computers.</w:t>
      </w:r>
    </w:p>
    <w:p>
      <w:pPr>
        <w:pStyle w:val="ListParagraph"/>
        <w:numPr>
          <w:ilvl w:val="0"/>
          <w:numId w:val="2"/>
        </w:numPr>
        <w:spacing w:before="40" w:after="40"/>
      </w:pPr>
      <w:r>
        <w:rPr>
          <w:rFonts w:ascii="Arial" w:cs="Arial" w:eastAsia="Arial" w:hAnsi="Arial"/>
          <w:b/>
          <w:bCs/>
          <w:sz w:val="22"/>
          <w:szCs w:val="22"/>
        </w:rPr>
        <w:t xml:space="preserve">Time-locked payments</w:t>
      </w:r>
      <w:r>
        <w:rPr>
          <w:rFonts w:ascii="Arial" w:cs="Arial" w:eastAsia="Arial" w:hAnsi="Arial"/>
          <w:sz w:val="22"/>
          <w:szCs w:val="22"/>
        </w:rPr>
        <w:t xml:space="preserve">: Schedule any payment from one second to one hundred years in the future.</w:t>
      </w:r>
    </w:p>
    <w:p>
      <w:pPr>
        <w:pStyle w:val="ListParagraph"/>
        <w:numPr>
          <w:ilvl w:val="0"/>
          <w:numId w:val="2"/>
        </w:numPr>
        <w:spacing w:before="40" w:after="40"/>
      </w:pPr>
      <w:r>
        <w:rPr>
          <w:rFonts w:ascii="Arial" w:cs="Arial" w:eastAsia="Arial" w:hAnsi="Arial"/>
          <w:b/>
          <w:bCs/>
          <w:sz w:val="22"/>
          <w:szCs w:val="22"/>
        </w:rPr>
        <w:t xml:space="preserve">MISAI</w:t>
      </w:r>
      <w:r>
        <w:rPr>
          <w:rFonts w:ascii="Arial" w:cs="Arial" w:eastAsia="Arial" w:hAnsi="Arial"/>
          <w:sz w:val="22"/>
          <w:szCs w:val="22"/>
        </w:rPr>
        <w:t xml:space="preserve">: The first AI loan servicer and investment mandate executor built into a blockchain protocol.</w:t>
      </w:r>
    </w:p>
    <w:p>
      <w:pPr>
        <w:pStyle w:val="ListParagraph"/>
        <w:numPr>
          <w:ilvl w:val="0"/>
          <w:numId w:val="2"/>
        </w:numPr>
        <w:spacing w:before="40" w:after="40"/>
      </w:pPr>
      <w:r>
        <w:rPr>
          <w:rFonts w:ascii="Arial" w:cs="Arial" w:eastAsia="Arial" w:hAnsi="Arial"/>
          <w:b/>
          <w:bCs/>
          <w:sz w:val="22"/>
          <w:szCs w:val="22"/>
        </w:rPr>
        <w:t xml:space="preserve">Verifas</w:t>
      </w:r>
      <w:r>
        <w:rPr>
          <w:rFonts w:ascii="Arial" w:cs="Arial" w:eastAsia="Arial" w:hAnsi="Arial"/>
          <w:sz w:val="22"/>
          <w:szCs w:val="22"/>
        </w:rPr>
        <w:t xml:space="preserve">: A human attestation layer for long-horizon delivery when original contact information is no longer valid.</w:t>
      </w:r>
    </w:p>
    <w:p>
      <w:pPr>
        <w:pStyle w:val="ListParagraph"/>
        <w:numPr>
          <w:ilvl w:val="0"/>
          <w:numId w:val="2"/>
        </w:numPr>
        <w:spacing w:before="40" w:after="40"/>
      </w:pPr>
      <w:r>
        <w:rPr>
          <w:rFonts w:ascii="Arial" w:cs="Arial" w:eastAsia="Arial" w:hAnsi="Arial"/>
          <w:b/>
          <w:bCs/>
          <w:sz w:val="22"/>
          <w:szCs w:val="22"/>
        </w:rPr>
        <w:t xml:space="preserve">HedgeX</w:t>
      </w:r>
      <w:r>
        <w:rPr>
          <w:rFonts w:ascii="Arial" w:cs="Arial" w:eastAsia="Arial" w:hAnsi="Arial"/>
          <w:sz w:val="22"/>
          <w:szCs w:val="22"/>
        </w:rPr>
        <w:t xml:space="preserve">: A peer-to-peer currency risk marketplace connecting borrowers and KX holders.</w:t>
      </w:r>
    </w:p>
    <w:p>
      <w:pPr>
        <w:pStyle w:val="ListParagraph"/>
        <w:numPr>
          <w:ilvl w:val="0"/>
          <w:numId w:val="2"/>
        </w:numPr>
        <w:spacing w:before="40" w:after="40"/>
      </w:pPr>
      <w:r>
        <w:rPr>
          <w:rFonts w:ascii="Arial" w:cs="Arial" w:eastAsia="Arial" w:hAnsi="Arial"/>
          <w:b/>
          <w:bCs/>
          <w:sz w:val="22"/>
          <w:szCs w:val="22"/>
        </w:rPr>
        <w:t xml:space="preserve">ICO</w:t>
      </w:r>
      <w:r>
        <w:rPr>
          <w:rFonts w:ascii="Arial" w:cs="Arial" w:eastAsia="Arial" w:hAnsi="Arial"/>
          <w:sz w:val="22"/>
          <w:szCs w:val="22"/>
        </w:rPr>
        <w:t xml:space="preserve">: ICO open to accredited investors. Up to $100 equivalent available via XChan for all participants.</w:t>
      </w:r>
    </w:p>
    <w:p>
      <w:r>
        <w:br w:type="page"/>
      </w:r>
    </w:p>
    <w:p>
      <w:pPr>
        <w:pStyle w:val="Heading1"/>
        <w:spacing w:before="400" w:after="120"/>
      </w:pPr>
      <w:r>
        <w:rPr>
          <w:rFonts w:ascii="Arial" w:cs="Arial" w:eastAsia="Arial" w:hAnsi="Arial"/>
          <w:b/>
          <w:bCs/>
          <w:color w:val="C9A84C"/>
          <w:sz w:val="36"/>
          <w:szCs w:val="36"/>
        </w:rPr>
        <w:t xml:space="preserve">2. The Problem ChronX Solves</w:t>
      </w:r>
    </w:p>
    <w:p>
      <w:pPr>
        <w:spacing w:before="60" w:after="120"/>
        <w:jc w:val="both"/>
      </w:pPr>
      <w:r>
        <w:rPr>
          <w:rFonts w:ascii="Arial" w:cs="Arial" w:eastAsia="Arial" w:hAnsi="Arial"/>
          <w:b w:val="false"/>
          <w:bCs w:val="false"/>
          <w:i w:val="false"/>
          <w:iCs w:val="false"/>
          <w:color w:val="000000"/>
          <w:sz w:val="22"/>
          <w:szCs w:val="22"/>
        </w:rPr>
        <w:t xml:space="preserve">Every financial system in the world relies on promises. A mortgage is a promise to pay monthly for thirty years. A bond is a promise to pay coupons annually and return principal at maturity. Child support is a promise enforced by a court. A charitable pledge is a promise to give when conditions are met.</w:t>
      </w:r>
    </w:p>
    <w:p>
      <w:pPr>
        <w:spacing w:before="60" w:after="120"/>
        <w:jc w:val="both"/>
      </w:pPr>
      <w:r>
        <w:rPr>
          <w:rFonts w:ascii="Arial" w:cs="Arial" w:eastAsia="Arial" w:hAnsi="Arial"/>
          <w:b w:val="false"/>
          <w:bCs w:val="false"/>
          <w:i w:val="false"/>
          <w:iCs w:val="false"/>
          <w:color w:val="000000"/>
          <w:sz w:val="22"/>
          <w:szCs w:val="22"/>
        </w:rPr>
        <w:t xml:space="preserve">These promises share one vulnerability: they depend entirely on human institutions — banks, courts, lawyers, collection agencies — to enforce them. When those institutions fail, the promises fail.</w:t>
      </w:r>
    </w:p>
    <w:p>
      <w:pPr>
        <w:pStyle w:val="Heading2"/>
        <w:spacing w:before="280" w:after="120"/>
      </w:pPr>
      <w:r>
        <w:rPr>
          <w:rFonts w:ascii="Arial" w:cs="Arial" w:eastAsia="Arial" w:hAnsi="Arial"/>
          <w:b/>
          <w:bCs/>
          <w:color w:val="000000"/>
          <w:sz w:val="28"/>
          <w:szCs w:val="28"/>
        </w:rPr>
        <w:t xml:space="preserve">2.1 The Enforcement Gap</w:t>
      </w:r>
    </w:p>
    <w:p>
      <w:pPr>
        <w:spacing w:before="60" w:after="120"/>
        <w:jc w:val="both"/>
      </w:pPr>
      <w:r>
        <w:rPr>
          <w:rFonts w:ascii="Arial" w:cs="Arial" w:eastAsia="Arial" w:hAnsi="Arial"/>
          <w:b w:val="false"/>
          <w:bCs w:val="false"/>
          <w:i w:val="false"/>
          <w:iCs w:val="false"/>
          <w:color w:val="000000"/>
          <w:sz w:val="22"/>
          <w:szCs w:val="22"/>
        </w:rPr>
        <w:t xml:space="preserve">Traditional finance enforces promises through intermediaries. Each intermediary adds cost, delay, and the possibility of failure. ChronX removes every intermediary for the on-chain mechanics of a promise. A promise made on ChronX executes itself. The protocol is the contract, the bank, and the enforcement layer — simultaneously. What happens in the world off-chain remains subject to applicable law, as stated in Promise Axiom IV.</w:t>
      </w:r>
    </w:p>
    <w:p>
      <w:pPr>
        <w:pStyle w:val="Heading2"/>
        <w:spacing w:before="280" w:after="120"/>
      </w:pPr>
      <w:r>
        <w:rPr>
          <w:rFonts w:ascii="Arial" w:cs="Arial" w:eastAsia="Arial" w:hAnsi="Arial"/>
          <w:b/>
          <w:bCs/>
          <w:color w:val="000000"/>
          <w:sz w:val="28"/>
          <w:szCs w:val="28"/>
        </w:rPr>
        <w:t xml:space="preserve">2.2 The Time Horizon Problem</w:t>
      </w:r>
    </w:p>
    <w:p>
      <w:pPr>
        <w:spacing w:before="60" w:after="120"/>
        <w:jc w:val="both"/>
      </w:pPr>
      <w:r>
        <w:rPr>
          <w:rFonts w:ascii="Arial" w:cs="Arial" w:eastAsia="Arial" w:hAnsi="Arial"/>
          <w:b w:val="false"/>
          <w:bCs w:val="false"/>
          <w:i w:val="false"/>
          <w:iCs w:val="false"/>
          <w:color w:val="000000"/>
          <w:sz w:val="22"/>
          <w:szCs w:val="22"/>
        </w:rPr>
        <w:t xml:space="preserve">Most blockchain technology focuses on speed: transactions confirmed in seconds. ChronX solves the opposite problem: promises that must be honored over decades. No existing blockchain was designed to manage a payment scheduled one hundred years in the future, with the recipient's identity verified by a bonded human attestor if the original email address no longer exists.</w:t>
      </w:r>
    </w:p>
    <w:p>
      <w:r>
        <w:br w:type="page"/>
      </w:r>
    </w:p>
    <w:p>
      <w:pPr>
        <w:pStyle w:val="Heading1"/>
        <w:spacing w:before="400" w:after="120"/>
      </w:pPr>
      <w:r>
        <w:rPr>
          <w:rFonts w:ascii="Arial" w:cs="Arial" w:eastAsia="Arial" w:hAnsi="Arial"/>
          <w:b/>
          <w:bCs/>
          <w:color w:val="C9A84C"/>
          <w:sz w:val="36"/>
          <w:szCs w:val="36"/>
        </w:rPr>
        <w:t xml:space="preserve">3. The KX Token: A Utility, Not an Investment</w:t>
      </w:r>
    </w:p>
    <w:p>
      <w:pPr>
        <w:spacing w:before="60" w:after="120"/>
        <w:jc w:val="both"/>
      </w:pPr>
      <w:r>
        <w:rPr>
          <w:rFonts w:ascii="Arial" w:cs="Arial" w:eastAsia="Arial" w:hAnsi="Arial"/>
          <w:b w:val="false"/>
          <w:bCs w:val="false"/>
          <w:i w:val="false"/>
          <w:iCs w:val="false"/>
          <w:color w:val="000000"/>
          <w:sz w:val="22"/>
          <w:szCs w:val="22"/>
        </w:rPr>
        <w:t xml:space="preserve">KX is the transport mechanism of the ChronX protocol. It is the fuel that moves value through time — not a speculative asset.</w:t>
      </w:r>
    </w:p>
    <w:p>
      <w:pPr>
        <w:pStyle w:val="Heading2"/>
        <w:spacing w:before="280" w:after="120"/>
      </w:pPr>
      <w:r>
        <w:rPr>
          <w:rFonts w:ascii="Arial" w:cs="Arial" w:eastAsia="Arial" w:hAnsi="Arial"/>
          <w:b/>
          <w:bCs/>
          <w:color w:val="000000"/>
          <w:sz w:val="28"/>
          <w:szCs w:val="28"/>
        </w:rPr>
        <w:t xml:space="preserve">3.1 What KX Does</w:t>
      </w:r>
    </w:p>
    <w:p>
      <w:pPr>
        <w:pStyle w:val="ListParagraph"/>
        <w:numPr>
          <w:ilvl w:val="0"/>
          <w:numId w:val="2"/>
        </w:numPr>
        <w:spacing w:before="40" w:after="40"/>
      </w:pPr>
      <w:r>
        <w:rPr>
          <w:rFonts w:ascii="Arial" w:cs="Arial" w:eastAsia="Arial" w:hAnsi="Arial"/>
          <w:b/>
          <w:bCs/>
          <w:sz w:val="22"/>
          <w:szCs w:val="22"/>
        </w:rPr>
        <w:t xml:space="preserve">Transport</w:t>
      </w:r>
      <w:r>
        <w:rPr>
          <w:rFonts w:ascii="Arial" w:cs="Arial" w:eastAsia="Arial" w:hAnsi="Arial"/>
          <w:sz w:val="22"/>
          <w:szCs w:val="22"/>
        </w:rPr>
        <w:t xml:space="preserve">: KX carries value from sender to recipient across time.</w:t>
      </w:r>
    </w:p>
    <w:p>
      <w:pPr>
        <w:pStyle w:val="ListParagraph"/>
        <w:numPr>
          <w:ilvl w:val="0"/>
          <w:numId w:val="2"/>
        </w:numPr>
        <w:spacing w:before="40" w:after="40"/>
      </w:pPr>
      <w:r>
        <w:rPr>
          <w:rFonts w:ascii="Arial" w:cs="Arial" w:eastAsia="Arial" w:hAnsi="Arial"/>
          <w:b/>
          <w:bCs/>
          <w:sz w:val="22"/>
          <w:szCs w:val="22"/>
        </w:rPr>
        <w:t xml:space="preserve">Settlement</w:t>
      </w:r>
      <w:r>
        <w:rPr>
          <w:rFonts w:ascii="Arial" w:cs="Arial" w:eastAsia="Arial" w:hAnsi="Arial"/>
          <w:sz w:val="22"/>
          <w:szCs w:val="22"/>
        </w:rPr>
        <w:t xml:space="preserve">: All ChronX promises are settled in KX.</w:t>
      </w:r>
    </w:p>
    <w:p>
      <w:pPr>
        <w:pStyle w:val="ListParagraph"/>
        <w:numPr>
          <w:ilvl w:val="0"/>
          <w:numId w:val="2"/>
        </w:numPr>
        <w:spacing w:before="40" w:after="40"/>
      </w:pPr>
      <w:r>
        <w:rPr>
          <w:rFonts w:ascii="Arial" w:cs="Arial" w:eastAsia="Arial" w:hAnsi="Arial"/>
          <w:b/>
          <w:bCs/>
          <w:sz w:val="22"/>
          <w:szCs w:val="22"/>
        </w:rPr>
        <w:t xml:space="preserve">Governance</w:t>
      </w:r>
      <w:r>
        <w:rPr>
          <w:rFonts w:ascii="Arial" w:cs="Arial" w:eastAsia="Arial" w:hAnsi="Arial"/>
          <w:sz w:val="22"/>
          <w:szCs w:val="22"/>
        </w:rPr>
        <w:t xml:space="preserve">: KX is used to pay for protocol services including MISAI mandates and Verifas attestations.</w:t>
      </w:r>
    </w:p>
    <w:p>
      <w:pPr>
        <w:pStyle w:val="Heading2"/>
        <w:spacing w:before="280" w:after="120"/>
      </w:pPr>
      <w:r>
        <w:rPr>
          <w:rFonts w:ascii="Arial" w:cs="Arial" w:eastAsia="Arial" w:hAnsi="Arial"/>
          <w:b/>
          <w:bCs/>
          <w:color w:val="000000"/>
          <w:sz w:val="28"/>
          <w:szCs w:val="28"/>
        </w:rPr>
        <w:t xml:space="preserve">3.2 PAY_AS: The Universal Denomination System</w:t>
      </w:r>
    </w:p>
    <w:p>
      <w:pPr>
        <w:spacing w:before="60" w:after="120"/>
        <w:jc w:val="both"/>
      </w:pPr>
      <w:r>
        <w:rPr>
          <w:rFonts w:ascii="Arial" w:cs="Arial" w:eastAsia="Arial" w:hAnsi="Arial"/>
          <w:b w:val="false"/>
          <w:bCs w:val="false"/>
          <w:i w:val="false"/>
          <w:iCs w:val="false"/>
          <w:color w:val="000000"/>
          <w:sz w:val="22"/>
          <w:szCs w:val="22"/>
        </w:rPr>
        <w:t xml:space="preserve">PAY_AS is ChronX's denomination primitive — an open field that records the currency intent of any promise or loan at creation time. PAY_AS accepts any currency code. Which codes are valid, and what oracle prices them, is determined entirely by Foundation governance — not by the protocol itself.</w:t>
      </w:r>
    </w:p>
    <w:p>
      <w:pPr>
        <w:spacing w:before="60" w:after="120"/>
        <w:jc w:val="both"/>
      </w:pPr>
      <w:r>
        <w:rPr>
          <w:rFonts w:ascii="Arial" w:cs="Arial" w:eastAsia="Arial" w:hAnsi="Arial"/>
          <w:b w:val="false"/>
          <w:bCs w:val="false"/>
          <w:i w:val="false"/>
          <w:iCs w:val="false"/>
          <w:color w:val="000000"/>
          <w:sz w:val="22"/>
          <w:szCs w:val="22"/>
        </w:rPr>
        <w:t xml:space="preserve">This design is intentional and profound. ChronX is a 100-year protocol. Nobody knows what money looks like in 2126. The USD may not exist. The currencies dominant today may have been superseded, deprecated, or replaced. PAY_AS does not assume anything about the future of any specific currency. It records the grantor's intent — "denominate this in the value store the world recognizes at that time" — and defers the question of what that value store is to the governance layer that will exist when the promise matures.</w:t>
      </w:r>
    </w:p>
    <w:p>
      <w:pPr>
        <w:pBdr>
          <w:left w:val="single" w:color="C9A84C" w:sz="6" w:space="10"/>
        </w:pBdr>
        <w:spacing w:before="160" w:after="160"/>
        <w:ind w:left="720" w:right="720"/>
      </w:pPr>
      <w:r>
        <w:rPr>
          <w:rFonts w:ascii="Arial" w:cs="Arial" w:eastAsia="Arial" w:hAnsi="Arial"/>
          <w:i/>
          <w:iCs/>
          <w:color w:val="2E3A5C"/>
          <w:sz w:val="22"/>
          <w:szCs w:val="22"/>
        </w:rPr>
        <w:t xml:space="preserve">"A promise denominated in any currency is still a promise. What that currency means at maturity is a question for governance — not for the protocol."</w:t>
      </w:r>
    </w:p>
    <w:p>
      <w:pPr>
        <w:spacing w:before="60" w:after="120"/>
        <w:jc w:val="both"/>
      </w:pPr>
      <w:r>
        <w:rPr>
          <w:rFonts w:ascii="Arial" w:cs="Arial" w:eastAsia="Arial" w:hAnsi="Arial"/>
          <w:b w:val="false"/>
          <w:bCs w:val="false"/>
          <w:i w:val="false"/>
          <w:iCs w:val="false"/>
          <w:color w:val="000000"/>
          <w:sz w:val="22"/>
          <w:szCs w:val="22"/>
        </w:rPr>
        <w:t xml:space="preserve">How PAY_AS works:</w:t>
      </w:r>
    </w:p>
    <w:p>
      <w:pPr>
        <w:pStyle w:val="ListParagraph"/>
        <w:numPr>
          <w:ilvl w:val="0"/>
          <w:numId w:val="2"/>
        </w:numPr>
        <w:spacing w:before="40" w:after="40"/>
      </w:pPr>
      <w:r>
        <w:rPr>
          <w:rFonts w:ascii="Arial" w:cs="Arial" w:eastAsia="Arial" w:hAnsi="Arial"/>
          <w:sz w:val="22"/>
          <w:szCs w:val="22"/>
        </w:rPr>
        <w:t xml:space="preserve">At creation, the grantor specifies a currency code and a timing preference (at creation or at maturity).</w:t>
      </w:r>
    </w:p>
    <w:p>
      <w:pPr>
        <w:pStyle w:val="ListParagraph"/>
        <w:numPr>
          <w:ilvl w:val="0"/>
          <w:numId w:val="2"/>
        </w:numPr>
        <w:spacing w:before="40" w:after="40"/>
      </w:pPr>
      <w:r>
        <w:rPr>
          <w:rFonts w:ascii="Arial" w:cs="Arial" w:eastAsia="Arial" w:hAnsi="Arial"/>
          <w:sz w:val="22"/>
          <w:szCs w:val="22"/>
        </w:rPr>
        <w:t xml:space="preserve">The currency code is recorded immutably on the DAG. The protocol does not validate or restrict it.</w:t>
      </w:r>
    </w:p>
    <w:p>
      <w:pPr>
        <w:pStyle w:val="ListParagraph"/>
        <w:numPr>
          <w:ilvl w:val="0"/>
          <w:numId w:val="2"/>
        </w:numPr>
        <w:spacing w:before="40" w:after="40"/>
      </w:pPr>
      <w:r>
        <w:rPr>
          <w:rFonts w:ascii="Arial" w:cs="Arial" w:eastAsia="Arial" w:hAnsi="Arial"/>
          <w:sz w:val="22"/>
          <w:szCs w:val="22"/>
        </w:rPr>
        <w:t xml:space="preserve">At maturity, MISAI queries the governance oracle list for the current price of that currency code in KX.</w:t>
      </w:r>
    </w:p>
    <w:p>
      <w:pPr>
        <w:pStyle w:val="ListParagraph"/>
        <w:numPr>
          <w:ilvl w:val="0"/>
          <w:numId w:val="2"/>
        </w:numPr>
        <w:spacing w:before="40" w:after="40"/>
      </w:pPr>
      <w:r>
        <w:rPr>
          <w:rFonts w:ascii="Arial" w:cs="Arial" w:eastAsia="Arial" w:hAnsi="Arial"/>
          <w:sz w:val="22"/>
          <w:szCs w:val="22"/>
        </w:rPr>
        <w:t xml:space="preserve">If the currency code is active: MISAI calculates the KX equivalent and settles.</w:t>
      </w:r>
    </w:p>
    <w:p>
      <w:pPr>
        <w:pStyle w:val="ListParagraph"/>
        <w:numPr>
          <w:ilvl w:val="0"/>
          <w:numId w:val="2"/>
        </w:numPr>
        <w:spacing w:before="40" w:after="40"/>
      </w:pPr>
      <w:r>
        <w:rPr>
          <w:rFonts w:ascii="Arial" w:cs="Arial" w:eastAsia="Arial" w:hAnsi="Arial"/>
          <w:sz w:val="22"/>
          <w:szCs w:val="22"/>
        </w:rPr>
        <w:t xml:space="preserve">If the currency code has been deprecated by governance: the oracle list contains a successor mapping and a conversion rate, approved by Foundation vote. MISAI follows the mapping.</w:t>
      </w:r>
    </w:p>
    <w:p>
      <w:pPr>
        <w:pStyle w:val="ListParagraph"/>
        <w:numPr>
          <w:ilvl w:val="0"/>
          <w:numId w:val="2"/>
        </w:numPr>
        <w:spacing w:before="40" w:after="40"/>
      </w:pPr>
      <w:r>
        <w:rPr>
          <w:rFonts w:ascii="Arial" w:cs="Arial" w:eastAsia="Arial" w:hAnsi="Arial"/>
          <w:sz w:val="22"/>
          <w:szCs w:val="22"/>
        </w:rPr>
        <w:t xml:space="preserve">If no successor mapping exists: both parties are notified and may agree on a settlement amount manually.</w:t>
      </w:r>
    </w:p>
    <w:p>
      <w:pPr>
        <w:spacing w:before="60" w:after="120"/>
        <w:jc w:val="both"/>
      </w:pPr>
      <w:r>
        <w:rPr>
          <w:rFonts w:ascii="Arial" w:cs="Arial" w:eastAsia="Arial" w:hAnsi="Arial"/>
          <w:b w:val="false"/>
          <w:bCs w:val="false"/>
          <w:i w:val="false"/>
          <w:iCs w:val="false"/>
          <w:color w:val="000000"/>
          <w:sz w:val="22"/>
          <w:szCs w:val="22"/>
        </w:rPr>
        <w:t xml:space="preserve">This architecture means a promise denominated in any currency today will find its way to settlement in whatever medium of exchange governance recognizes at maturity — even if that medium does not yet exist.</w:t>
      </w:r>
    </w:p>
    <w:p>
      <w:pPr>
        <w:pStyle w:val="Heading2"/>
        <w:spacing w:before="280" w:after="120"/>
      </w:pPr>
      <w:r>
        <w:rPr>
          <w:rFonts w:ascii="Arial" w:cs="Arial" w:eastAsia="Arial" w:hAnsi="Arial"/>
          <w:b/>
          <w:bCs/>
          <w:color w:val="000000"/>
          <w:sz w:val="28"/>
          <w:szCs w:val="28"/>
        </w:rPr>
        <w:t xml:space="preserve">3.3 Governance and the Oracle List</w:t>
      </w:r>
    </w:p>
    <w:p>
      <w:pPr>
        <w:spacing w:before="60" w:after="120"/>
        <w:jc w:val="both"/>
      </w:pPr>
      <w:r>
        <w:rPr>
          <w:rFonts w:ascii="Arial" w:cs="Arial" w:eastAsia="Arial" w:hAnsi="Arial"/>
          <w:b w:val="false"/>
          <w:bCs w:val="false"/>
          <w:i w:val="false"/>
          <w:iCs w:val="false"/>
          <w:color w:val="000000"/>
          <w:sz w:val="22"/>
          <w:szCs w:val="22"/>
        </w:rPr>
        <w:t xml:space="preserve">The Foundation governance maintains an approved oracle list: a mapping of currency codes to price sources, updated by governance vote. Adding a new currency requires only a governance vote and a node upgrade — no protocol change, no new genesis. Deprecating a currency requires a governance vote specifying a successor mapping or a manual settlement path.</w:t>
      </w:r>
    </w:p>
    <w:p>
      <w:pPr>
        <w:spacing w:before="60" w:after="120"/>
        <w:jc w:val="both"/>
      </w:pPr>
      <w:r>
        <w:rPr>
          <w:rFonts w:ascii="Arial" w:cs="Arial" w:eastAsia="Arial" w:hAnsi="Arial"/>
          <w:b w:val="false"/>
          <w:bCs w:val="false"/>
          <w:i w:val="false"/>
          <w:iCs w:val="false"/>
          <w:color w:val="000000"/>
          <w:sz w:val="22"/>
          <w:szCs w:val="22"/>
        </w:rPr>
        <w:t xml:space="preserve">The minimum loan size — the floor below which a TYPE D Debt Instrument will not be accepted by nodes — is also a governance parameter. It is set and adjusted by Foundation vote, with nodes enforcing the current value. No amount is hardcoded at the protocol level.</w:t>
      </w:r>
    </w:p>
    <w:p>
      <w:pPr>
        <w:pStyle w:val="Heading2"/>
        <w:spacing w:before="280" w:after="120"/>
      </w:pPr>
      <w:r>
        <w:rPr>
          <w:rFonts w:ascii="Arial" w:cs="Arial" w:eastAsia="Arial" w:hAnsi="Arial"/>
          <w:b/>
          <w:bCs/>
          <w:color w:val="000000"/>
          <w:sz w:val="28"/>
          <w:szCs w:val="28"/>
        </w:rPr>
        <w:t xml:space="preserve">3.4 Regulatory Considerations</w:t>
      </w:r>
    </w:p>
    <w:p>
      <w:pPr>
        <w:spacing w:before="60" w:after="120"/>
        <w:jc w:val="both"/>
      </w:pPr>
      <w:r>
        <w:rPr>
          <w:rFonts w:ascii="Arial" w:cs="Arial" w:eastAsia="Arial" w:hAnsi="Arial"/>
          <w:b w:val="false"/>
          <w:bCs w:val="false"/>
          <w:i w:val="false"/>
          <w:iCs w:val="false"/>
          <w:color w:val="000000"/>
          <w:sz w:val="22"/>
          <w:szCs w:val="22"/>
        </w:rPr>
        <w:t xml:space="preserve">ChronX has been designed to function as a utility token. The PAY_AS denomination system is the clearest expression of this design: when obligations are denominated in any external currency and KX is used only as the transport mechanism, users are indifferent to the KX price for those transactions. ChronX does not provide legal or regulatory advice. Participants are responsible for compliance with the laws of their jurisdictions. The ICO is structured to limit primary participation to accredited investors, with broader access limited to a small amount via XChan, reflecting a considered approach to regulatory risk management.</w:t>
      </w:r>
    </w:p>
    <w:p>
      <w:r>
        <w:br w:type="page"/>
      </w:r>
    </w:p>
    <w:p>
      <w:pPr>
        <w:pStyle w:val="Heading1"/>
        <w:spacing w:before="400" w:after="120"/>
      </w:pPr>
      <w:r>
        <w:rPr>
          <w:rFonts w:ascii="Arial" w:cs="Arial" w:eastAsia="Arial" w:hAnsi="Arial"/>
          <w:b/>
          <w:bCs/>
          <w:color w:val="C9A84C"/>
          <w:sz w:val="36"/>
          <w:szCs w:val="36"/>
        </w:rPr>
        <w:t xml:space="preserve">4. Protocol Payment Types</w:t>
      </w:r>
    </w:p>
    <w:p>
      <w:pPr>
        <w:spacing w:before="60" w:after="120"/>
        <w:jc w:val="both"/>
      </w:pPr>
      <w:r>
        <w:rPr>
          <w:rFonts w:ascii="Arial" w:cs="Arial" w:eastAsia="Arial" w:hAnsi="Arial"/>
          <w:b w:val="false"/>
          <w:bCs w:val="false"/>
          <w:i w:val="false"/>
          <w:iCs w:val="false"/>
          <w:color w:val="000000"/>
          <w:sz w:val="22"/>
          <w:szCs w:val="22"/>
        </w:rPr>
        <w:t xml:space="preserve">ChronX supports ten payment types covering every category of financial obligation. Detailed real-world use cases are in Exhibit A. Plain-English explanations are in Exhibit 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624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Transfer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Immediate KX transfer. Zero fees. Instant settlement.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Invoice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Recipient-gated payment request.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Credit Authorization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Pre-authorized variable draws up to a ceiling. Ideal for subscriptions.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Interest Bearing Deposit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Principal plus fixed interest obligation at maturity.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V</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Conditional Validity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M-of-N attestor-released payment. Funds release only when conditions are verified.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Ledger Entry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Bonded agent identity verification and promise chain anchoring.</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Wallet Group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Multi-wallet group creation and management for coordinated payments.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Payment Request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On-chain payment request with deep link support.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Lock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AI-managed investment and loan mandate. MISAI executor withdraws investable tranche, manages it, and delivers proceeds at maturity.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Debt Instrument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 loan with full payment schedule, PAY_AS denomination, and MISAI servicing.</w:t>
            </w:r>
          </w:p>
        </w:tc>
      </w:tr>
    </w:tbl>
    <w:p>
      <w:r>
        <w:br w:type="page"/>
      </w:r>
    </w:p>
    <w:p>
      <w:pPr>
        <w:pStyle w:val="Heading1"/>
        <w:spacing w:before="400" w:after="120"/>
      </w:pPr>
      <w:r>
        <w:rPr>
          <w:rFonts w:ascii="Arial" w:cs="Arial" w:eastAsia="Arial" w:hAnsi="Arial"/>
          <w:b/>
          <w:bCs/>
          <w:color w:val="C9A84C"/>
          <w:sz w:val="36"/>
          <w:szCs w:val="36"/>
        </w:rPr>
        <w:t xml:space="preserve">5. ChronX as Credit Infrastructure</w:t>
      </w:r>
    </w:p>
    <w:p>
      <w:pPr>
        <w:spacing w:before="60" w:after="120"/>
        <w:jc w:val="both"/>
      </w:pPr>
      <w:r>
        <w:rPr>
          <w:rFonts w:ascii="Arial" w:cs="Arial" w:eastAsia="Arial" w:hAnsi="Arial"/>
          <w:b w:val="false"/>
          <w:bCs w:val="false"/>
          <w:i w:val="false"/>
          <w:iCs w:val="false"/>
          <w:color w:val="000000"/>
          <w:sz w:val="22"/>
          <w:szCs w:val="22"/>
        </w:rPr>
        <w:t xml:space="preserve">ChronX is not a lending protocol. It does not create credit. What ChronX provides is the enforcement infrastructure for any credit agreement that humans choose to make.</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create credit. ChronX makes the repayment of credit inevitable — on-chain."</w:t>
      </w:r>
    </w:p>
    <w:p>
      <w:pPr>
        <w:pStyle w:val="Heading2"/>
        <w:spacing w:before="280" w:after="120"/>
      </w:pPr>
      <w:r>
        <w:rPr>
          <w:rFonts w:ascii="Arial" w:cs="Arial" w:eastAsia="Arial" w:hAnsi="Arial"/>
          <w:b/>
          <w:bCs/>
          <w:color w:val="000000"/>
          <w:sz w:val="28"/>
          <w:szCs w:val="28"/>
        </w:rPr>
        <w:t xml:space="preserve">5.1 How a Loan Works on ChronX</w:t>
      </w:r>
    </w:p>
    <w:p>
      <w:pPr>
        <w:pStyle w:val="ListParagraph"/>
        <w:numPr>
          <w:ilvl w:val="0"/>
          <w:numId w:val="2"/>
        </w:numPr>
        <w:spacing w:before="40" w:after="40"/>
      </w:pPr>
      <w:r>
        <w:rPr>
          <w:rFonts w:ascii="Arial" w:cs="Arial" w:eastAsia="Arial" w:hAnsi="Arial"/>
          <w:sz w:val="22"/>
          <w:szCs w:val="22"/>
        </w:rPr>
        <w:t xml:space="preserve">Lender sends KX to borrower (TYPE T transfer).</w:t>
      </w:r>
    </w:p>
    <w:p>
      <w:pPr>
        <w:pStyle w:val="ListParagraph"/>
        <w:numPr>
          <w:ilvl w:val="0"/>
          <w:numId w:val="2"/>
        </w:numPr>
        <w:spacing w:before="40" w:after="40"/>
      </w:pPr>
      <w:r>
        <w:rPr>
          <w:rFonts w:ascii="Arial" w:cs="Arial" w:eastAsia="Arial" w:hAnsi="Arial"/>
          <w:sz w:val="22"/>
          <w:szCs w:val="22"/>
        </w:rPr>
        <w:t xml:space="preserve">Both parties create a TYPE D Debt Instrument encoding the full repayment schedule.</w:t>
      </w:r>
    </w:p>
    <w:p>
      <w:pPr>
        <w:pStyle w:val="ListParagraph"/>
        <w:numPr>
          <w:ilvl w:val="0"/>
          <w:numId w:val="2"/>
        </w:numPr>
        <w:spacing w:before="40" w:after="40"/>
      </w:pPr>
      <w:r>
        <w:rPr>
          <w:rFonts w:ascii="Arial" w:cs="Arial" w:eastAsia="Arial" w:hAnsi="Arial"/>
          <w:sz w:val="22"/>
          <w:szCs w:val="22"/>
        </w:rPr>
        <w:t xml:space="preserve">MISAI monitors the schedule automatically.</w:t>
      </w:r>
    </w:p>
    <w:p>
      <w:pPr>
        <w:pStyle w:val="ListParagraph"/>
        <w:numPr>
          <w:ilvl w:val="0"/>
          <w:numId w:val="2"/>
        </w:numPr>
        <w:spacing w:before="40" w:after="40"/>
      </w:pPr>
      <w:r>
        <w:rPr>
          <w:rFonts w:ascii="Arial" w:cs="Arial" w:eastAsia="Arial" w:hAnsi="Arial"/>
          <w:sz w:val="22"/>
          <w:szCs w:val="22"/>
        </w:rPr>
        <w:t xml:space="preserve">Payment received: MISAI marks it complete. Record is permanent.</w:t>
      </w:r>
    </w:p>
    <w:p>
      <w:pPr>
        <w:pStyle w:val="ListParagraph"/>
        <w:numPr>
          <w:ilvl w:val="0"/>
          <w:numId w:val="2"/>
        </w:numPr>
        <w:spacing w:before="40" w:after="40"/>
      </w:pPr>
      <w:r>
        <w:rPr>
          <w:rFonts w:ascii="Arial" w:cs="Arial" w:eastAsia="Arial" w:hAnsi="Arial"/>
          <w:sz w:val="22"/>
          <w:szCs w:val="22"/>
        </w:rPr>
        <w:t xml:space="preserve">Payment missed beyond grace period: MISAI sends one notice to each party, publishes a DefaultRecord, and exits. Both parties may consult legal counsel.</w:t>
      </w:r>
    </w:p>
    <w:p>
      <w:pPr>
        <w:spacing w:before="60" w:after="120"/>
        <w:jc w:val="both"/>
      </w:pPr>
      <w:r>
        <w:rPr>
          <w:rFonts w:ascii="Arial" w:cs="Arial" w:eastAsia="Arial" w:hAnsi="Arial"/>
          <w:b w:val="false"/>
          <w:bCs w:val="false"/>
          <w:i w:val="false"/>
          <w:iCs w:val="false"/>
          <w:color w:val="000000"/>
          <w:sz w:val="22"/>
          <w:szCs w:val="22"/>
        </w:rPr>
        <w:t xml:space="preserve">ChronX makes no promises it cannot keep. It keeps every on-chain promise it makes.</w:t>
      </w:r>
    </w:p>
    <w:p>
      <w:pPr>
        <w:pStyle w:val="Heading2"/>
        <w:spacing w:before="280" w:after="120"/>
      </w:pPr>
      <w:r>
        <w:rPr>
          <w:rFonts w:ascii="Arial" w:cs="Arial" w:eastAsia="Arial" w:hAnsi="Arial"/>
          <w:b/>
          <w:bCs/>
          <w:color w:val="000000"/>
          <w:sz w:val="28"/>
          <w:szCs w:val="28"/>
        </w:rPr>
        <w:t xml:space="preserve">5.2 Payment Schedule Flexibility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Bullet Loan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principal and interest due at maturity.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Interest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 interest with full principal due at maturity.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Amortizing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Equal periodic payments covering principal and interest.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Custom Schedule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combination of dates and amounts. Grace periods, balloon payments.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High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Payments every hour, minute, or second. For AI agent settlement.</w:t>
            </w:r>
          </w:p>
        </w:tc>
      </w:tr>
    </w:tbl>
    <w:p>
      <w:r>
        <w:t xml:space="preserve"/>
      </w:r>
    </w:p>
    <w:p>
      <w:pPr>
        <w:pStyle w:val="Heading2"/>
        <w:spacing w:before="280" w:after="120"/>
      </w:pPr>
      <w:r>
        <w:rPr>
          <w:rFonts w:ascii="Arial" w:cs="Arial" w:eastAsia="Arial" w:hAnsi="Arial"/>
          <w:b/>
          <w:bCs/>
          <w:color w:val="000000"/>
          <w:sz w:val="28"/>
          <w:szCs w:val="28"/>
        </w:rPr>
        <w:t xml:space="preserve">5.3 DefaultRecord and the LenderMemo System</w:t>
      </w:r>
    </w:p>
    <w:p>
      <w:pPr>
        <w:spacing w:before="60" w:after="120"/>
        <w:jc w:val="both"/>
      </w:pPr>
      <w:r>
        <w:rPr>
          <w:rFonts w:ascii="Arial" w:cs="Arial" w:eastAsia="Arial" w:hAnsi="Arial"/>
          <w:b w:val="false"/>
          <w:bCs w:val="false"/>
          <w:i w:val="false"/>
          <w:iCs w:val="false"/>
          <w:color w:val="000000"/>
          <w:sz w:val="22"/>
          <w:szCs w:val="22"/>
        </w:rPr>
        <w:t xml:space="preserve">When a loan defaults, MISAI publishes a DefaultRecord to the DAG — a permanent, publicly visible record of the date, amounts, and outstanding balance. Like all blockchain data, this record is immutable. ChronX does not delete or modify data, any more than any public ledger deletes a transaction.</w:t>
      </w:r>
    </w:p>
    <w:p>
      <w:pPr>
        <w:spacing w:before="60" w:after="120"/>
        <w:jc w:val="both"/>
      </w:pPr>
      <w:r>
        <w:rPr>
          <w:rFonts w:ascii="Arial" w:cs="Arial" w:eastAsia="Arial" w:hAnsi="Arial"/>
          <w:b w:val="false"/>
          <w:bCs w:val="false"/>
          <w:i w:val="false"/>
          <w:iCs w:val="false"/>
          <w:color w:val="000000"/>
          <w:sz w:val="22"/>
          <w:szCs w:val="22"/>
        </w:rPr>
        <w:t xml:space="preserve">ChronX recognizes that the story of a loan rarely ends at default. To support the full lifecycle — including court-ordered resolutions, negotiated settlements, and debt rehabilitation — ChronX provides the LenderMemo system: a signed, on-chain annotation that the original lender may attach to any DefaultRecord.</w:t>
      </w:r>
    </w:p>
    <w:p>
      <w:pPr>
        <w:spacing w:before="60" w:after="120"/>
        <w:jc w:val="both"/>
      </w:pPr>
      <w:r>
        <w:rPr>
          <w:rFonts w:ascii="Arial" w:cs="Arial" w:eastAsia="Arial" w:hAnsi="Arial"/>
          <w:b w:val="false"/>
          <w:bCs w:val="false"/>
          <w:i w:val="false"/>
          <w:iCs w:val="false"/>
          <w:color w:val="000000"/>
          <w:sz w:val="22"/>
          <w:szCs w:val="22"/>
        </w:rPr>
        <w:t xml:space="preserve">A LenderMemo is one annotation per DefaultRecord, signed by the original lender wallet. It adds a permanent second chapter to the same story — a court order, a negotiated settlement, a rehabilitation record. The DefaultRecord is never removed. The full annotated history is always visible. Nothing is hidden; nothing is erased; and nothing goes unacknowledged.</w:t>
      </w:r>
    </w:p>
    <w:p>
      <w:pPr>
        <w:spacing w:before="60" w:after="120"/>
        <w:jc w:val="both"/>
      </w:pPr>
      <w:r>
        <w:rPr>
          <w:rFonts w:ascii="Arial" w:cs="Arial" w:eastAsia="Arial" w:hAnsi="Arial"/>
          <w:b w:val="false"/>
          <w:bCs w:val="false"/>
          <w:i w:val="false"/>
          <w:iCs w:val="false"/>
          <w:color w:val="000000"/>
          <w:sz w:val="22"/>
          <w:szCs w:val="22"/>
        </w:rPr>
        <w:t xml:space="preserve">This architecture is the correct response to right-to-be-forgotten concerns: ChronX is a public ledger, not a data controller. The appropriate response to a court order regarding an on-chain default record is annotation, not deletion. LenderMemo is that annotation layer.</w:t>
      </w:r>
    </w:p>
    <w:p>
      <w:pPr>
        <w:pStyle w:val="Heading2"/>
        <w:spacing w:before="280" w:after="120"/>
      </w:pPr>
      <w:r>
        <w:rPr>
          <w:rFonts w:ascii="Arial" w:cs="Arial" w:eastAsia="Arial" w:hAnsi="Arial"/>
          <w:b/>
          <w:bCs/>
          <w:color w:val="000000"/>
          <w:sz w:val="28"/>
          <w:szCs w:val="28"/>
        </w:rPr>
        <w:t xml:space="preserve">5.4 Reinstatement, Write-Off, and Early Payoff</w:t>
      </w:r>
    </w:p>
    <w:p>
      <w:pPr>
        <w:spacing w:before="60" w:after="120"/>
        <w:jc w:val="both"/>
      </w:pPr>
      <w:r>
        <w:rPr>
          <w:rFonts w:ascii="Arial" w:cs="Arial" w:eastAsia="Arial" w:hAnsi="Arial"/>
          <w:b w:val="false"/>
          <w:bCs w:val="false"/>
          <w:i w:val="false"/>
          <w:iCs w:val="false"/>
          <w:color w:val="000000"/>
          <w:sz w:val="22"/>
          <w:szCs w:val="22"/>
        </w:rPr>
        <w:t xml:space="preserve">A defaulted loan may be reinstated at any time if both parties agree — no time limit. Courts may order reinstatement years after the original default; both parties sign a LoanReinstatement transaction and MISAI resumes monitoring. A lender may unilaterally write off a defaulted loan; the LoanWriteOff record provides cryptographically signed documentation suitable for tax filings. Early payoff terms are encoded at loan creation.</w:t>
      </w:r>
    </w:p>
    <w:p>
      <w:pPr>
        <w:pStyle w:val="Heading2"/>
        <w:spacing w:before="280" w:after="120"/>
      </w:pPr>
      <w:r>
        <w:rPr>
          <w:rFonts w:ascii="Arial" w:cs="Arial" w:eastAsia="Arial" w:hAnsi="Arial"/>
          <w:b/>
          <w:bCs/>
          <w:color w:val="000000"/>
          <w:sz w:val="28"/>
          <w:szCs w:val="28"/>
        </w:rPr>
        <w:t xml:space="preserve">5.5 Late Fee Schedules</w:t>
      </w:r>
    </w:p>
    <w:p>
      <w:pPr>
        <w:spacing w:before="60" w:after="120"/>
        <w:jc w:val="both"/>
      </w:pPr>
      <w:r>
        <w:rPr>
          <w:rFonts w:ascii="Arial" w:cs="Arial" w:eastAsia="Arial" w:hAnsi="Arial"/>
          <w:b w:val="false"/>
          <w:bCs w:val="false"/>
          <w:i w:val="false"/>
          <w:iCs w:val="false"/>
          <w:color w:val="000000"/>
          <w:sz w:val="22"/>
          <w:szCs w:val="22"/>
        </w:rPr>
        <w:t xml:space="preserve">Late fees are encoded at loan creation: None; Flat Fee; or Tiered Escalating, freezing at default. No surprise fees.</w:t>
      </w:r>
    </w:p>
    <w:p>
      <w:r>
        <w:br w:type="page"/>
      </w:r>
    </w:p>
    <w:p>
      <w:pPr>
        <w:pStyle w:val="Heading1"/>
        <w:spacing w:before="400" w:after="120"/>
      </w:pPr>
      <w:r>
        <w:rPr>
          <w:rFonts w:ascii="Arial" w:cs="Arial" w:eastAsia="Arial" w:hAnsi="Arial"/>
          <w:b/>
          <w:bCs/>
          <w:color w:val="C9A84C"/>
          <w:sz w:val="36"/>
          <w:szCs w:val="36"/>
        </w:rPr>
        <w:t xml:space="preserve">6. Currency Risk and HedgeX</w:t>
      </w:r>
    </w:p>
    <w:p>
      <w:pPr>
        <w:pStyle w:val="Heading2"/>
        <w:spacing w:before="280" w:after="120"/>
      </w:pPr>
      <w:r>
        <w:rPr>
          <w:rFonts w:ascii="Arial" w:cs="Arial" w:eastAsia="Arial" w:hAnsi="Arial"/>
          <w:b/>
          <w:bCs/>
          <w:color w:val="000000"/>
          <w:sz w:val="28"/>
          <w:szCs w:val="28"/>
        </w:rPr>
        <w:t xml:space="preserve">6.1 The MISAI Oracle</w:t>
      </w:r>
    </w:p>
    <w:p>
      <w:pPr>
        <w:spacing w:before="60" w:after="120"/>
        <w:jc w:val="both"/>
      </w:pPr>
      <w:r>
        <w:rPr>
          <w:rFonts w:ascii="Arial" w:cs="Arial" w:eastAsia="Arial" w:hAnsi="Arial"/>
          <w:b w:val="false"/>
          <w:bCs w:val="false"/>
          <w:i w:val="false"/>
          <w:iCs w:val="false"/>
          <w:color w:val="000000"/>
          <w:sz w:val="22"/>
          <w:szCs w:val="22"/>
        </w:rPr>
        <w:t xml:space="preserve">MISAI maintains a real-time price oracle sourced from the protocol's liquidity infrastructure. A 7-day moving average, updated every six hours, provides manipulation-resistant price data for PAY_AS calculations and HedgeX settlements. The oracle supports any currency code approved by Foundation governance. If the oracle is unavailable at maturity, ChronX retries every six hours for three days before notifying both parties to agree on settlement terms.</w:t>
      </w:r>
    </w:p>
    <w:p>
      <w:pPr>
        <w:spacing w:before="60" w:after="120"/>
        <w:jc w:val="both"/>
      </w:pPr>
      <w:r>
        <w:rPr>
          <w:rFonts w:ascii="Arial" w:cs="Arial" w:eastAsia="Arial" w:hAnsi="Arial"/>
          <w:b w:val="false"/>
          <w:bCs w:val="false"/>
          <w:i w:val="false"/>
          <w:iCs w:val="false"/>
          <w:color w:val="000000"/>
          <w:sz w:val="22"/>
          <w:szCs w:val="22"/>
        </w:rPr>
        <w:t xml:space="preserve">Note: The reliability of PAY_AS calculations depends on adequate liquidity for the relevant trading pair. ChronX is committed to building and maintaining liquidity infrastructure as a protocol priority.</w:t>
      </w:r>
    </w:p>
    <w:p>
      <w:pPr>
        <w:pStyle w:val="Heading2"/>
        <w:spacing w:before="280" w:after="120"/>
      </w:pPr>
      <w:r>
        <w:rPr>
          <w:rFonts w:ascii="Arial" w:cs="Arial" w:eastAsia="Arial" w:hAnsi="Arial"/>
          <w:b/>
          <w:bCs/>
          <w:color w:val="000000"/>
          <w:sz w:val="28"/>
          <w:szCs w:val="28"/>
        </w:rPr>
        <w:t xml:space="preserve">6.2 HedgeX: The Peer-to-Peer Hedge Marketplace</w:t>
      </w:r>
    </w:p>
    <w:p>
      <w:pPr>
        <w:spacing w:before="60" w:after="120"/>
        <w:jc w:val="both"/>
      </w:pPr>
      <w:r>
        <w:rPr>
          <w:rFonts w:ascii="Arial" w:cs="Arial" w:eastAsia="Arial" w:hAnsi="Arial"/>
          <w:b w:val="false"/>
          <w:bCs w:val="false"/>
          <w:i w:val="false"/>
          <w:iCs w:val="false"/>
          <w:color w:val="000000"/>
          <w:sz w:val="22"/>
          <w:szCs w:val="22"/>
        </w:rPr>
        <w:t xml:space="preserve">HedgeX connects parties seeking currency risk protection with KX holders willing to provide it. ChronX does not issue, underwrite, guarantee, or take positions in any hedge contract. All contracts are directly between participants. HedgeX is backed by a 10,000,000 KX performance bond.</w:t>
      </w:r>
    </w:p>
    <w:p>
      <w:pPr>
        <w:pStyle w:val="ListParagraph"/>
        <w:numPr>
          <w:ilvl w:val="0"/>
          <w:numId w:val="2"/>
        </w:numPr>
        <w:spacing w:before="40" w:after="40"/>
      </w:pPr>
      <w:r>
        <w:rPr>
          <w:rFonts w:ascii="Arial" w:cs="Arial" w:eastAsia="Arial" w:hAnsi="Arial"/>
          <w:sz w:val="22"/>
          <w:szCs w:val="22"/>
        </w:rPr>
        <w:t xml:space="preserve">A party posts a hedge campaign specifying the coverage needed and the premium offered.</w:t>
      </w:r>
    </w:p>
    <w:p>
      <w:pPr>
        <w:pStyle w:val="ListParagraph"/>
        <w:numPr>
          <w:ilvl w:val="0"/>
          <w:numId w:val="2"/>
        </w:numPr>
        <w:spacing w:before="40" w:after="40"/>
      </w:pPr>
      <w:r>
        <w:rPr>
          <w:rFonts w:ascii="Arial" w:cs="Arial" w:eastAsia="Arial" w:hAnsi="Arial"/>
          <w:sz w:val="22"/>
          <w:szCs w:val="22"/>
        </w:rPr>
        <w:t xml:space="preserve">KX holders pledge any amount to fund the campaign.</w:t>
      </w:r>
    </w:p>
    <w:p>
      <w:pPr>
        <w:pStyle w:val="ListParagraph"/>
        <w:numPr>
          <w:ilvl w:val="0"/>
          <w:numId w:val="2"/>
        </w:numPr>
        <w:spacing w:before="40" w:after="40"/>
      </w:pPr>
      <w:r>
        <w:rPr>
          <w:rFonts w:ascii="Arial" w:cs="Arial" w:eastAsia="Arial" w:hAnsi="Arial"/>
          <w:sz w:val="22"/>
          <w:szCs w:val="22"/>
        </w:rPr>
        <w:t xml:space="preserve">Campaign reaches threshold: hedge funded, transaction proceeds.</w:t>
      </w:r>
    </w:p>
    <w:p>
      <w:pPr>
        <w:pStyle w:val="ListParagraph"/>
        <w:numPr>
          <w:ilvl w:val="0"/>
          <w:numId w:val="2"/>
        </w:numPr>
        <w:spacing w:before="40" w:after="40"/>
      </w:pPr>
      <w:r>
        <w:rPr>
          <w:rFonts w:ascii="Arial" w:cs="Arial" w:eastAsia="Arial" w:hAnsi="Arial"/>
          <w:sz w:val="22"/>
          <w:szCs w:val="22"/>
        </w:rPr>
        <w:t xml:space="preserve">Campaign fails threshold: all pledges returned automatically. No funds lost.</w:t>
      </w:r>
    </w:p>
    <w:p>
      <w:pPr>
        <w:pStyle w:val="ListParagraph"/>
        <w:numPr>
          <w:ilvl w:val="0"/>
          <w:numId w:val="2"/>
        </w:numPr>
        <w:spacing w:before="40" w:after="40"/>
      </w:pPr>
      <w:r>
        <w:rPr>
          <w:rFonts w:ascii="Arial" w:cs="Arial" w:eastAsia="Arial" w:hAnsi="Arial"/>
          <w:sz w:val="22"/>
          <w:szCs w:val="22"/>
        </w:rPr>
        <w:t xml:space="preserve">MISAI monitors the hedge and distributes premiums automatically on schedule.</w:t>
      </w:r>
    </w:p>
    <w:p>
      <w:pPr>
        <w:pBdr>
          <w:left w:val="single" w:color="C9A84C" w:sz="6" w:space="10"/>
        </w:pBdr>
        <w:spacing w:before="160" w:after="160"/>
        <w:ind w:left="720" w:right="720"/>
      </w:pPr>
      <w:r>
        <w:rPr>
          <w:rFonts w:ascii="Arial" w:cs="Arial" w:eastAsia="Arial" w:hAnsi="Arial"/>
          <w:i/>
          <w:iCs/>
          <w:color w:val="2E3A5C"/>
          <w:sz w:val="22"/>
          <w:szCs w:val="22"/>
        </w:rPr>
        <w:t xml:space="preserve">"For the first time in financial history, the tools of institutional currency risk management are available to every human with a wallet."</w:t>
      </w:r>
    </w:p>
    <w:p>
      <w:r>
        <w:br w:type="page"/>
      </w:r>
    </w:p>
    <w:p>
      <w:pPr>
        <w:pStyle w:val="Heading1"/>
        <w:spacing w:before="400" w:after="120"/>
      </w:pPr>
      <w:r>
        <w:rPr>
          <w:rFonts w:ascii="Arial" w:cs="Arial" w:eastAsia="Arial" w:hAnsi="Arial"/>
          <w:b/>
          <w:bCs/>
          <w:color w:val="C9A84C"/>
          <w:sz w:val="36"/>
          <w:szCs w:val="36"/>
        </w:rPr>
        <w:t xml:space="preserve">7. MISAI: The AI Executor Layer</w:t>
      </w:r>
    </w:p>
    <w:p>
      <w:pPr>
        <w:spacing w:before="60" w:after="120"/>
        <w:jc w:val="both"/>
      </w:pPr>
      <w:r>
        <w:rPr>
          <w:rFonts w:ascii="Arial" w:cs="Arial" w:eastAsia="Arial" w:hAnsi="Arial"/>
          <w:b w:val="false"/>
          <w:bCs w:val="false"/>
          <w:i w:val="false"/>
          <w:iCs w:val="false"/>
          <w:color w:val="000000"/>
          <w:sz w:val="22"/>
          <w:szCs w:val="22"/>
        </w:rPr>
        <w:t xml:space="preserve">MISAI is the artificial intelligence layer of the ChronX protocol — the first AI system purpose-built to manage long-horizon financial obligations on a blockchain. MISAI is backed by a 10,000,000 KX performance bond.</w:t>
      </w:r>
    </w:p>
    <w:p>
      <w:pPr>
        <w:pBdr>
          <w:left w:val="single" w:color="C9A84C" w:sz="6" w:space="10"/>
        </w:pBdr>
        <w:spacing w:before="160" w:after="160"/>
        <w:ind w:left="720" w:right="720"/>
      </w:pPr>
      <w:r>
        <w:rPr>
          <w:rFonts w:ascii="Arial" w:cs="Arial" w:eastAsia="Arial" w:hAnsi="Arial"/>
          <w:i/>
          <w:iCs/>
          <w:color w:val="2E3A5C"/>
          <w:sz w:val="22"/>
          <w:szCs w:val="22"/>
        </w:rPr>
        <w:t xml:space="preserve">"Axiom IV — Separation: The agent that decides does not hold funds. The agent that holds does not decide."</w:t>
      </w:r>
    </w:p>
    <w:p>
      <w:pPr>
        <w:spacing w:before="60" w:after="120"/>
        <w:jc w:val="both"/>
      </w:pPr>
      <w:r>
        <w:rPr>
          <w:rFonts w:ascii="Arial" w:cs="Arial" w:eastAsia="Arial" w:hAnsi="Arial"/>
          <w:b w:val="false"/>
          <w:bCs w:val="false"/>
          <w:i w:val="false"/>
          <w:iCs w:val="false"/>
          <w:color w:val="000000"/>
          <w:sz w:val="22"/>
          <w:szCs w:val="22"/>
        </w:rPr>
        <w:t xml:space="preserve">This axiom refers to the separation of the decision-making agent from the custody agent — not a statement that KX never moves. In a TYPE M (MISAI Lock), MISAI's executor wallet is authorized by the lock itself to withdraw the investable tranche, manage it according to the encoded mandate, and return the proceeds to the beneficiary at maturity. The KX moves — but always through protocol-authorized channels, always with a permanent public record of every action, and always under the governance of the six AI Agent Axioms.</w:t>
      </w:r>
    </w:p>
    <w:p>
      <w:pPr>
        <w:pStyle w:val="Heading2"/>
        <w:spacing w:before="280" w:after="120"/>
      </w:pPr>
      <w:r>
        <w:rPr>
          <w:rFonts w:ascii="Arial" w:cs="Arial" w:eastAsia="Arial" w:hAnsi="Arial"/>
          <w:b/>
          <w:bCs/>
          <w:color w:val="000000"/>
          <w:sz w:val="28"/>
          <w:szCs w:val="28"/>
        </w:rPr>
        <w:t xml:space="preserve">7.1 How a TYPE M Lock Works</w:t>
      </w:r>
    </w:p>
    <w:p>
      <w:pPr>
        <w:pStyle w:val="ListParagraph"/>
        <w:numPr>
          <w:ilvl w:val="0"/>
          <w:numId w:val="2"/>
        </w:numPr>
        <w:spacing w:before="40" w:after="40"/>
      </w:pPr>
      <w:r>
        <w:rPr>
          <w:rFonts w:ascii="Arial" w:cs="Arial" w:eastAsia="Arial" w:hAnsi="Arial"/>
          <w:sz w:val="22"/>
          <w:szCs w:val="22"/>
        </w:rPr>
        <w:t xml:space="preserve">Grantor creates a TYPE M lock specifying the investable fraction, management mandate, and beneficiary.</w:t>
      </w:r>
    </w:p>
    <w:p>
      <w:pPr>
        <w:pStyle w:val="ListParagraph"/>
        <w:numPr>
          <w:ilvl w:val="0"/>
          <w:numId w:val="2"/>
        </w:numPr>
        <w:spacing w:before="40" w:after="40"/>
      </w:pPr>
      <w:r>
        <w:rPr>
          <w:rFonts w:ascii="Arial" w:cs="Arial" w:eastAsia="Arial" w:hAnsi="Arial"/>
          <w:sz w:val="22"/>
          <w:szCs w:val="22"/>
        </w:rPr>
        <w:t xml:space="preserve">KX is locked on the DAG. It does not move at creation.</w:t>
      </w:r>
    </w:p>
    <w:p>
      <w:pPr>
        <w:pStyle w:val="ListParagraph"/>
        <w:numPr>
          <w:ilvl w:val="0"/>
          <w:numId w:val="2"/>
        </w:numPr>
        <w:spacing w:before="40" w:after="40"/>
      </w:pPr>
      <w:r>
        <w:rPr>
          <w:rFonts w:ascii="Arial" w:cs="Arial" w:eastAsia="Arial" w:hAnsi="Arial"/>
          <w:sz w:val="22"/>
          <w:szCs w:val="22"/>
        </w:rPr>
        <w:t xml:space="preserve">MISAI queries the blockchain for TYPE M locks it is authorized to manage.</w:t>
      </w:r>
    </w:p>
    <w:p>
      <w:pPr>
        <w:pStyle w:val="ListParagraph"/>
        <w:numPr>
          <w:ilvl w:val="0"/>
          <w:numId w:val="2"/>
        </w:numPr>
        <w:spacing w:before="40" w:after="40"/>
      </w:pPr>
      <w:r>
        <w:rPr>
          <w:rFonts w:ascii="Arial" w:cs="Arial" w:eastAsia="Arial" w:hAnsi="Arial"/>
          <w:sz w:val="22"/>
          <w:szCs w:val="22"/>
        </w:rPr>
        <w:t xml:space="preserve">MISAI's bonded executor wallet requests and receives the investable tranche from the protocol.</w:t>
      </w:r>
    </w:p>
    <w:p>
      <w:pPr>
        <w:pStyle w:val="ListParagraph"/>
        <w:numPr>
          <w:ilvl w:val="0"/>
          <w:numId w:val="2"/>
        </w:numPr>
        <w:spacing w:before="40" w:after="40"/>
      </w:pPr>
      <w:r>
        <w:rPr>
          <w:rFonts w:ascii="Arial" w:cs="Arial" w:eastAsia="Arial" w:hAnsi="Arial"/>
          <w:sz w:val="22"/>
          <w:szCs w:val="22"/>
        </w:rPr>
        <w:t xml:space="preserve">MISAI converts to a stable medium of exchange and executes the investment mandate autonomously.</w:t>
      </w:r>
    </w:p>
    <w:p>
      <w:pPr>
        <w:pStyle w:val="ListParagraph"/>
        <w:numPr>
          <w:ilvl w:val="0"/>
          <w:numId w:val="2"/>
        </w:numPr>
        <w:spacing w:before="40" w:after="40"/>
      </w:pPr>
      <w:r>
        <w:rPr>
          <w:rFonts w:ascii="Arial" w:cs="Arial" w:eastAsia="Arial" w:hAnsi="Arial"/>
          <w:sz w:val="22"/>
          <w:szCs w:val="22"/>
        </w:rPr>
        <w:t xml:space="preserve">At maturity, MISAI reconverts proceeds to KX and delivers to the beneficiary wallet.</w:t>
      </w:r>
    </w:p>
    <w:p>
      <w:pPr>
        <w:pStyle w:val="ListParagraph"/>
        <w:numPr>
          <w:ilvl w:val="0"/>
          <w:numId w:val="2"/>
        </w:numPr>
        <w:spacing w:before="40" w:after="40"/>
      </w:pPr>
      <w:r>
        <w:rPr>
          <w:rFonts w:ascii="Arial" w:cs="Arial" w:eastAsia="Arial" w:hAnsi="Arial"/>
          <w:sz w:val="22"/>
          <w:szCs w:val="22"/>
        </w:rPr>
        <w:t xml:space="preserve">The non-investable fraction (if any) remains locked and delivers as a standard time-lock.</w:t>
      </w:r>
    </w:p>
    <w:p>
      <w:pPr>
        <w:pStyle w:val="ListParagraph"/>
        <w:numPr>
          <w:ilvl w:val="0"/>
          <w:numId w:val="2"/>
        </w:numPr>
        <w:spacing w:before="40" w:after="40"/>
      </w:pPr>
      <w:r>
        <w:rPr>
          <w:rFonts w:ascii="Arial" w:cs="Arial" w:eastAsia="Arial" w:hAnsi="Arial"/>
          <w:sz w:val="22"/>
          <w:szCs w:val="22"/>
        </w:rPr>
        <w:t xml:space="preserve">Every MISAI decision is committed to the permanent public record before execution — per Axiom II (Transparency).</w:t>
      </w:r>
    </w:p>
    <w:p>
      <w:pPr>
        <w:pStyle w:val="Heading2"/>
        <w:spacing w:before="280" w:after="120"/>
      </w:pPr>
      <w:r>
        <w:rPr>
          <w:rFonts w:ascii="Arial" w:cs="Arial" w:eastAsia="Arial" w:hAnsi="Arial"/>
          <w:b/>
          <w:bCs/>
          <w:color w:val="000000"/>
          <w:sz w:val="28"/>
          <w:szCs w:val="28"/>
        </w:rPr>
        <w:t xml:space="preserve">7.2 MISAI as Loan Servicer</w:t>
      </w:r>
    </w:p>
    <w:p>
      <w:pPr>
        <w:spacing w:before="60" w:after="120"/>
        <w:jc w:val="both"/>
      </w:pPr>
      <w:r>
        <w:rPr>
          <w:rFonts w:ascii="Arial" w:cs="Arial" w:eastAsia="Arial" w:hAnsi="Arial"/>
          <w:b w:val="false"/>
          <w:bCs w:val="false"/>
          <w:i w:val="false"/>
          <w:iCs w:val="false"/>
          <w:color w:val="000000"/>
          <w:sz w:val="22"/>
          <w:szCs w:val="22"/>
        </w:rPr>
        <w:t xml:space="preserve">MISAI monitors payment schedules, sends pre-payment reminders, calculates late fees according to the governance-approved oracle, publishes DefaultRecords at grace period end, reactivates on LoanReinstatement, and publishes LoanCompletion records. MISAI does not pursue borrowers, enforce legal obligations, or act as an arbiter.</w:t>
      </w:r>
    </w:p>
    <w:p>
      <w:pPr>
        <w:pStyle w:val="Heading2"/>
        <w:spacing w:before="280" w:after="120"/>
      </w:pPr>
      <w:r>
        <w:rPr>
          <w:rFonts w:ascii="Arial" w:cs="Arial" w:eastAsia="Arial" w:hAnsi="Arial"/>
          <w:b/>
          <w:bCs/>
          <w:color w:val="000000"/>
          <w:sz w:val="28"/>
          <w:szCs w:val="28"/>
        </w:rPr>
        <w:t xml:space="preserve">7.3 MISAI as Investment Executor</w:t>
      </w:r>
    </w:p>
    <w:p>
      <w:pPr>
        <w:spacing w:before="60" w:after="120"/>
        <w:jc w:val="both"/>
      </w:pPr>
      <w:r>
        <w:rPr>
          <w:rFonts w:ascii="Arial" w:cs="Arial" w:eastAsia="Arial" w:hAnsi="Arial"/>
          <w:b w:val="false"/>
          <w:bCs w:val="false"/>
          <w:i w:val="false"/>
          <w:iCs w:val="false"/>
          <w:color w:val="000000"/>
          <w:sz w:val="22"/>
          <w:szCs w:val="22"/>
        </w:rPr>
        <w:t xml:space="preserve">Investors encode a mandate specifying risk tolerance, target allocation, and return expectations. MISAI executes autonomously, subject to the six AI Agent Axioms. MISAI is not a human financial advisor. It executes instructions. The MISAI investment platform is domiciled in El Salvador.</w:t>
      </w:r>
    </w:p>
    <w:p>
      <w:pPr>
        <w:pStyle w:val="Heading2"/>
        <w:spacing w:before="280" w:after="120"/>
      </w:pPr>
      <w:r>
        <w:rPr>
          <w:rFonts w:ascii="Arial" w:cs="Arial" w:eastAsia="Arial" w:hAnsi="Arial"/>
          <w:b/>
          <w:bCs/>
          <w:color w:val="000000"/>
          <w:sz w:val="28"/>
          <w:szCs w:val="28"/>
        </w:rPr>
        <w:t xml:space="preserve">7.4 The Oracle System</w:t>
      </w:r>
    </w:p>
    <w:p>
      <w:pPr>
        <w:spacing w:before="60" w:after="120"/>
        <w:jc w:val="both"/>
      </w:pPr>
      <w:r>
        <w:rPr>
          <w:rFonts w:ascii="Arial" w:cs="Arial" w:eastAsia="Arial" w:hAnsi="Arial"/>
          <w:b w:val="false"/>
          <w:bCs w:val="false"/>
          <w:i w:val="false"/>
          <w:iCs w:val="false"/>
          <w:color w:val="000000"/>
          <w:sz w:val="22"/>
          <w:szCs w:val="22"/>
        </w:rPr>
        <w:t xml:space="preserve">MISAI maintains real-time price oracles for all governance-approved currency codes. A 7-day moving average, updated every six hours, provides manipulation-resistant price data for PAY_AS calculations, late fee computation, and HedgeX settlements. Oracle sources and approved currency codes are governed by the Foundation and enforced by nodes.</w:t>
      </w:r>
    </w:p>
    <w:p>
      <w:r>
        <w:br w:type="page"/>
      </w:r>
    </w:p>
    <w:p>
      <w:pPr>
        <w:pStyle w:val="Heading1"/>
        <w:spacing w:before="400" w:after="120"/>
      </w:pPr>
      <w:r>
        <w:rPr>
          <w:rFonts w:ascii="Arial" w:cs="Arial" w:eastAsia="Arial" w:hAnsi="Arial"/>
          <w:b/>
          <w:bCs/>
          <w:color w:val="C9A84C"/>
          <w:sz w:val="36"/>
          <w:szCs w:val="36"/>
        </w:rPr>
        <w:t xml:space="preserve">8. Verifas: The Human Attestation Layer</w:t>
      </w:r>
    </w:p>
    <w:p>
      <w:pPr>
        <w:spacing w:before="60" w:after="120"/>
        <w:jc w:val="both"/>
      </w:pPr>
      <w:r>
        <w:rPr>
          <w:rFonts w:ascii="Arial" w:cs="Arial" w:eastAsia="Arial" w:hAnsi="Arial"/>
          <w:b w:val="false"/>
          <w:bCs w:val="false"/>
          <w:i w:val="false"/>
          <w:iCs w:val="false"/>
          <w:color w:val="000000"/>
          <w:sz w:val="22"/>
          <w:szCs w:val="22"/>
        </w:rPr>
        <w:t xml:space="preserve">Verifas solves one specific problem: what happens when a long-horizon promise matures and the original contact information for the recipient is no longer valid? Verifas is backed by a 10,000,000 KX performance bond.</w:t>
      </w:r>
    </w:p>
    <w:p>
      <w:pPr>
        <w:pBdr>
          <w:left w:val="single" w:color="C9A84C" w:sz="6" w:space="10"/>
        </w:pBdr>
        <w:spacing w:before="160" w:after="160"/>
        <w:ind w:left="720" w:right="720"/>
      </w:pPr>
      <w:r>
        <w:rPr>
          <w:rFonts w:ascii="Arial" w:cs="Arial" w:eastAsia="Arial" w:hAnsi="Arial"/>
          <w:i/>
          <w:iCs/>
          <w:color w:val="2E3A5C"/>
          <w:sz w:val="22"/>
          <w:szCs w:val="22"/>
        </w:rPr>
        <w:t xml:space="preserve">"Verifas does one thing: confirms that this person, at this wallet address, is the intended recipient of a promise made long ago."</w:t>
      </w:r>
    </w:p>
    <w:p>
      <w:pPr>
        <w:spacing w:before="60" w:after="120"/>
        <w:jc w:val="both"/>
      </w:pPr>
      <w:r>
        <w:rPr>
          <w:rFonts w:ascii="Arial" w:cs="Arial" w:eastAsia="Arial" w:hAnsi="Arial"/>
          <w:b w:val="false"/>
          <w:bCs w:val="false"/>
          <w:i w:val="false"/>
          <w:iCs w:val="false"/>
          <w:color w:val="000000"/>
          <w:sz w:val="22"/>
          <w:szCs w:val="22"/>
        </w:rPr>
        <w:t xml:space="preserve">Verifas is not a dispute resolution service. It does not enforce obligations or adjudicate claims. It is an identity attestation service for long-horizon promises — nothing more.</w:t>
      </w:r>
    </w:p>
    <w:p>
      <w:pPr>
        <w:pStyle w:val="Heading2"/>
        <w:spacing w:before="280" w:after="120"/>
      </w:pPr>
      <w:r>
        <w:rPr>
          <w:rFonts w:ascii="Arial" w:cs="Arial" w:eastAsia="Arial" w:hAnsi="Arial"/>
          <w:b/>
          <w:bCs/>
          <w:color w:val="000000"/>
          <w:sz w:val="28"/>
          <w:szCs w:val="28"/>
        </w:rPr>
        <w:t xml:space="preserve">8.1 The Beneficiary Context System</w:t>
      </w:r>
    </w:p>
    <w:p>
      <w:pPr>
        <w:spacing w:before="60" w:after="120"/>
        <w:jc w:val="both"/>
      </w:pPr>
      <w:r>
        <w:rPr>
          <w:rFonts w:ascii="Arial" w:cs="Arial" w:eastAsia="Arial" w:hAnsi="Arial"/>
          <w:b w:val="false"/>
          <w:bCs w:val="false"/>
          <w:i w:val="false"/>
          <w:iCs w:val="false"/>
          <w:color w:val="000000"/>
          <w:sz w:val="22"/>
          <w:szCs w:val="22"/>
        </w:rPr>
        <w:t xml:space="preserve">For promises over one year, the ChronX desktop wallet prompts the sender to provide additional beneficiary context: full name, city, and identifying information. This is stored encrypted in the promise memo, accessible only to bonded Verifas attestors after the 90-day standard delivery window elapses without delivery. Mobile wallets support promises up to one year. Desktop wallets support promises of any duration.</w:t>
      </w:r>
    </w:p>
    <w:p>
      <w:r>
        <w:br w:type="page"/>
      </w:r>
    </w:p>
    <w:p>
      <w:pPr>
        <w:pStyle w:val="Heading1"/>
        <w:spacing w:before="400" w:after="120"/>
      </w:pPr>
      <w:r>
        <w:rPr>
          <w:rFonts w:ascii="Arial" w:cs="Arial" w:eastAsia="Arial" w:hAnsi="Arial"/>
          <w:b/>
          <w:bCs/>
          <w:color w:val="C9A84C"/>
          <w:sz w:val="36"/>
          <w:szCs w:val="36"/>
        </w:rPr>
        <w:t xml:space="preserve">9. The Promise and AI Agent Axioms</w:t>
      </w:r>
    </w:p>
    <w:p>
      <w:pPr>
        <w:spacing w:before="60" w:after="120"/>
        <w:jc w:val="both"/>
      </w:pPr>
      <w:r>
        <w:rPr>
          <w:rFonts w:ascii="Arial" w:cs="Arial" w:eastAsia="Arial" w:hAnsi="Arial"/>
          <w:b w:val="false"/>
          <w:bCs w:val="false"/>
          <w:i w:val="false"/>
          <w:iCs w:val="false"/>
          <w:color w:val="000000"/>
          <w:sz w:val="22"/>
          <w:szCs w:val="22"/>
        </w:rPr>
        <w:t xml:space="preserve">Two sets of axioms govern ChronX. Both are encoded immutably at genesis and cannot be altered by any person, governance body, or software update.</w:t>
      </w:r>
    </w:p>
    <w:p>
      <w:pPr>
        <w:pStyle w:val="Heading2"/>
        <w:spacing w:before="280" w:after="120"/>
      </w:pPr>
      <w:r>
        <w:rPr>
          <w:rFonts w:ascii="Arial" w:cs="Arial" w:eastAsia="Arial" w:hAnsi="Arial"/>
          <w:b/>
          <w:bCs/>
          <w:color w:val="000000"/>
          <w:sz w:val="28"/>
          <w:szCs w:val="28"/>
        </w:rPr>
        <w:t xml:space="preserve">9.1 The Promise Axioms</w:t>
      </w:r>
    </w:p>
    <w:p>
      <w:pPr>
        <w:pStyle w:val="ListParagraph"/>
        <w:numPr>
          <w:ilvl w:val="0"/>
          <w:numId w:val="2"/>
        </w:numPr>
        <w:spacing w:before="40" w:after="40"/>
      </w:pPr>
      <w:r>
        <w:rPr>
          <w:rFonts w:ascii="Arial" w:cs="Arial" w:eastAsia="Arial" w:hAnsi="Arial"/>
          <w:b/>
          <w:bCs/>
          <w:sz w:val="22"/>
          <w:szCs w:val="22"/>
        </w:rPr>
        <w:t xml:space="preserve">Intent Is the Master</w:t>
      </w:r>
      <w:r>
        <w:rPr>
          <w:rFonts w:ascii="Arial" w:cs="Arial" w:eastAsia="Arial" w:hAnsi="Arial"/>
          <w:sz w:val="22"/>
          <w:szCs w:val="22"/>
        </w:rPr>
        <w:t xml:space="preserve">: The grantor's intent is the master. Once a promise is made and the cancellation window closes, it is irrevocable.</w:t>
      </w:r>
    </w:p>
    <w:p>
      <w:pPr>
        <w:pStyle w:val="ListParagraph"/>
        <w:numPr>
          <w:ilvl w:val="0"/>
          <w:numId w:val="2"/>
        </w:numPr>
        <w:spacing w:before="40" w:after="40"/>
      </w:pPr>
      <w:r>
        <w:rPr>
          <w:rFonts w:ascii="Arial" w:cs="Arial" w:eastAsia="Arial" w:hAnsi="Arial"/>
          <w:b/>
          <w:bCs/>
          <w:sz w:val="22"/>
          <w:szCs w:val="22"/>
        </w:rPr>
        <w:t xml:space="preserve">Funds Are Never Lost</w:t>
      </w:r>
      <w:r>
        <w:rPr>
          <w:rFonts w:ascii="Arial" w:cs="Arial" w:eastAsia="Arial" w:hAnsi="Arial"/>
          <w:sz w:val="22"/>
          <w:szCs w:val="22"/>
        </w:rPr>
        <w:t xml:space="preserve">: Promised funds are never lost. Unclaimed within 90 days of maturity: held by the Verified Delivery Protocol. Unclaimed for 100 years beyond maturity: transferred to the Humanity Stake.</w:t>
      </w:r>
    </w:p>
    <w:p>
      <w:pPr>
        <w:pStyle w:val="ListParagraph"/>
        <w:numPr>
          <w:ilvl w:val="0"/>
          <w:numId w:val="2"/>
        </w:numPr>
        <w:spacing w:before="40" w:after="40"/>
      </w:pPr>
      <w:r>
        <w:rPr>
          <w:rFonts w:ascii="Arial" w:cs="Arial" w:eastAsia="Arial" w:hAnsi="Arial"/>
          <w:b/>
          <w:bCs/>
          <w:sz w:val="22"/>
          <w:szCs w:val="22"/>
        </w:rPr>
        <w:t xml:space="preserve">The Protocol Enforces Delivery</w:t>
      </w:r>
      <w:r>
        <w:rPr>
          <w:rFonts w:ascii="Arial" w:cs="Arial" w:eastAsia="Arial" w:hAnsi="Arial"/>
          <w:sz w:val="22"/>
          <w:szCs w:val="22"/>
        </w:rPr>
        <w:t xml:space="preserve">: No custodian, no lawyer, no intermediary is required for a promise between a sender and a reachable recipient. The blockchain is the contract.</w:t>
      </w:r>
    </w:p>
    <w:p>
      <w:pPr>
        <w:pStyle w:val="ListParagraph"/>
        <w:numPr>
          <w:ilvl w:val="0"/>
          <w:numId w:val="2"/>
        </w:numPr>
        <w:spacing w:before="40" w:after="40"/>
      </w:pPr>
      <w:r>
        <w:rPr>
          <w:rFonts w:ascii="Arial" w:cs="Arial" w:eastAsia="Arial" w:hAnsi="Arial"/>
          <w:b/>
          <w:bCs/>
          <w:sz w:val="22"/>
          <w:szCs w:val="22"/>
        </w:rPr>
        <w:t xml:space="preserve">The Law</w:t>
      </w:r>
      <w:r>
        <w:rPr>
          <w:rFonts w:ascii="Arial" w:cs="Arial" w:eastAsia="Arial" w:hAnsi="Arial"/>
          <w:sz w:val="22"/>
          <w:szCs w:val="22"/>
        </w:rPr>
        <w:t xml:space="preserve">: All promises and their fulfillment remain subject to the laws of applicable jurisdictions.</w:t>
      </w:r>
    </w:p>
    <w:p>
      <w:pPr>
        <w:pStyle w:val="Heading2"/>
        <w:spacing w:before="280" w:after="120"/>
      </w:pPr>
      <w:r>
        <w:rPr>
          <w:rFonts w:ascii="Arial" w:cs="Arial" w:eastAsia="Arial" w:hAnsi="Arial"/>
          <w:b/>
          <w:bCs/>
          <w:color w:val="000000"/>
          <w:sz w:val="28"/>
          <w:szCs w:val="28"/>
        </w:rPr>
        <w:t xml:space="preserve">9.2 The AI Agent Axioms</w:t>
      </w:r>
    </w:p>
    <w:p>
      <w:pPr>
        <w:pStyle w:val="ListParagraph"/>
        <w:numPr>
          <w:ilvl w:val="0"/>
          <w:numId w:val="2"/>
        </w:numPr>
        <w:spacing w:before="40" w:after="40"/>
      </w:pPr>
      <w:r>
        <w:rPr>
          <w:rFonts w:ascii="Arial" w:cs="Arial" w:eastAsia="Arial" w:hAnsi="Arial"/>
          <w:b/>
          <w:bCs/>
          <w:sz w:val="22"/>
          <w:szCs w:val="22"/>
        </w:rPr>
        <w:t xml:space="preserve">Mandate</w:t>
      </w:r>
      <w:r>
        <w:rPr>
          <w:rFonts w:ascii="Arial" w:cs="Arial" w:eastAsia="Arial" w:hAnsi="Arial"/>
          <w:sz w:val="22"/>
          <w:szCs w:val="22"/>
        </w:rPr>
        <w:t xml:space="preserve">: The grantor's intent, once encoded, is carried forward by autonomous software. Algorithms may evolve. The intent does not.</w:t>
      </w:r>
    </w:p>
    <w:p>
      <w:pPr>
        <w:pStyle w:val="ListParagraph"/>
        <w:numPr>
          <w:ilvl w:val="0"/>
          <w:numId w:val="2"/>
        </w:numPr>
        <w:spacing w:before="40" w:after="40"/>
      </w:pPr>
      <w:r>
        <w:rPr>
          <w:rFonts w:ascii="Arial" w:cs="Arial" w:eastAsia="Arial" w:hAnsi="Arial"/>
          <w:b/>
          <w:bCs/>
          <w:sz w:val="22"/>
          <w:szCs w:val="22"/>
        </w:rPr>
        <w:t xml:space="preserve">Transparency</w:t>
      </w:r>
      <w:r>
        <w:rPr>
          <w:rFonts w:ascii="Arial" w:cs="Arial" w:eastAsia="Arial" w:hAnsi="Arial"/>
          <w:sz w:val="22"/>
          <w:szCs w:val="22"/>
        </w:rPr>
        <w:t xml:space="preserve">: An AI agent must commit to a permanent public record before acting. Every decision is publicly verifiable.</w:t>
      </w:r>
    </w:p>
    <w:p>
      <w:pPr>
        <w:pStyle w:val="ListParagraph"/>
        <w:numPr>
          <w:ilvl w:val="0"/>
          <w:numId w:val="2"/>
        </w:numPr>
        <w:spacing w:before="40" w:after="40"/>
      </w:pPr>
      <w:r>
        <w:rPr>
          <w:rFonts w:ascii="Arial" w:cs="Arial" w:eastAsia="Arial" w:hAnsi="Arial"/>
          <w:b/>
          <w:bCs/>
          <w:sz w:val="22"/>
          <w:szCs w:val="22"/>
        </w:rPr>
        <w:t xml:space="preserve">Risk</w:t>
      </w:r>
      <w:r>
        <w:rPr>
          <w:rFonts w:ascii="Arial" w:cs="Arial" w:eastAsia="Arial" w:hAnsi="Arial"/>
          <w:sz w:val="22"/>
          <w:szCs w:val="22"/>
        </w:rPr>
        <w:t xml:space="preserve">: The grantor acknowledges that AI management may result in gains or losses up to and including total loss.</w:t>
      </w:r>
    </w:p>
    <w:p>
      <w:pPr>
        <w:pStyle w:val="ListParagraph"/>
        <w:numPr>
          <w:ilvl w:val="0"/>
          <w:numId w:val="2"/>
        </w:numPr>
        <w:spacing w:before="40" w:after="40"/>
      </w:pPr>
      <w:r>
        <w:rPr>
          <w:rFonts w:ascii="Arial" w:cs="Arial" w:eastAsia="Arial" w:hAnsi="Arial"/>
          <w:b/>
          <w:bCs/>
          <w:sz w:val="22"/>
          <w:szCs w:val="22"/>
        </w:rPr>
        <w:t xml:space="preserve">Separation</w:t>
      </w:r>
      <w:r>
        <w:rPr>
          <w:rFonts w:ascii="Arial" w:cs="Arial" w:eastAsia="Arial" w:hAnsi="Arial"/>
          <w:sz w:val="22"/>
          <w:szCs w:val="22"/>
        </w:rPr>
        <w:t xml:space="preserve">: The agent that decides does not hold funds. The agent that holds does not decide.</w:t>
      </w:r>
    </w:p>
    <w:p>
      <w:pPr>
        <w:pStyle w:val="ListParagraph"/>
        <w:numPr>
          <w:ilvl w:val="0"/>
          <w:numId w:val="2"/>
        </w:numPr>
        <w:spacing w:before="40" w:after="40"/>
      </w:pPr>
      <w:r>
        <w:rPr>
          <w:rFonts w:ascii="Arial" w:cs="Arial" w:eastAsia="Arial" w:hAnsi="Arial"/>
          <w:b/>
          <w:bCs/>
          <w:sz w:val="22"/>
          <w:szCs w:val="22"/>
        </w:rPr>
        <w:t xml:space="preserve">Coordination</w:t>
      </w:r>
      <w:r>
        <w:rPr>
          <w:rFonts w:ascii="Arial" w:cs="Arial" w:eastAsia="Arial" w:hAnsi="Arial"/>
          <w:sz w:val="22"/>
          <w:szCs w:val="22"/>
        </w:rPr>
        <w:t xml:space="preserve">: Before acting, an agent must account for the aggregate effect of similarly situated agents acting on similar instructions.</w:t>
      </w:r>
    </w:p>
    <w:p>
      <w:pPr>
        <w:pStyle w:val="ListParagraph"/>
        <w:numPr>
          <w:ilvl w:val="0"/>
          <w:numId w:val="2"/>
        </w:numPr>
        <w:spacing w:before="40" w:after="40"/>
      </w:pPr>
      <w:r>
        <w:rPr>
          <w:rFonts w:ascii="Arial" w:cs="Arial" w:eastAsia="Arial" w:hAnsi="Arial"/>
          <w:b/>
          <w:bCs/>
          <w:sz w:val="22"/>
          <w:szCs w:val="22"/>
        </w:rPr>
        <w:t xml:space="preserve">The Law</w:t>
      </w:r>
      <w:r>
        <w:rPr>
          <w:rFonts w:ascii="Arial" w:cs="Arial" w:eastAsia="Arial" w:hAnsi="Arial"/>
          <w:sz w:val="22"/>
          <w:szCs w:val="22"/>
        </w:rPr>
        <w:t xml:space="preserve">: All agent actions, mandates, and their fulfillment remain subject to the laws of applicable jurisdictions.</w:t>
      </w:r>
    </w:p>
    <w:p>
      <w:r>
        <w:br w:type="page"/>
      </w:r>
    </w:p>
    <w:p>
      <w:pPr>
        <w:pStyle w:val="Heading1"/>
        <w:spacing w:before="400" w:after="120"/>
      </w:pPr>
      <w:r>
        <w:rPr>
          <w:rFonts w:ascii="Arial" w:cs="Arial" w:eastAsia="Arial" w:hAnsi="Arial"/>
          <w:b/>
          <w:bCs/>
          <w:color w:val="C9A84C"/>
          <w:sz w:val="36"/>
          <w:szCs w:val="36"/>
        </w:rPr>
        <w:t xml:space="preserve">10. Tokenomics</w:t>
      </w:r>
    </w:p>
    <w:p>
      <w:pPr>
        <w:spacing w:before="60" w:after="120"/>
        <w:jc w:val="both"/>
      </w:pPr>
      <w:r>
        <w:rPr>
          <w:rFonts w:ascii="Arial" w:cs="Arial" w:eastAsia="Arial" w:hAnsi="Arial"/>
          <w:b w:val="false"/>
          <w:bCs w:val="false"/>
          <w:i w:val="false"/>
          <w:iCs w:val="false"/>
          <w:color w:val="000000"/>
          <w:sz w:val="22"/>
          <w:szCs w:val="22"/>
        </w:rPr>
        <w:t xml:space="preserve">Total supply: 8,270,000,000 KX. Fixed forever. No inflation. No minting. No burning.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Allocation</w:t>
            </w:r>
          </w:p>
        </w:tc>
        <w:tc>
          <w:tcPr>
            <w:tcW w:type="dxa" w:w="25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Amount (KX)</w:t>
            </w:r>
          </w:p>
        </w:tc>
        <w:tc>
          <w:tcPr>
            <w:tcW w:type="dxa" w:w="336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Public Sale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6,093,000,000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ICO September 22, 2026 at $0.00319/KX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Treasury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Harmonic release H_100 over 100 years (2029–2128)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Node Rewards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Harmonic release H_100 over 100 years (2029–2128)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Founder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155,000,000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development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Verifas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HedgeX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Humanity Stake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Long-unclaimed promises pool (locked until 2126)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Protocol 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operations (locked until 2036)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Milestone 2076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50-year protocol milestone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Faucet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3,000,000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Post-genesis distribution</w:t>
            </w:r>
          </w:p>
        </w:tc>
      </w:tr>
    </w:tbl>
    <w:p>
      <w:r>
        <w:t xml:space="preserve"/>
      </w:r>
    </w:p>
    <w:p>
      <w:pPr>
        <w:pStyle w:val="ListParagraph"/>
        <w:numPr>
          <w:ilvl w:val="0"/>
          <w:numId w:val="2"/>
        </w:numPr>
        <w:spacing w:before="40" w:after="40"/>
      </w:pPr>
      <w:r>
        <w:rPr>
          <w:rFonts w:ascii="Arial" w:cs="Arial" w:eastAsia="Arial" w:hAnsi="Arial"/>
          <w:b/>
          <w:bCs/>
          <w:sz w:val="22"/>
          <w:szCs w:val="22"/>
        </w:rPr>
        <w:t xml:space="preserve">Pre-ICO Phase 1 &amp; 2</w:t>
      </w:r>
      <w:r>
        <w:rPr>
          <w:rFonts w:ascii="Arial" w:cs="Arial" w:eastAsia="Arial" w:hAnsi="Arial"/>
          <w:sz w:val="22"/>
          <w:szCs w:val="22"/>
        </w:rPr>
        <w:t xml:space="preserve">: Accredited investors only.</w:t>
      </w:r>
    </w:p>
    <w:p>
      <w:pPr>
        <w:pStyle w:val="ListParagraph"/>
        <w:numPr>
          <w:ilvl w:val="0"/>
          <w:numId w:val="2"/>
        </w:numPr>
        <w:spacing w:before="40" w:after="40"/>
      </w:pPr>
      <w:r>
        <w:rPr>
          <w:rFonts w:ascii="Arial" w:cs="Arial" w:eastAsia="Arial" w:hAnsi="Arial"/>
          <w:b/>
          <w:bCs/>
          <w:sz w:val="22"/>
          <w:szCs w:val="22"/>
        </w:rPr>
        <w:t xml:space="preserve">ICO</w:t>
      </w:r>
      <w:r>
        <w:rPr>
          <w:rFonts w:ascii="Arial" w:cs="Arial" w:eastAsia="Arial" w:hAnsi="Arial"/>
          <w:sz w:val="22"/>
          <w:szCs w:val="22"/>
        </w:rPr>
        <w:t xml:space="preserve">: September 22, 2026. Accredited investors. Up to $100 equivalent available to all participants via XChan.</w:t>
      </w:r>
    </w:p>
    <w:p>
      <w:r>
        <w:br w:type="page"/>
      </w:r>
    </w:p>
    <w:p>
      <w:pPr>
        <w:pStyle w:val="Heading1"/>
        <w:spacing w:before="400" w:after="120"/>
      </w:pPr>
      <w:r>
        <w:rPr>
          <w:rFonts w:ascii="Arial" w:cs="Arial" w:eastAsia="Arial" w:hAnsi="Arial"/>
          <w:b/>
          <w:bCs/>
          <w:color w:val="C9A84C"/>
          <w:sz w:val="36"/>
          <w:szCs w:val="36"/>
        </w:rPr>
        <w:t xml:space="preserve">11. Technical Architecture</w:t>
      </w:r>
    </w:p>
    <w:p>
      <w:pPr>
        <w:pStyle w:val="Heading2"/>
        <w:spacing w:before="280" w:after="120"/>
      </w:pPr>
      <w:r>
        <w:rPr>
          <w:rFonts w:ascii="Arial" w:cs="Arial" w:eastAsia="Arial" w:hAnsi="Arial"/>
          <w:b/>
          <w:bCs/>
          <w:color w:val="000000"/>
          <w:sz w:val="28"/>
          <w:szCs w:val="28"/>
        </w:rPr>
        <w:t xml:space="preserve">11.1 DAG-Based Consensus</w:t>
      </w:r>
    </w:p>
    <w:p>
      <w:pPr>
        <w:spacing w:before="60" w:after="120"/>
        <w:jc w:val="both"/>
      </w:pPr>
      <w:r>
        <w:rPr>
          <w:rFonts w:ascii="Arial" w:cs="Arial" w:eastAsia="Arial" w:hAnsi="Arial"/>
          <w:b w:val="false"/>
          <w:bCs w:val="false"/>
          <w:i w:val="false"/>
          <w:iCs w:val="false"/>
          <w:color w:val="000000"/>
          <w:sz w:val="22"/>
          <w:szCs w:val="22"/>
        </w:rPr>
        <w:t xml:space="preserve">ChronX uses a Directed Acyclic Graph (DAG) rather than a linear blockchain. Each transaction references previous transactions, creating a web of verified history. This provides higher throughput, lower latency, and eliminates block size limitations.</w:t>
      </w:r>
    </w:p>
    <w:p>
      <w:pPr>
        <w:pStyle w:val="Heading2"/>
        <w:spacing w:before="280" w:after="120"/>
      </w:pPr>
      <w:r>
        <w:rPr>
          <w:rFonts w:ascii="Arial" w:cs="Arial" w:eastAsia="Arial" w:hAnsi="Arial"/>
          <w:b/>
          <w:bCs/>
          <w:color w:val="000000"/>
          <w:sz w:val="28"/>
          <w:szCs w:val="28"/>
        </w:rPr>
        <w:t xml:space="preserve">11.2 Post-Quantum Cryptography</w:t>
      </w:r>
    </w:p>
    <w:p>
      <w:pPr>
        <w:spacing w:before="60" w:after="120"/>
        <w:jc w:val="both"/>
      </w:pPr>
      <w:r>
        <w:rPr>
          <w:rFonts w:ascii="Arial" w:cs="Arial" w:eastAsia="Arial" w:hAnsi="Arial"/>
          <w:b w:val="false"/>
          <w:bCs w:val="false"/>
          <w:i w:val="false"/>
          <w:iCs w:val="false"/>
          <w:color w:val="000000"/>
          <w:sz w:val="22"/>
          <w:szCs w:val="22"/>
        </w:rPr>
        <w:t xml:space="preserve">All ChronX wallets use CRYSTALS-Dilithium2 digital signatures (NIST FIPS 204). This ensures ChronX wallets remain secure even after quantum computers can break current elliptic curve cryptography — critical for a protocol designed around 100-year promises.</w:t>
      </w:r>
    </w:p>
    <w:p>
      <w:pPr>
        <w:pStyle w:val="Heading2"/>
        <w:spacing w:before="280" w:after="120"/>
      </w:pPr>
      <w:r>
        <w:rPr>
          <w:rFonts w:ascii="Arial" w:cs="Arial" w:eastAsia="Arial" w:hAnsi="Arial"/>
          <w:b/>
          <w:bCs/>
          <w:color w:val="000000"/>
          <w:sz w:val="28"/>
          <w:szCs w:val="28"/>
        </w:rPr>
        <w:t xml:space="preserve">11.3 Zero Transaction Fees</w:t>
      </w:r>
    </w:p>
    <w:p>
      <w:pPr>
        <w:spacing w:before="60" w:after="120"/>
        <w:jc w:val="both"/>
      </w:pPr>
      <w:r>
        <w:rPr>
          <w:rFonts w:ascii="Arial" w:cs="Arial" w:eastAsia="Arial" w:hAnsi="Arial"/>
          <w:b w:val="false"/>
          <w:bCs w:val="false"/>
          <w:i w:val="false"/>
          <w:iCs w:val="false"/>
          <w:color w:val="000000"/>
          <w:sz w:val="22"/>
          <w:szCs w:val="22"/>
        </w:rPr>
        <w:t xml:space="preserve">ChronX has no transaction fees. Not low fees — zero fees. A promise scheduled one hundred years in the future cannot carry an unknown future fee burden. Zero fees are a protocol invariant, not a promotional offer.</w:t>
      </w:r>
    </w:p>
    <w:p>
      <w:pPr>
        <w:pStyle w:val="Heading2"/>
        <w:spacing w:before="280" w:after="120"/>
      </w:pPr>
      <w:r>
        <w:rPr>
          <w:rFonts w:ascii="Arial" w:cs="Arial" w:eastAsia="Arial" w:hAnsi="Arial"/>
          <w:b/>
          <w:bCs/>
          <w:color w:val="000000"/>
          <w:sz w:val="28"/>
          <w:szCs w:val="28"/>
        </w:rPr>
        <w:t xml:space="preserve">11.4 Proof of Work and Spam Resistance</w:t>
      </w:r>
    </w:p>
    <w:p>
      <w:pPr>
        <w:spacing w:before="60" w:after="120"/>
        <w:jc w:val="both"/>
      </w:pPr>
      <w:r>
        <w:rPr>
          <w:rFonts w:ascii="Arial" w:cs="Arial" w:eastAsia="Arial" w:hAnsi="Arial"/>
          <w:b w:val="false"/>
          <w:bCs w:val="false"/>
          <w:i w:val="false"/>
          <w:iCs w:val="false"/>
          <w:color w:val="000000"/>
          <w:sz w:val="22"/>
          <w:szCs w:val="22"/>
        </w:rPr>
        <w:t xml:space="preserve">Each ChronX transaction requires Proof of Work (SHA3-256, 20-bit difficulty) — approximately one million hash operations. This is the protocol's primary defense against spam and denial-of-service attacks. At scale, the computational cost of generating transactions in bulk provides meaningful economic friction without requiring fees. Per-wallet rate limiting provides additional protection at the node level.</w:t>
      </w:r>
    </w:p>
    <w:p>
      <w:pPr>
        <w:pStyle w:val="Heading2"/>
        <w:spacing w:before="280" w:after="120"/>
      </w:pPr>
      <w:r>
        <w:rPr>
          <w:rFonts w:ascii="Arial" w:cs="Arial" w:eastAsia="Arial" w:hAnsi="Arial"/>
          <w:b/>
          <w:bCs/>
          <w:color w:val="000000"/>
          <w:sz w:val="28"/>
          <w:szCs w:val="28"/>
        </w:rPr>
        <w:t xml:space="preserve">11.5 Genesis 10 — Loan, Credit, and PAY_AS Primitives</w:t>
      </w:r>
    </w:p>
    <w:p>
      <w:pPr>
        <w:spacing w:before="60" w:after="120"/>
        <w:jc w:val="both"/>
      </w:pPr>
      <w:r>
        <w:rPr>
          <w:rFonts w:ascii="Arial" w:cs="Arial" w:eastAsia="Arial" w:hAnsi="Arial"/>
          <w:b w:val="false"/>
          <w:bCs w:val="false"/>
          <w:i w:val="false"/>
          <w:iCs w:val="false"/>
          <w:color w:val="000000"/>
          <w:sz w:val="22"/>
          <w:szCs w:val="22"/>
        </w:rPr>
        <w:t xml:space="preserve">Genesis 10 introduces the following protocol primitives: TYPE D (Debt Instrument) with full payment schedule and MISAI servicing; the PAY_AS open denomination field on all time locks; GovernanceParams state (minimum loan size, approved oracle list — both governance-settable, neither hardcoded); LoanCreate, DefaultRecord, LoanReinstatement, LoanWriteOff, LoanEarlyPayoff, LoanCompletion, and LenderMemo action types; the MISAI Oracle supporting all governance-approved currency codes; and HedgeX marketplace infrastructure.</w:t>
      </w:r>
    </w:p>
    <w:p>
      <w:r>
        <w:br w:type="page"/>
      </w:r>
    </w:p>
    <w:p>
      <w:pPr>
        <w:pStyle w:val="Heading1"/>
        <w:spacing w:before="400" w:after="120"/>
      </w:pPr>
      <w:r>
        <w:rPr>
          <w:rFonts w:ascii="Arial" w:cs="Arial" w:eastAsia="Arial" w:hAnsi="Arial"/>
          <w:b/>
          <w:bCs/>
          <w:color w:val="C9A84C"/>
          <w:sz w:val="36"/>
          <w:szCs w:val="36"/>
        </w:rPr>
        <w:t xml:space="preserve">12. Legal and Regulatory Considerations</w:t>
      </w:r>
    </w:p>
    <w:p>
      <w:pPr>
        <w:pStyle w:val="Heading2"/>
        <w:spacing w:before="280" w:after="120"/>
      </w:pPr>
      <w:r>
        <w:rPr>
          <w:rFonts w:ascii="Arial" w:cs="Arial" w:eastAsia="Arial" w:hAnsi="Arial"/>
          <w:b/>
          <w:bCs/>
          <w:color w:val="000000"/>
          <w:sz w:val="28"/>
          <w:szCs w:val="28"/>
        </w:rPr>
        <w:t xml:space="preserve">12.1 KX as a Utility Token</w:t>
      </w:r>
    </w:p>
    <w:p>
      <w:pPr>
        <w:spacing w:before="60" w:after="120"/>
        <w:jc w:val="both"/>
      </w:pPr>
      <w:r>
        <w:rPr>
          <w:rFonts w:ascii="Arial" w:cs="Arial" w:eastAsia="Arial" w:hAnsi="Arial"/>
          <w:b w:val="false"/>
          <w:bCs w:val="false"/>
          <w:i w:val="false"/>
          <w:iCs w:val="false"/>
          <w:color w:val="000000"/>
          <w:sz w:val="22"/>
          <w:szCs w:val="22"/>
        </w:rPr>
        <w:t xml:space="preserve">ChronX has been designed to function as a utility token. The PAY_AS system is the clearest expression of this design. ChronX does not provide legal or regulatory advice. Participants are responsible for compliance with applicable law. The ICO is structured to limit primary participation to accredited investors, with broader access limited to a small amount via XChan.</w:t>
      </w:r>
    </w:p>
    <w:p>
      <w:pPr>
        <w:pStyle w:val="Heading2"/>
        <w:spacing w:before="280" w:after="120"/>
      </w:pPr>
      <w:r>
        <w:rPr>
          <w:rFonts w:ascii="Arial" w:cs="Arial" w:eastAsia="Arial" w:hAnsi="Arial"/>
          <w:b/>
          <w:bCs/>
          <w:color w:val="000000"/>
          <w:sz w:val="28"/>
          <w:szCs w:val="28"/>
        </w:rPr>
        <w:t xml:space="preserve">12.2 MISAI Jurisdiction</w:t>
      </w:r>
    </w:p>
    <w:p>
      <w:pPr>
        <w:spacing w:before="60" w:after="120"/>
        <w:jc w:val="both"/>
      </w:pPr>
      <w:r>
        <w:rPr>
          <w:rFonts w:ascii="Arial" w:cs="Arial" w:eastAsia="Arial" w:hAnsi="Arial"/>
          <w:b w:val="false"/>
          <w:bCs w:val="false"/>
          <w:i w:val="false"/>
          <w:iCs w:val="false"/>
          <w:color w:val="000000"/>
          <w:sz w:val="22"/>
          <w:szCs w:val="22"/>
        </w:rPr>
        <w:t xml:space="preserve">The MISAI investment platform is domiciled in El Salvador. The Executor Withdraw Delay (86,400 seconds / 24 hours) provides a protection window for investors before any MISAI withdrawal is finalized.</w:t>
      </w:r>
    </w:p>
    <w:p>
      <w:pPr>
        <w:pStyle w:val="Heading2"/>
        <w:spacing w:before="280" w:after="120"/>
      </w:pPr>
      <w:r>
        <w:rPr>
          <w:rFonts w:ascii="Arial" w:cs="Arial" w:eastAsia="Arial" w:hAnsi="Arial"/>
          <w:b/>
          <w:bCs/>
          <w:color w:val="000000"/>
          <w:sz w:val="28"/>
          <w:szCs w:val="28"/>
        </w:rPr>
        <w:t xml:space="preserve">12.3 HedgeX as a P2P Marketplace</w:t>
      </w:r>
    </w:p>
    <w:p>
      <w:pPr>
        <w:spacing w:before="60" w:after="120"/>
        <w:jc w:val="both"/>
      </w:pPr>
      <w:r>
        <w:rPr>
          <w:rFonts w:ascii="Arial" w:cs="Arial" w:eastAsia="Arial" w:hAnsi="Arial"/>
          <w:b w:val="false"/>
          <w:bCs w:val="false"/>
          <w:i w:val="false"/>
          <w:iCs w:val="false"/>
          <w:color w:val="000000"/>
          <w:sz w:val="22"/>
          <w:szCs w:val="22"/>
        </w:rPr>
        <w:t xml:space="preserve">HedgeX operates as a peer-to-peer matching marketplace. ChronX is not the issuer, underwriter, guarantor, or counterparty to any hedge contract. All contracts are directly between participants.</w:t>
      </w:r>
    </w:p>
    <w:p>
      <w:pPr>
        <w:pStyle w:val="Heading2"/>
        <w:spacing w:before="280" w:after="120"/>
      </w:pPr>
      <w:r>
        <w:rPr>
          <w:rFonts w:ascii="Arial" w:cs="Arial" w:eastAsia="Arial" w:hAnsi="Arial"/>
          <w:b/>
          <w:bCs/>
          <w:color w:val="000000"/>
          <w:sz w:val="28"/>
          <w:szCs w:val="28"/>
        </w:rPr>
        <w:t xml:space="preserve">12.4 DefaultRecord and Data Privacy</w:t>
      </w:r>
    </w:p>
    <w:p>
      <w:pPr>
        <w:spacing w:before="60" w:after="120"/>
        <w:jc w:val="both"/>
      </w:pPr>
      <w:r>
        <w:rPr>
          <w:rFonts w:ascii="Arial" w:cs="Arial" w:eastAsia="Arial" w:hAnsi="Arial"/>
          <w:b w:val="false"/>
          <w:bCs w:val="false"/>
          <w:i w:val="false"/>
          <w:iCs w:val="false"/>
          <w:color w:val="000000"/>
          <w:sz w:val="22"/>
          <w:szCs w:val="22"/>
        </w:rPr>
        <w:t xml:space="preserve">ChronX is a public blockchain. Its records are analogous to public court records — permanently visible and immutable by design. The LenderMemo system provides a protocol-native annotation layer for court-ordered resolutions and negotiated settlements. Participants should be aware that all on-chain activity is public and permanent.</w:t>
      </w:r>
    </w:p>
    <w:p>
      <w:pPr>
        <w:pStyle w:val="Heading2"/>
        <w:spacing w:before="280" w:after="120"/>
      </w:pPr>
      <w:r>
        <w:rPr>
          <w:rFonts w:ascii="Arial" w:cs="Arial" w:eastAsia="Arial" w:hAnsi="Arial"/>
          <w:b/>
          <w:bCs/>
          <w:color w:val="000000"/>
          <w:sz w:val="28"/>
          <w:szCs w:val="28"/>
        </w:rPr>
        <w:t xml:space="preserve">12.5 Promise Axiom IV</w:t>
      </w:r>
    </w:p>
    <w:p>
      <w:pPr>
        <w:spacing w:before="60" w:after="120"/>
        <w:jc w:val="both"/>
      </w:pPr>
      <w:r>
        <w:rPr>
          <w:rFonts w:ascii="Arial" w:cs="Arial" w:eastAsia="Arial" w:hAnsi="Arial"/>
          <w:b w:val="false"/>
          <w:bCs w:val="false"/>
          <w:i w:val="false"/>
          <w:iCs w:val="false"/>
          <w:color w:val="000000"/>
          <w:sz w:val="22"/>
          <w:szCs w:val="22"/>
        </w:rPr>
        <w:t xml:space="preserve">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r>
        <w:br w:type="page"/>
      </w:r>
    </w:p>
    <w:p>
      <w:pPr>
        <w:pStyle w:val="Heading1"/>
        <w:spacing w:before="400" w:after="120"/>
      </w:pPr>
      <w:r>
        <w:rPr>
          <w:rFonts w:ascii="Arial" w:cs="Arial" w:eastAsia="Arial" w:hAnsi="Arial"/>
          <w:b/>
          <w:bCs/>
          <w:color w:val="C9A84C"/>
          <w:sz w:val="36"/>
          <w:szCs w:val="36"/>
        </w:rPr>
        <w:t xml:space="preserve">13. Roadmap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c>
          <w:tcPr>
            <w:tcW w:type="dxa" w:w="28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Genesis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payment types, wallet groups, post-quantum crypto, MISAI locks, Verifas infrastructure.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Wallet v2.5.x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iOS, Android, Windows wallets. Address book, biometric login, seed phrase backup.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ICO Pre-Sale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Accredited investors 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Genesis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Loan primitives, PAY_AS (currency-agnostic), LenderMemo, GovernanceParams, HedgeX infrastructure, MISAI oracle.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Sep 22,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$0.00319/KX. Accredited investors. Up to $100 equivalent via XChan for all.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HedgeX 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Peer-to-peer currency risk marketplace live at hedgex.io.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Beta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investment mandates and loan servicing automation.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Verifas Network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Bonded human attestor network for long-horizon delivery.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Node Rewards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Jan 1, 2029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First harmonic release of node operator rewards.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Milestone 2076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2076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50-year protocol milestone. 500,000 KX released.</w:t>
            </w:r>
          </w:p>
        </w:tc>
      </w:tr>
    </w:tbl>
    <w:p>
      <w:r>
        <w:br w:type="page"/>
      </w:r>
    </w:p>
    <w:p>
      <w:pPr>
        <w:pStyle w:val="Heading1"/>
        <w:spacing w:before="400" w:after="120"/>
      </w:pPr>
      <w:r>
        <w:rPr>
          <w:rFonts w:ascii="Arial" w:cs="Arial" w:eastAsia="Arial" w:hAnsi="Arial"/>
          <w:b/>
          <w:bCs/>
          <w:color w:val="C9A84C"/>
          <w:sz w:val="36"/>
          <w:szCs w:val="36"/>
        </w:rPr>
        <w:t xml:space="preserve">14. Conclusion</w:t>
      </w:r>
    </w:p>
    <w:p>
      <w:pPr>
        <w:spacing w:before="60" w:after="120"/>
        <w:jc w:val="both"/>
      </w:pPr>
      <w:r>
        <w:rPr>
          <w:rFonts w:ascii="Arial" w:cs="Arial" w:eastAsia="Arial" w:hAnsi="Arial"/>
          <w:b w:val="false"/>
          <w:bCs w:val="false"/>
          <w:i w:val="false"/>
          <w:iCs w:val="false"/>
          <w:color w:val="000000"/>
          <w:sz w:val="22"/>
          <w:szCs w:val="22"/>
        </w:rPr>
        <w:t xml:space="preserve">ChronX is the only blockchain built for the promises that matter most: the ones that take years or decades to fulfill.</w:t>
      </w:r>
    </w:p>
    <w:p>
      <w:pPr>
        <w:spacing w:before="60" w:after="120"/>
        <w:jc w:val="both"/>
      </w:pPr>
      <w:r>
        <w:rPr>
          <w:rFonts w:ascii="Arial" w:cs="Arial" w:eastAsia="Arial" w:hAnsi="Arial"/>
          <w:b w:val="false"/>
          <w:bCs w:val="false"/>
          <w:i w:val="false"/>
          <w:iCs w:val="false"/>
          <w:color w:val="000000"/>
          <w:sz w:val="22"/>
          <w:szCs w:val="22"/>
        </w:rPr>
        <w:t xml:space="preserve">From a parent sending KX to a child's wallet, unlocking on their eighteenth birthday, to a corporation issuing bond-equivalent instruments on a public DAG, to an AI agent settling high-frequency trading obligations every second — ChronX provides the infrastructure for all of it with zero fees, zero intermediaries for on-chain execution, and zero tolerance for failure to deliver what the protocol has committed to.</w:t>
      </w:r>
    </w:p>
    <w:p>
      <w:pPr>
        <w:spacing w:before="60" w:after="120"/>
        <w:jc w:val="both"/>
      </w:pPr>
      <w:r>
        <w:rPr>
          <w:rFonts w:ascii="Arial" w:cs="Arial" w:eastAsia="Arial" w:hAnsi="Arial"/>
          <w:b w:val="false"/>
          <w:bCs w:val="false"/>
          <w:i w:val="false"/>
          <w:iCs w:val="false"/>
          <w:color w:val="000000"/>
          <w:sz w:val="22"/>
          <w:szCs w:val="22"/>
        </w:rPr>
        <w:t xml:space="preserve">In fifty years, the currencies of today may no longer exist. The blockchains of today may have been broken by quantum computers. The financial instruments of today may have been replaced by forms we cannot yet imagine. ChronX was designed for this reality. The protocol does not assume anything about the future of money. It assumes only that human beings will continue to make promises to each other — and that those promises deserve to be kept.</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merely record that a promise was made. ChronX makes the promise inevitable."</w:t>
      </w:r>
    </w:p>
    <w:p>
      <w:r>
        <w:t xml:space="preserve"/>
      </w:r>
    </w:p>
    <w:p>
      <w:pPr>
        <w:spacing w:before="200" w:after="80"/>
        <w:jc w:val="center"/>
      </w:pPr>
      <w:r>
        <w:rPr>
          <w:rFonts w:ascii="Arial" w:cs="Arial" w:eastAsia="Arial" w:hAnsi="Arial"/>
          <w:b/>
          <w:bCs/>
          <w:color w:val="C9A84C"/>
          <w:sz w:val="26"/>
          <w:szCs w:val="26"/>
        </w:rPr>
        <w:t xml:space="preserve">ChronX Protocol — The Future Payment Protocol</w:t>
      </w:r>
    </w:p>
    <w:p>
      <w:pPr>
        <w:spacing w:before="0" w:after="80"/>
        <w:jc w:val="center"/>
      </w:pPr>
      <w:r>
        <w:rPr>
          <w:rFonts w:ascii="Arial" w:cs="Arial" w:eastAsia="Arial" w:hAnsi="Arial"/>
          <w:color w:val="2E3A5C"/>
          <w:sz w:val="22"/>
          <w:szCs w:val="22"/>
        </w:rPr>
        <w:t xml:space="preserve">chronx.io</w:t>
      </w:r>
    </w:p>
    <w:p>
      <w:pPr>
        <w:spacing w:before="0" w:after="0"/>
        <w:jc w:val="center"/>
      </w:pPr>
      <w:r>
        <w:rPr>
          <w:rFonts w:ascii="Arial" w:cs="Arial" w:eastAsia="Arial" w:hAnsi="Arial"/>
          <w:color w:val="666666"/>
          <w:sz w:val="22"/>
          <w:szCs w:val="22"/>
        </w:rPr>
        <w:t xml:space="preserve">ICO: September 22, 2026</w:t>
      </w:r>
    </w:p>
    <w:p>
      <w:r>
        <w:br w:type="page"/>
      </w:r>
    </w:p>
    <w:p>
      <w:pPr>
        <w:spacing w:before="400" w:after="80"/>
        <w:jc w:val="center"/>
      </w:pPr>
      <w:r>
        <w:rPr>
          <w:rFonts w:ascii="Arial" w:cs="Arial" w:eastAsia="Arial" w:hAnsi="Arial"/>
          <w:b/>
          <w:bCs/>
          <w:color w:val="C9A84C"/>
          <w:sz w:val="48"/>
          <w:szCs w:val="48"/>
        </w:rPr>
        <w:t xml:space="preserve">EXHIBIT A</w:t>
      </w:r>
    </w:p>
    <w:p>
      <w:pPr>
        <w:spacing w:before="0" w:after="80"/>
        <w:jc w:val="center"/>
      </w:pPr>
      <w:r>
        <w:rPr>
          <w:rFonts w:ascii="Arial" w:cs="Arial" w:eastAsia="Arial" w:hAnsi="Arial"/>
          <w:b/>
          <w:bCs/>
          <w:color w:val="2E3A5C"/>
          <w:sz w:val="32"/>
          <w:szCs w:val="32"/>
        </w:rPr>
        <w:t xml:space="preserve">Real-World Use Cases</w:t>
      </w:r>
    </w:p>
    <w:p>
      <w:pPr>
        <w:spacing w:before="0" w:after="200"/>
        <w:jc w:val="center"/>
      </w:pPr>
      <w:r>
        <w:rPr>
          <w:rFonts w:ascii="Arial" w:cs="Arial" w:eastAsia="Arial" w:hAnsi="Arial"/>
          <w:i/>
          <w:iCs/>
          <w:color w:val="666666"/>
          <w:sz w:val="22"/>
          <w:szCs w:val="22"/>
        </w:rPr>
        <w:t xml:space="preserve">Exhibit A to ChronX Protocol Whitepaper v5.6</w:t>
      </w:r>
    </w:p>
    <w:p>
      <w:pPr>
        <w:pBdr>
          <w:bottom w:val="single" w:color="C9A84C" w:sz="4" w:space="1"/>
        </w:pBdr>
        <w:spacing w:before="200" w:after="200"/>
      </w:pPr>
      <w:r>
        <w:t xml:space="preserve"/>
      </w:r>
    </w:p>
    <w:p>
      <w:r>
        <w:br w:type="page"/>
      </w:r>
    </w:p>
    <w:p>
      <w:pPr>
        <w:pStyle w:val="Heading1"/>
        <w:spacing w:before="400" w:after="120"/>
      </w:pPr>
      <w:r>
        <w:rPr>
          <w:rFonts w:ascii="Arial" w:cs="Arial" w:eastAsia="Arial" w:hAnsi="Arial"/>
          <w:b/>
          <w:bCs/>
          <w:color w:val="C9A84C"/>
          <w:sz w:val="36"/>
          <w:szCs w:val="36"/>
        </w:rPr>
        <w:t xml:space="preserve">A.1 Individual and Family</w:t>
      </w:r>
    </w:p>
    <w:p>
      <w:pPr>
        <w:pStyle w:val="Heading2"/>
        <w:spacing w:before="280" w:after="120"/>
      </w:pPr>
      <w:r>
        <w:rPr>
          <w:rFonts w:ascii="Arial" w:cs="Arial" w:eastAsia="Arial" w:hAnsi="Arial"/>
          <w:b/>
          <w:bCs/>
          <w:color w:val="000000"/>
          <w:sz w:val="28"/>
          <w:szCs w:val="28"/>
        </w:rPr>
        <w:t xml:space="preserve">A.1.1 — The Birthday Gift</w:t>
      </w:r>
    </w:p>
    <w:p>
      <w:pPr>
        <w:spacing w:before="60" w:after="120"/>
        <w:jc w:val="both"/>
      </w:pPr>
      <w:r>
        <w:rPr>
          <w:rFonts w:ascii="Arial" w:cs="Arial" w:eastAsia="Arial" w:hAnsi="Arial"/>
          <w:b w:val="false"/>
          <w:bCs w:val="false"/>
          <w:i w:val="false"/>
          <w:iCs w:val="false"/>
          <w:color w:val="000000"/>
          <w:sz w:val="22"/>
          <w:szCs w:val="22"/>
        </w:rPr>
        <w:t xml:space="preserve">A grandparent wants to give a sum of value to a grandchild on their eighteenth birthday, regardless of what happens to the grandparent between now and then.</w:t>
      </w:r>
    </w:p>
    <w:p>
      <w:pPr>
        <w:pStyle w:val="ListParagraph"/>
        <w:numPr>
          <w:ilvl w:val="0"/>
          <w:numId w:val="2"/>
        </w:numPr>
        <w:spacing w:before="40" w:after="40"/>
      </w:pPr>
      <w:r>
        <w:rPr>
          <w:rFonts w:ascii="Arial" w:cs="Arial" w:eastAsia="Arial" w:hAnsi="Arial"/>
          <w:sz w:val="22"/>
          <w:szCs w:val="22"/>
        </w:rPr>
        <w:t xml:space="preserve">TYPE S + PAY_AS (denomination of grantor's choice, at maturity). Unlock date set to 18th birthday. Beneficiary context encrypted on-chain.</w:t>
      </w:r>
    </w:p>
    <w:p>
      <w:pPr>
        <w:pStyle w:val="ListParagraph"/>
        <w:numPr>
          <w:ilvl w:val="0"/>
          <w:numId w:val="2"/>
        </w:numPr>
        <w:spacing w:before="40" w:after="40"/>
      </w:pPr>
      <w:r>
        <w:rPr>
          <w:rFonts w:ascii="Arial" w:cs="Arial" w:eastAsia="Arial" w:hAnsi="Arial"/>
          <w:sz w:val="22"/>
          <w:szCs w:val="22"/>
        </w:rPr>
        <w:t xml:space="preserve">Irrevocable after the cancellation window. Delivers automatically.</w:t>
      </w:r>
    </w:p>
    <w:p>
      <w:pPr>
        <w:pStyle w:val="ListParagraph"/>
        <w:numPr>
          <w:ilvl w:val="0"/>
          <w:numId w:val="2"/>
        </w:numPr>
        <w:spacing w:before="40" w:after="40"/>
      </w:pPr>
      <w:r>
        <w:rPr>
          <w:rFonts w:ascii="Arial" w:cs="Arial" w:eastAsia="Arial" w:hAnsi="Arial"/>
          <w:sz w:val="22"/>
          <w:szCs w:val="22"/>
        </w:rPr>
        <w:t xml:space="preserve">If the child's contact information no longer exists, Verifas attestors locate and verify the recipient.</w:t>
      </w:r>
    </w:p>
    <w:p>
      <w:pPr>
        <w:spacing w:before="60" w:after="120"/>
        <w:jc w:val="both"/>
      </w:pPr>
      <w:r>
        <w:rPr>
          <w:rFonts w:ascii="Arial" w:cs="Arial" w:eastAsia="Arial" w:hAnsi="Arial"/>
          <w:b w:val="false"/>
          <w:bCs w:val="false"/>
          <w:i w:val="false"/>
          <w:iCs w:val="false"/>
          <w:color w:val="000000"/>
          <w:sz w:val="22"/>
          <w:szCs w:val="22"/>
        </w:rPr>
        <w:t xml:space="preserve">Result: A legally-independent, intermediary-free inheritance that survives the death or incapacity of the sender.</w:t>
      </w:r>
    </w:p>
    <w:p>
      <w:pPr>
        <w:pStyle w:val="Heading2"/>
        <w:spacing w:before="280" w:after="120"/>
      </w:pPr>
      <w:r>
        <w:rPr>
          <w:rFonts w:ascii="Arial" w:cs="Arial" w:eastAsia="Arial" w:hAnsi="Arial"/>
          <w:b/>
          <w:bCs/>
          <w:color w:val="000000"/>
          <w:sz w:val="28"/>
          <w:szCs w:val="28"/>
        </w:rPr>
        <w:t xml:space="preserve">A.1.2 — Child Support Enforcement</w:t>
      </w:r>
    </w:p>
    <w:p>
      <w:pPr>
        <w:spacing w:before="60" w:after="120"/>
        <w:jc w:val="both"/>
      </w:pPr>
      <w:r>
        <w:rPr>
          <w:rFonts w:ascii="Arial" w:cs="Arial" w:eastAsia="Arial" w:hAnsi="Arial"/>
          <w:b w:val="false"/>
          <w:bCs w:val="false"/>
          <w:i w:val="false"/>
          <w:iCs w:val="false"/>
          <w:color w:val="000000"/>
          <w:sz w:val="22"/>
          <w:szCs w:val="22"/>
        </w:rPr>
        <w:t xml:space="preserve">A court orders monthly child support for ten years.</w:t>
      </w:r>
    </w:p>
    <w:p>
      <w:pPr>
        <w:pStyle w:val="ListParagraph"/>
        <w:numPr>
          <w:ilvl w:val="0"/>
          <w:numId w:val="2"/>
        </w:numPr>
        <w:spacing w:before="40" w:after="40"/>
      </w:pPr>
      <w:r>
        <w:rPr>
          <w:rFonts w:ascii="Arial" w:cs="Arial" w:eastAsia="Arial" w:hAnsi="Arial"/>
          <w:sz w:val="22"/>
          <w:szCs w:val="22"/>
        </w:rPr>
        <w:t xml:space="preserve">CASCADE (monthly stages) + MISAI monitoring. Each payment permanently marked complete.</w:t>
      </w:r>
    </w:p>
    <w:p>
      <w:pPr>
        <w:pStyle w:val="ListParagraph"/>
        <w:numPr>
          <w:ilvl w:val="0"/>
          <w:numId w:val="2"/>
        </w:numPr>
        <w:spacing w:before="40" w:after="40"/>
      </w:pPr>
      <w:r>
        <w:rPr>
          <w:rFonts w:ascii="Arial" w:cs="Arial" w:eastAsia="Arial" w:hAnsi="Arial"/>
          <w:sz w:val="22"/>
          <w:szCs w:val="22"/>
        </w:rPr>
        <w:t xml:space="preserve">Any missed payment generates a permanent DefaultRecord. LenderMemo available for court-ordered resolution.</w:t>
      </w:r>
    </w:p>
    <w:p>
      <w:pPr>
        <w:spacing w:before="60" w:after="120"/>
        <w:jc w:val="both"/>
      </w:pPr>
      <w:r>
        <w:rPr>
          <w:rFonts w:ascii="Arial" w:cs="Arial" w:eastAsia="Arial" w:hAnsi="Arial"/>
          <w:b w:val="false"/>
          <w:bCs w:val="false"/>
          <w:i w:val="false"/>
          <w:iCs w:val="false"/>
          <w:color w:val="000000"/>
          <w:sz w:val="22"/>
          <w:szCs w:val="22"/>
        </w:rPr>
        <w:t xml:space="preserve">Result: Self-documenting compliance record. Full annotated history always visible.</w:t>
      </w:r>
    </w:p>
    <w:p>
      <w:pPr>
        <w:pStyle w:val="Heading2"/>
        <w:spacing w:before="280" w:after="120"/>
      </w:pPr>
      <w:r>
        <w:rPr>
          <w:rFonts w:ascii="Arial" w:cs="Arial" w:eastAsia="Arial" w:hAnsi="Arial"/>
          <w:b/>
          <w:bCs/>
          <w:color w:val="000000"/>
          <w:sz w:val="28"/>
          <w:szCs w:val="28"/>
        </w:rPr>
        <w:t xml:space="preserve">A.1.3 — The Conditional Gift</w:t>
      </w:r>
    </w:p>
    <w:p>
      <w:pPr>
        <w:spacing w:before="60" w:after="120"/>
        <w:jc w:val="both"/>
      </w:pPr>
      <w:r>
        <w:rPr>
          <w:rFonts w:ascii="Arial" w:cs="Arial" w:eastAsia="Arial" w:hAnsi="Arial"/>
          <w:b w:val="false"/>
          <w:bCs w:val="false"/>
          <w:i w:val="false"/>
          <w:iCs w:val="false"/>
          <w:color w:val="000000"/>
          <w:sz w:val="22"/>
          <w:szCs w:val="22"/>
        </w:rPr>
        <w:t xml:space="preserve">A parent wants to give value when their child completes a college degree.</w:t>
      </w:r>
    </w:p>
    <w:p>
      <w:pPr>
        <w:pStyle w:val="ListParagraph"/>
        <w:numPr>
          <w:ilvl w:val="0"/>
          <w:numId w:val="2"/>
        </w:numPr>
        <w:spacing w:before="40" w:after="40"/>
      </w:pPr>
      <w:r>
        <w:rPr>
          <w:rFonts w:ascii="Arial" w:cs="Arial" w:eastAsia="Arial" w:hAnsi="Arial"/>
          <w:sz w:val="22"/>
          <w:szCs w:val="22"/>
        </w:rPr>
        <w:t xml:space="preserve">TYPE V + Verifas attestor. Funds locked until attestor verifies degree completion.</w:t>
      </w:r>
    </w:p>
    <w:p>
      <w:pPr>
        <w:spacing w:before="60" w:after="120"/>
        <w:jc w:val="both"/>
      </w:pPr>
      <w:r>
        <w:rPr>
          <w:rFonts w:ascii="Arial" w:cs="Arial" w:eastAsia="Arial" w:hAnsi="Arial"/>
          <w:b w:val="false"/>
          <w:bCs w:val="false"/>
          <w:i w:val="false"/>
          <w:iCs w:val="false"/>
          <w:color w:val="000000"/>
          <w:sz w:val="22"/>
          <w:szCs w:val="22"/>
        </w:rPr>
        <w:t xml:space="preserve">Result: A conditional bequest with no trust, no trustee, and no fees.</w:t>
      </w:r>
    </w:p>
    <w:p>
      <w:pPr>
        <w:pStyle w:val="Heading2"/>
        <w:spacing w:before="280" w:after="120"/>
      </w:pPr>
      <w:r>
        <w:rPr>
          <w:rFonts w:ascii="Arial" w:cs="Arial" w:eastAsia="Arial" w:hAnsi="Arial"/>
          <w:b/>
          <w:bCs/>
          <w:color w:val="000000"/>
          <w:sz w:val="28"/>
          <w:szCs w:val="28"/>
        </w:rPr>
        <w:t xml:space="preserve">A.1.4 — Recurring Charitable Pledge</w:t>
      </w:r>
    </w:p>
    <w:p>
      <w:pPr>
        <w:spacing w:before="60" w:after="120"/>
        <w:jc w:val="both"/>
      </w:pPr>
      <w:r>
        <w:rPr>
          <w:rFonts w:ascii="Arial" w:cs="Arial" w:eastAsia="Arial" w:hAnsi="Arial"/>
          <w:b w:val="false"/>
          <w:bCs w:val="false"/>
          <w:i w:val="false"/>
          <w:iCs w:val="false"/>
          <w:color w:val="000000"/>
          <w:sz w:val="22"/>
          <w:szCs w:val="22"/>
        </w:rPr>
        <w:t xml:space="preserve">A donor commits to annual giving to a nonprofit for ten years.</w:t>
      </w:r>
    </w:p>
    <w:p>
      <w:pPr>
        <w:pStyle w:val="ListParagraph"/>
        <w:numPr>
          <w:ilvl w:val="0"/>
          <w:numId w:val="2"/>
        </w:numPr>
        <w:spacing w:before="40" w:after="40"/>
      </w:pPr>
      <w:r>
        <w:rPr>
          <w:rFonts w:ascii="Arial" w:cs="Arial" w:eastAsia="Arial" w:hAnsi="Arial"/>
          <w:sz w:val="22"/>
          <w:szCs w:val="22"/>
        </w:rPr>
        <w:t xml:space="preserve">CASCADE (annual stages). Irrevocable after cancellation window. Optional TYPE V matching condition.</w:t>
      </w:r>
    </w:p>
    <w:p>
      <w:pPr>
        <w:spacing w:before="60" w:after="120"/>
        <w:jc w:val="both"/>
      </w:pPr>
      <w:r>
        <w:rPr>
          <w:rFonts w:ascii="Arial" w:cs="Arial" w:eastAsia="Arial" w:hAnsi="Arial"/>
          <w:b w:val="false"/>
          <w:bCs w:val="false"/>
          <w:i w:val="false"/>
          <w:iCs w:val="false"/>
          <w:color w:val="000000"/>
          <w:sz w:val="22"/>
          <w:szCs w:val="22"/>
        </w:rPr>
        <w:t xml:space="preserve">Result: Binding pledge on-chain without foundation administration overhead.</w:t>
      </w:r>
    </w:p>
    <w:p>
      <w:r>
        <w:br w:type="page"/>
      </w:r>
    </w:p>
    <w:p>
      <w:pPr>
        <w:pStyle w:val="Heading1"/>
        <w:spacing w:before="400" w:after="120"/>
      </w:pPr>
      <w:r>
        <w:rPr>
          <w:rFonts w:ascii="Arial" w:cs="Arial" w:eastAsia="Arial" w:hAnsi="Arial"/>
          <w:b/>
          <w:bCs/>
          <w:color w:val="C9A84C"/>
          <w:sz w:val="36"/>
          <w:szCs w:val="36"/>
        </w:rPr>
        <w:t xml:space="preserve">A.2 Legal and Professional</w:t>
      </w:r>
    </w:p>
    <w:p>
      <w:pPr>
        <w:pStyle w:val="Heading2"/>
        <w:spacing w:before="280" w:after="120"/>
      </w:pPr>
      <w:r>
        <w:rPr>
          <w:rFonts w:ascii="Arial" w:cs="Arial" w:eastAsia="Arial" w:hAnsi="Arial"/>
          <w:b/>
          <w:bCs/>
          <w:color w:val="000000"/>
          <w:sz w:val="28"/>
          <w:szCs w:val="28"/>
        </w:rPr>
        <w:t xml:space="preserve">A.2.1 — The Structured Settlement</w:t>
      </w:r>
    </w:p>
    <w:p>
      <w:pPr>
        <w:spacing w:before="60" w:after="120"/>
        <w:jc w:val="both"/>
      </w:pPr>
      <w:r>
        <w:rPr>
          <w:rFonts w:ascii="Arial" w:cs="Arial" w:eastAsia="Arial" w:hAnsi="Arial"/>
          <w:b w:val="false"/>
          <w:bCs w:val="false"/>
          <w:i w:val="false"/>
          <w:iCs w:val="false"/>
          <w:color w:val="000000"/>
          <w:sz w:val="22"/>
          <w:szCs w:val="22"/>
        </w:rPr>
        <w:t xml:space="preserve">A personal injury lawsuit settles for a sum payable over 20 years.</w:t>
      </w:r>
    </w:p>
    <w:p>
      <w:pPr>
        <w:pStyle w:val="ListParagraph"/>
        <w:numPr>
          <w:ilvl w:val="0"/>
          <w:numId w:val="2"/>
        </w:numPr>
        <w:spacing w:before="40" w:after="40"/>
      </w:pPr>
      <w:r>
        <w:rPr>
          <w:rFonts w:ascii="Arial" w:cs="Arial" w:eastAsia="Arial" w:hAnsi="Arial"/>
          <w:sz w:val="22"/>
          <w:szCs w:val="22"/>
        </w:rPr>
        <w:t xml:space="preserve">TYPE D + PAY_AS (denomination at maturity), monthly stages. No annuity company required.</w:t>
      </w:r>
    </w:p>
    <w:p>
      <w:pPr>
        <w:spacing w:before="60" w:after="120"/>
        <w:jc w:val="both"/>
      </w:pPr>
      <w:r>
        <w:rPr>
          <w:rFonts w:ascii="Arial" w:cs="Arial" w:eastAsia="Arial" w:hAnsi="Arial"/>
          <w:b w:val="false"/>
          <w:bCs w:val="false"/>
          <w:i w:val="false"/>
          <w:iCs w:val="false"/>
          <w:color w:val="000000"/>
          <w:sz w:val="22"/>
          <w:szCs w:val="22"/>
        </w:rPr>
        <w:t xml:space="preserve">Result: Zero administration cost, no counterparty insolvency risk.</w:t>
      </w:r>
    </w:p>
    <w:p>
      <w:pPr>
        <w:pStyle w:val="Heading2"/>
        <w:spacing w:before="280" w:after="120"/>
      </w:pPr>
      <w:r>
        <w:rPr>
          <w:rFonts w:ascii="Arial" w:cs="Arial" w:eastAsia="Arial" w:hAnsi="Arial"/>
          <w:b/>
          <w:bCs/>
          <w:color w:val="000000"/>
          <w:sz w:val="28"/>
          <w:szCs w:val="28"/>
        </w:rPr>
        <w:t xml:space="preserve">A.2.2 — Attorney Escrow</w:t>
      </w:r>
    </w:p>
    <w:p>
      <w:pPr>
        <w:spacing w:before="60" w:after="120"/>
        <w:jc w:val="both"/>
      </w:pPr>
      <w:r>
        <w:rPr>
          <w:rFonts w:ascii="Arial" w:cs="Arial" w:eastAsia="Arial" w:hAnsi="Arial"/>
          <w:b w:val="false"/>
          <w:bCs w:val="false"/>
          <w:i w:val="false"/>
          <w:iCs w:val="false"/>
          <w:color w:val="000000"/>
          <w:sz w:val="22"/>
          <w:szCs w:val="22"/>
        </w:rPr>
        <w:t xml:space="preserve">A law firm holds settlement funds pending resolution of conditions.</w:t>
      </w:r>
    </w:p>
    <w:p>
      <w:pPr>
        <w:pStyle w:val="ListParagraph"/>
        <w:numPr>
          <w:ilvl w:val="0"/>
          <w:numId w:val="2"/>
        </w:numPr>
        <w:spacing w:before="40" w:after="40"/>
      </w:pPr>
      <w:r>
        <w:rPr>
          <w:rFonts w:ascii="Arial" w:cs="Arial" w:eastAsia="Arial" w:hAnsi="Arial"/>
          <w:sz w:val="22"/>
          <w:szCs w:val="22"/>
        </w:rPr>
        <w:t xml:space="preserve">TYPE V + attorney as bonded attestor. Complete chain of custody on the DAG.</w:t>
      </w:r>
    </w:p>
    <w:p>
      <w:pPr>
        <w:spacing w:before="60" w:after="120"/>
        <w:jc w:val="both"/>
      </w:pPr>
      <w:r>
        <w:rPr>
          <w:rFonts w:ascii="Arial" w:cs="Arial" w:eastAsia="Arial" w:hAnsi="Arial"/>
          <w:b w:val="false"/>
          <w:bCs w:val="false"/>
          <w:i w:val="false"/>
          <w:iCs w:val="false"/>
          <w:color w:val="000000"/>
          <w:sz w:val="22"/>
          <w:szCs w:val="22"/>
        </w:rPr>
        <w:t xml:space="preserve">Result: Escrow with an immutable, annotatable audit trail.</w:t>
      </w:r>
    </w:p>
    <w:p>
      <w:pPr>
        <w:pStyle w:val="Heading2"/>
        <w:spacing w:before="280" w:after="120"/>
      </w:pPr>
      <w:r>
        <w:rPr>
          <w:rFonts w:ascii="Arial" w:cs="Arial" w:eastAsia="Arial" w:hAnsi="Arial"/>
          <w:b/>
          <w:bCs/>
          <w:color w:val="000000"/>
          <w:sz w:val="28"/>
          <w:szCs w:val="28"/>
        </w:rPr>
        <w:t xml:space="preserve">A.2.3 — Deferred Compensation Vesting</w:t>
      </w:r>
    </w:p>
    <w:p>
      <w:pPr>
        <w:spacing w:before="60" w:after="120"/>
        <w:jc w:val="both"/>
      </w:pPr>
      <w:r>
        <w:rPr>
          <w:rFonts w:ascii="Arial" w:cs="Arial" w:eastAsia="Arial" w:hAnsi="Arial"/>
          <w:b w:val="false"/>
          <w:bCs w:val="false"/>
          <w:i w:val="false"/>
          <w:iCs w:val="false"/>
          <w:color w:val="000000"/>
          <w:sz w:val="22"/>
          <w:szCs w:val="22"/>
        </w:rPr>
        <w:t xml:space="preserve">An employer grants a retention bonus vesting over four years with a one-year cliff.</w:t>
      </w:r>
    </w:p>
    <w:p>
      <w:pPr>
        <w:pStyle w:val="ListParagraph"/>
        <w:numPr>
          <w:ilvl w:val="0"/>
          <w:numId w:val="2"/>
        </w:numPr>
        <w:spacing w:before="40" w:after="40"/>
      </w:pPr>
      <w:r>
        <w:rPr>
          <w:rFonts w:ascii="Arial" w:cs="Arial" w:eastAsia="Arial" w:hAnsi="Arial"/>
          <w:sz w:val="22"/>
          <w:szCs w:val="22"/>
        </w:rPr>
        <w:t xml:space="preserve">CASCADE + TYPE V cliff condition. Annual release once cliff is cleared.</w:t>
      </w:r>
    </w:p>
    <w:p>
      <w:pPr>
        <w:spacing w:before="60" w:after="120"/>
        <w:jc w:val="both"/>
      </w:pPr>
      <w:r>
        <w:rPr>
          <w:rFonts w:ascii="Arial" w:cs="Arial" w:eastAsia="Arial" w:hAnsi="Arial"/>
          <w:b w:val="false"/>
          <w:bCs w:val="false"/>
          <w:i w:val="false"/>
          <w:iCs w:val="false"/>
          <w:color w:val="000000"/>
          <w:sz w:val="22"/>
          <w:szCs w:val="22"/>
        </w:rPr>
        <w:t xml:space="preserve">Result: Vesting schedule with no stock option agreement or cap table required.</w:t>
      </w:r>
    </w:p>
    <w:p>
      <w:pPr>
        <w:pStyle w:val="Heading2"/>
        <w:spacing w:before="280" w:after="120"/>
      </w:pPr>
      <w:r>
        <w:rPr>
          <w:rFonts w:ascii="Arial" w:cs="Arial" w:eastAsia="Arial" w:hAnsi="Arial"/>
          <w:b/>
          <w:bCs/>
          <w:color w:val="000000"/>
          <w:sz w:val="28"/>
          <w:szCs w:val="28"/>
        </w:rPr>
        <w:t xml:space="preserve">A.2.4 — Cross-Border Royalty Payments</w:t>
      </w:r>
    </w:p>
    <w:p>
      <w:pPr>
        <w:spacing w:before="60" w:after="120"/>
        <w:jc w:val="both"/>
      </w:pPr>
      <w:r>
        <w:rPr>
          <w:rFonts w:ascii="Arial" w:cs="Arial" w:eastAsia="Arial" w:hAnsi="Arial"/>
          <w:b w:val="false"/>
          <w:bCs w:val="false"/>
          <w:i w:val="false"/>
          <w:iCs w:val="false"/>
          <w:color w:val="000000"/>
          <w:sz w:val="22"/>
          <w:szCs w:val="22"/>
        </w:rPr>
        <w:t xml:space="preserve">A publisher owes quarterly royalties to an international creator for 10 years.</w:t>
      </w:r>
    </w:p>
    <w:p>
      <w:pPr>
        <w:pStyle w:val="ListParagraph"/>
        <w:numPr>
          <w:ilvl w:val="0"/>
          <w:numId w:val="2"/>
        </w:numPr>
        <w:spacing w:before="40" w:after="40"/>
      </w:pPr>
      <w:r>
        <w:rPr>
          <w:rFonts w:ascii="Arial" w:cs="Arial" w:eastAsia="Arial" w:hAnsi="Arial"/>
          <w:sz w:val="22"/>
          <w:szCs w:val="22"/>
        </w:rPr>
        <w:t xml:space="preserve">CASCADE + PAY_AS (any governance-approved currency, settled at maturity). Zero intermediary cost.</w:t>
      </w:r>
    </w:p>
    <w:p>
      <w:pPr>
        <w:spacing w:before="60" w:after="120"/>
        <w:jc w:val="both"/>
      </w:pPr>
      <w:r>
        <w:rPr>
          <w:rFonts w:ascii="Arial" w:cs="Arial" w:eastAsia="Arial" w:hAnsi="Arial"/>
          <w:b w:val="false"/>
          <w:bCs w:val="false"/>
          <w:i w:val="false"/>
          <w:iCs w:val="false"/>
          <w:color w:val="000000"/>
          <w:sz w:val="22"/>
          <w:szCs w:val="22"/>
        </w:rPr>
        <w:t xml:space="preserve">Result: Permanent payment history, zero wire fees.</w:t>
      </w:r>
    </w:p>
    <w:p>
      <w:r>
        <w:br w:type="page"/>
      </w:r>
    </w:p>
    <w:p>
      <w:pPr>
        <w:pStyle w:val="Heading1"/>
        <w:spacing w:before="400" w:after="120"/>
      </w:pPr>
      <w:r>
        <w:rPr>
          <w:rFonts w:ascii="Arial" w:cs="Arial" w:eastAsia="Arial" w:hAnsi="Arial"/>
          <w:b/>
          <w:bCs/>
          <w:color w:val="C9A84C"/>
          <w:sz w:val="36"/>
          <w:szCs w:val="36"/>
        </w:rPr>
        <w:t xml:space="preserve">A.3 Business and Institutional</w:t>
      </w:r>
    </w:p>
    <w:p>
      <w:pPr>
        <w:pStyle w:val="Heading2"/>
        <w:spacing w:before="280" w:after="120"/>
      </w:pPr>
      <w:r>
        <w:rPr>
          <w:rFonts w:ascii="Arial" w:cs="Arial" w:eastAsia="Arial" w:hAnsi="Arial"/>
          <w:b/>
          <w:bCs/>
          <w:color w:val="000000"/>
          <w:sz w:val="28"/>
          <w:szCs w:val="28"/>
        </w:rPr>
        <w:t xml:space="preserve">A.3.1 — The Bond Equivalent</w:t>
      </w:r>
    </w:p>
    <w:p>
      <w:pPr>
        <w:spacing w:before="60" w:after="120"/>
        <w:jc w:val="both"/>
      </w:pPr>
      <w:r>
        <w:rPr>
          <w:rFonts w:ascii="Arial" w:cs="Arial" w:eastAsia="Arial" w:hAnsi="Arial"/>
          <w:b w:val="false"/>
          <w:bCs w:val="false"/>
          <w:i w:val="false"/>
          <w:iCs w:val="false"/>
          <w:color w:val="000000"/>
          <w:sz w:val="22"/>
          <w:szCs w:val="22"/>
        </w:rPr>
        <w:t xml:space="preserve">A company raises capital via a 5-year instrument paying annual coupons.</w:t>
      </w:r>
    </w:p>
    <w:p>
      <w:pPr>
        <w:pStyle w:val="ListParagraph"/>
        <w:numPr>
          <w:ilvl w:val="0"/>
          <w:numId w:val="2"/>
        </w:numPr>
        <w:spacing w:before="40" w:after="40"/>
      </w:pPr>
      <w:r>
        <w:rPr>
          <w:rFonts w:ascii="Arial" w:cs="Arial" w:eastAsia="Arial" w:hAnsi="Arial"/>
          <w:sz w:val="22"/>
          <w:szCs w:val="22"/>
        </w:rPr>
        <w:t xml:space="preserve">TYPE Y + CASCADE (annual coupons) + PAY_AS + HedgeX protection available.</w:t>
      </w:r>
    </w:p>
    <w:p>
      <w:pPr>
        <w:spacing w:before="60" w:after="120"/>
        <w:jc w:val="both"/>
      </w:pPr>
      <w:r>
        <w:rPr>
          <w:rFonts w:ascii="Arial" w:cs="Arial" w:eastAsia="Arial" w:hAnsi="Arial"/>
          <w:b w:val="false"/>
          <w:bCs w:val="false"/>
          <w:i w:val="false"/>
          <w:iCs w:val="false"/>
          <w:color w:val="000000"/>
          <w:sz w:val="22"/>
          <w:szCs w:val="22"/>
        </w:rPr>
        <w:t xml:space="preserve">Result: Bond-equivalent instrument with zero administration cost and real-time public payment status.</w:t>
      </w:r>
    </w:p>
    <w:p>
      <w:pPr>
        <w:pStyle w:val="Heading2"/>
        <w:spacing w:before="280" w:after="120"/>
      </w:pPr>
      <w:r>
        <w:rPr>
          <w:rFonts w:ascii="Arial" w:cs="Arial" w:eastAsia="Arial" w:hAnsi="Arial"/>
          <w:b/>
          <w:bCs/>
          <w:color w:val="000000"/>
          <w:sz w:val="28"/>
          <w:szCs w:val="28"/>
        </w:rPr>
        <w:t xml:space="preserve">A.3.2 — Subscription Billing</w:t>
      </w:r>
    </w:p>
    <w:p>
      <w:pPr>
        <w:spacing w:before="60" w:after="120"/>
        <w:jc w:val="both"/>
      </w:pPr>
      <w:r>
        <w:rPr>
          <w:rFonts w:ascii="Arial" w:cs="Arial" w:eastAsia="Arial" w:hAnsi="Arial"/>
          <w:b w:val="false"/>
          <w:bCs w:val="false"/>
          <w:i w:val="false"/>
          <w:iCs w:val="false"/>
          <w:color w:val="000000"/>
          <w:sz w:val="22"/>
          <w:szCs w:val="22"/>
        </w:rPr>
        <w:t xml:space="preserve">A service provider charges recurring fees per enterprise client.</w:t>
      </w:r>
    </w:p>
    <w:p>
      <w:pPr>
        <w:pStyle w:val="ListParagraph"/>
        <w:numPr>
          <w:ilvl w:val="0"/>
          <w:numId w:val="2"/>
        </w:numPr>
        <w:spacing w:before="40" w:after="40"/>
      </w:pPr>
      <w:r>
        <w:rPr>
          <w:rFonts w:ascii="Arial" w:cs="Arial" w:eastAsia="Arial" w:hAnsi="Arial"/>
          <w:sz w:val="22"/>
          <w:szCs w:val="22"/>
        </w:rPr>
        <w:t xml:space="preserve">TYPE C (Credit Authorization). Client can revoke at any time.</w:t>
      </w:r>
    </w:p>
    <w:p>
      <w:pPr>
        <w:spacing w:before="60" w:after="120"/>
        <w:jc w:val="both"/>
      </w:pPr>
      <w:r>
        <w:rPr>
          <w:rFonts w:ascii="Arial" w:cs="Arial" w:eastAsia="Arial" w:hAnsi="Arial"/>
          <w:b w:val="false"/>
          <w:bCs w:val="false"/>
          <w:i w:val="false"/>
          <w:iCs w:val="false"/>
          <w:color w:val="000000"/>
          <w:sz w:val="22"/>
          <w:szCs w:val="22"/>
        </w:rPr>
        <w:t xml:space="preserve">Result: No payment processor, no chargebacks, no failures.</w:t>
      </w:r>
    </w:p>
    <w:p>
      <w:pPr>
        <w:pStyle w:val="Heading2"/>
        <w:spacing w:before="280" w:after="120"/>
      </w:pPr>
      <w:r>
        <w:rPr>
          <w:rFonts w:ascii="Arial" w:cs="Arial" w:eastAsia="Arial" w:hAnsi="Arial"/>
          <w:b/>
          <w:bCs/>
          <w:color w:val="000000"/>
          <w:sz w:val="28"/>
          <w:szCs w:val="28"/>
        </w:rPr>
        <w:t xml:space="preserve">A.3.3 — Supply Chain Milestone Payments</w:t>
      </w:r>
    </w:p>
    <w:p>
      <w:pPr>
        <w:spacing w:before="60" w:after="120"/>
        <w:jc w:val="both"/>
      </w:pPr>
      <w:r>
        <w:rPr>
          <w:rFonts w:ascii="Arial" w:cs="Arial" w:eastAsia="Arial" w:hAnsi="Arial"/>
          <w:b w:val="false"/>
          <w:bCs w:val="false"/>
          <w:i w:val="false"/>
          <w:iCs w:val="false"/>
          <w:color w:val="000000"/>
          <w:sz w:val="22"/>
          <w:szCs w:val="22"/>
        </w:rPr>
        <w:t xml:space="preserve">A manufacturer pays a supplier in milestones as production stages complete.</w:t>
      </w:r>
    </w:p>
    <w:p>
      <w:pPr>
        <w:pStyle w:val="ListParagraph"/>
        <w:numPr>
          <w:ilvl w:val="0"/>
          <w:numId w:val="2"/>
        </w:numPr>
        <w:spacing w:before="40" w:after="40"/>
      </w:pPr>
      <w:r>
        <w:rPr>
          <w:rFonts w:ascii="Arial" w:cs="Arial" w:eastAsia="Arial" w:hAnsi="Arial"/>
          <w:sz w:val="22"/>
          <w:szCs w:val="22"/>
        </w:rPr>
        <w:t xml:space="preserve">CASCADE + TYPE V milestone conditions. Supplier has cryptographic certainty of payment.</w:t>
      </w:r>
    </w:p>
    <w:p>
      <w:pPr>
        <w:spacing w:before="60" w:after="120"/>
        <w:jc w:val="both"/>
      </w:pPr>
      <w:r>
        <w:rPr>
          <w:rFonts w:ascii="Arial" w:cs="Arial" w:eastAsia="Arial" w:hAnsi="Arial"/>
          <w:b w:val="false"/>
          <w:bCs w:val="false"/>
          <w:i w:val="false"/>
          <w:iCs w:val="false"/>
          <w:color w:val="000000"/>
          <w:sz w:val="22"/>
          <w:szCs w:val="22"/>
        </w:rPr>
        <w:t xml:space="preserve">Result: Replaces letters of credit, eliminates counterparty risk.</w:t>
      </w:r>
    </w:p>
    <w:p>
      <w:pPr>
        <w:pStyle w:val="Heading2"/>
        <w:spacing w:before="280" w:after="120"/>
      </w:pPr>
      <w:r>
        <w:rPr>
          <w:rFonts w:ascii="Arial" w:cs="Arial" w:eastAsia="Arial" w:hAnsi="Arial"/>
          <w:b/>
          <w:bCs/>
          <w:color w:val="000000"/>
          <w:sz w:val="28"/>
          <w:szCs w:val="28"/>
        </w:rPr>
        <w:t xml:space="preserve">A.3.4 — Proportional Distribution</w:t>
      </w:r>
    </w:p>
    <w:p>
      <w:pPr>
        <w:spacing w:before="60" w:after="120"/>
        <w:jc w:val="both"/>
      </w:pPr>
      <w:r>
        <w:rPr>
          <w:rFonts w:ascii="Arial" w:cs="Arial" w:eastAsia="Arial" w:hAnsi="Arial"/>
          <w:b w:val="false"/>
          <w:bCs w:val="false"/>
          <w:i w:val="false"/>
          <w:iCs w:val="false"/>
          <w:color w:val="000000"/>
          <w:sz w:val="22"/>
          <w:szCs w:val="22"/>
        </w:rPr>
        <w:t xml:space="preserve">An organization distributes value periodically to a large group of participants.</w:t>
      </w:r>
    </w:p>
    <w:p>
      <w:pPr>
        <w:pStyle w:val="ListParagraph"/>
        <w:numPr>
          <w:ilvl w:val="0"/>
          <w:numId w:val="2"/>
        </w:numPr>
        <w:spacing w:before="40" w:after="40"/>
      </w:pPr>
      <w:r>
        <w:rPr>
          <w:rFonts w:ascii="Arial" w:cs="Arial" w:eastAsia="Arial" w:hAnsi="Arial"/>
          <w:sz w:val="22"/>
          <w:szCs w:val="22"/>
        </w:rPr>
        <w:t xml:space="preserve">TYPE G (Wallet Group) + CASCADE. MISAI distributes proportionally in a single atomic transaction.</w:t>
      </w:r>
    </w:p>
    <w:p>
      <w:pPr>
        <w:spacing w:before="60" w:after="120"/>
        <w:jc w:val="both"/>
      </w:pPr>
      <w:r>
        <w:rPr>
          <w:rFonts w:ascii="Arial" w:cs="Arial" w:eastAsia="Arial" w:hAnsi="Arial"/>
          <w:b w:val="false"/>
          <w:bCs w:val="false"/>
          <w:i w:val="false"/>
          <w:iCs w:val="false"/>
          <w:color w:val="000000"/>
          <w:sz w:val="22"/>
          <w:szCs w:val="22"/>
        </w:rPr>
        <w:t xml:space="preserve">Result: Many recipients, one transaction, zero processing cost.</w:t>
      </w:r>
    </w:p>
    <w:p>
      <w:r>
        <w:br w:type="page"/>
      </w:r>
    </w:p>
    <w:p>
      <w:pPr>
        <w:pStyle w:val="Heading1"/>
        <w:spacing w:before="400" w:after="120"/>
      </w:pPr>
      <w:r>
        <w:rPr>
          <w:rFonts w:ascii="Arial" w:cs="Arial" w:eastAsia="Arial" w:hAnsi="Arial"/>
          <w:b/>
          <w:bCs/>
          <w:color w:val="C9A84C"/>
          <w:sz w:val="36"/>
          <w:szCs w:val="36"/>
        </w:rPr>
        <w:t xml:space="preserve">A.4 AI Agent and Fintech</w:t>
      </w:r>
    </w:p>
    <w:p>
      <w:pPr>
        <w:pStyle w:val="Heading2"/>
        <w:spacing w:before="280" w:after="120"/>
      </w:pPr>
      <w:r>
        <w:rPr>
          <w:rFonts w:ascii="Arial" w:cs="Arial" w:eastAsia="Arial" w:hAnsi="Arial"/>
          <w:b/>
          <w:bCs/>
          <w:color w:val="000000"/>
          <w:sz w:val="28"/>
          <w:szCs w:val="28"/>
        </w:rPr>
        <w:t xml:space="preserve">A.4.1 — AI Trading Agent Settlement</w:t>
      </w:r>
    </w:p>
    <w:p>
      <w:pPr>
        <w:spacing w:before="60" w:after="120"/>
        <w:jc w:val="both"/>
      </w:pPr>
      <w:r>
        <w:rPr>
          <w:rFonts w:ascii="Arial" w:cs="Arial" w:eastAsia="Arial" w:hAnsi="Arial"/>
          <w:b w:val="false"/>
          <w:bCs w:val="false"/>
          <w:i w:val="false"/>
          <w:iCs w:val="false"/>
          <w:color w:val="000000"/>
          <w:sz w:val="22"/>
          <w:szCs w:val="22"/>
        </w:rPr>
        <w:t xml:space="preserve">An AI trading agent settles obligations in real time.</w:t>
      </w:r>
    </w:p>
    <w:p>
      <w:pPr>
        <w:pStyle w:val="ListParagraph"/>
        <w:numPr>
          <w:ilvl w:val="0"/>
          <w:numId w:val="2"/>
        </w:numPr>
        <w:spacing w:before="40" w:after="40"/>
      </w:pPr>
      <w:r>
        <w:rPr>
          <w:rFonts w:ascii="Arial" w:cs="Arial" w:eastAsia="Arial" w:hAnsi="Arial"/>
          <w:sz w:val="22"/>
          <w:szCs w:val="22"/>
        </w:rPr>
        <w:t xml:space="preserve">TYPE D (High Frequency) + TYPE M. Axiom IV ensures decision and custody agents are always separate.</w:t>
      </w:r>
    </w:p>
    <w:p>
      <w:pPr>
        <w:spacing w:before="60" w:after="120"/>
        <w:jc w:val="both"/>
      </w:pPr>
      <w:r>
        <w:rPr>
          <w:rFonts w:ascii="Arial" w:cs="Arial" w:eastAsia="Arial" w:hAnsi="Arial"/>
          <w:b w:val="false"/>
          <w:bCs w:val="false"/>
          <w:i w:val="false"/>
          <w:iCs w:val="false"/>
          <w:color w:val="000000"/>
          <w:sz w:val="22"/>
          <w:szCs w:val="22"/>
        </w:rPr>
        <w:t xml:space="preserve">Result: AI-native settlement with permanent public audit trail and zero custodial risk.</w:t>
      </w:r>
    </w:p>
    <w:p>
      <w:pPr>
        <w:pStyle w:val="Heading2"/>
        <w:spacing w:before="280" w:after="120"/>
      </w:pPr>
      <w:r>
        <w:rPr>
          <w:rFonts w:ascii="Arial" w:cs="Arial" w:eastAsia="Arial" w:hAnsi="Arial"/>
          <w:b/>
          <w:bCs/>
          <w:color w:val="000000"/>
          <w:sz w:val="28"/>
          <w:szCs w:val="28"/>
        </w:rPr>
        <w:t xml:space="preserve">A.4.2 — Pay-Per-Decision AI Services</w:t>
      </w:r>
    </w:p>
    <w:p>
      <w:pPr>
        <w:spacing w:before="60" w:after="120"/>
        <w:jc w:val="both"/>
      </w:pPr>
      <w:r>
        <w:rPr>
          <w:rFonts w:ascii="Arial" w:cs="Arial" w:eastAsia="Arial" w:hAnsi="Arial"/>
          <w:b w:val="false"/>
          <w:bCs w:val="false"/>
          <w:i w:val="false"/>
          <w:iCs w:val="false"/>
          <w:color w:val="000000"/>
          <w:sz w:val="22"/>
          <w:szCs w:val="22"/>
        </w:rPr>
        <w:t xml:space="preserve">An AI service provider charges per decision made on behalf of a client.</w:t>
      </w:r>
    </w:p>
    <w:p>
      <w:pPr>
        <w:pStyle w:val="ListParagraph"/>
        <w:numPr>
          <w:ilvl w:val="0"/>
          <w:numId w:val="2"/>
        </w:numPr>
        <w:spacing w:before="40" w:after="40"/>
      </w:pPr>
      <w:r>
        <w:rPr>
          <w:rFonts w:ascii="Arial" w:cs="Arial" w:eastAsia="Arial" w:hAnsi="Arial"/>
          <w:sz w:val="22"/>
          <w:szCs w:val="22"/>
        </w:rPr>
        <w:t xml:space="preserve">TYPE C. Each decision draws a small amount automatically. Complete on-chain record of every charge.</w:t>
      </w:r>
    </w:p>
    <w:p>
      <w:pPr>
        <w:spacing w:before="60" w:after="120"/>
        <w:jc w:val="both"/>
      </w:pPr>
      <w:r>
        <w:rPr>
          <w:rFonts w:ascii="Arial" w:cs="Arial" w:eastAsia="Arial" w:hAnsi="Arial"/>
          <w:b w:val="false"/>
          <w:bCs w:val="false"/>
          <w:i w:val="false"/>
          <w:iCs w:val="false"/>
          <w:color w:val="000000"/>
          <w:sz w:val="22"/>
          <w:szCs w:val="22"/>
        </w:rPr>
        <w:t xml:space="preserve">Result: Micro-payment billing with complete transparency.</w:t>
      </w:r>
    </w:p>
    <w:p>
      <w:pPr>
        <w:pStyle w:val="Heading2"/>
        <w:spacing w:before="280" w:after="120"/>
      </w:pPr>
      <w:r>
        <w:rPr>
          <w:rFonts w:ascii="Arial" w:cs="Arial" w:eastAsia="Arial" w:hAnsi="Arial"/>
          <w:b/>
          <w:bCs/>
          <w:color w:val="000000"/>
          <w:sz w:val="28"/>
          <w:szCs w:val="28"/>
        </w:rPr>
        <w:t xml:space="preserve">A.4.3 — Cross-Border Lending Platform</w:t>
      </w:r>
    </w:p>
    <w:p>
      <w:pPr>
        <w:spacing w:before="60" w:after="120"/>
        <w:jc w:val="both"/>
      </w:pPr>
      <w:r>
        <w:rPr>
          <w:rFonts w:ascii="Arial" w:cs="Arial" w:eastAsia="Arial" w:hAnsi="Arial"/>
          <w:b w:val="false"/>
          <w:bCs w:val="false"/>
          <w:i w:val="false"/>
          <w:iCs w:val="false"/>
          <w:color w:val="000000"/>
          <w:sz w:val="22"/>
          <w:szCs w:val="22"/>
        </w:rPr>
        <w:t xml:space="preserve">A fintech company offers denomination-stable loans globally using KX as the settlement rail.</w:t>
      </w:r>
    </w:p>
    <w:p>
      <w:pPr>
        <w:pStyle w:val="ListParagraph"/>
        <w:numPr>
          <w:ilvl w:val="0"/>
          <w:numId w:val="2"/>
        </w:numPr>
        <w:spacing w:before="40" w:after="40"/>
      </w:pPr>
      <w:r>
        <w:rPr>
          <w:rFonts w:ascii="Arial" w:cs="Arial" w:eastAsia="Arial" w:hAnsi="Arial"/>
          <w:sz w:val="22"/>
          <w:szCs w:val="22"/>
        </w:rPr>
        <w:t xml:space="preserve">TYPE D + PAY_AS (any governance-approved currency) + HedgeX. DefaultRecords create portable global credit history.</w:t>
      </w:r>
    </w:p>
    <w:p>
      <w:pPr>
        <w:spacing w:before="60" w:after="120"/>
        <w:jc w:val="both"/>
      </w:pPr>
      <w:r>
        <w:rPr>
          <w:rFonts w:ascii="Arial" w:cs="Arial" w:eastAsia="Arial" w:hAnsi="Arial"/>
          <w:b w:val="false"/>
          <w:bCs w:val="false"/>
          <w:i w:val="false"/>
          <w:iCs w:val="false"/>
          <w:color w:val="000000"/>
          <w:sz w:val="22"/>
          <w:szCs w:val="22"/>
        </w:rPr>
        <w:t xml:space="preserve">Result: Cross-border lending with stable-denomination UX, zero-fee settlement, and permanent credit records.</w:t>
      </w:r>
    </w:p>
    <w:p>
      <w:pPr>
        <w:pBdr>
          <w:bottom w:val="single" w:color="C9A84C" w:sz="4" w:space="1"/>
        </w:pBdr>
        <w:spacing w:before="200" w:after="200"/>
      </w:pPr>
      <w:r>
        <w:t xml:space="preserve"/>
      </w:r>
    </w:p>
    <w:p>
      <w:pPr>
        <w:spacing w:before="0" w:after="80"/>
        <w:jc w:val="center"/>
      </w:pPr>
      <w:r>
        <w:rPr>
          <w:rFonts w:ascii="Arial" w:cs="Arial" w:eastAsia="Arial" w:hAnsi="Arial"/>
          <w:i/>
          <w:iCs/>
          <w:color w:val="666666"/>
          <w:sz w:val="20"/>
          <w:szCs w:val="20"/>
        </w:rPr>
        <w:t xml:space="preserve">End of Exhibit A</w:t>
      </w:r>
    </w:p>
    <w:p>
      <w:r>
        <w:br w:type="page"/>
      </w:r>
    </w:p>
    <w:p>
      <w:pPr>
        <w:spacing w:before="400" w:after="80"/>
        <w:jc w:val="center"/>
      </w:pPr>
      <w:r>
        <w:rPr>
          <w:rFonts w:ascii="Arial" w:cs="Arial" w:eastAsia="Arial" w:hAnsi="Arial"/>
          <w:b/>
          <w:bCs/>
          <w:color w:val="C9A84C"/>
          <w:sz w:val="48"/>
          <w:szCs w:val="48"/>
        </w:rPr>
        <w:t xml:space="preserve">EXHIBIT B</w:t>
      </w:r>
    </w:p>
    <w:p>
      <w:pPr>
        <w:spacing w:before="0" w:after="80"/>
        <w:jc w:val="center"/>
      </w:pPr>
      <w:r>
        <w:rPr>
          <w:rFonts w:ascii="Arial" w:cs="Arial" w:eastAsia="Arial" w:hAnsi="Arial"/>
          <w:b/>
          <w:bCs/>
          <w:color w:val="2E3A5C"/>
          <w:sz w:val="32"/>
          <w:szCs w:val="32"/>
        </w:rPr>
        <w:t xml:space="preserve">A Plain-English Guide to ChronX Finance</w:t>
      </w:r>
    </w:p>
    <w:p>
      <w:pPr>
        <w:spacing w:before="0" w:after="200"/>
        <w:jc w:val="center"/>
      </w:pPr>
      <w:r>
        <w:rPr>
          <w:rFonts w:ascii="Arial" w:cs="Arial" w:eastAsia="Arial" w:hAnsi="Arial"/>
          <w:i/>
          <w:iCs/>
          <w:color w:val="666666"/>
          <w:sz w:val="22"/>
          <w:szCs w:val="22"/>
        </w:rPr>
        <w:t xml:space="preserve">For readers who want to go deeper into how ChronX works in the real financial world.</w:t>
      </w:r>
    </w:p>
    <w:p>
      <w:pPr>
        <w:pBdr>
          <w:bottom w:val="single" w:color="C9A84C" w:sz="4" w:space="1"/>
        </w:pBdr>
        <w:spacing w:before="200" w:after="200"/>
      </w:pPr>
      <w:r>
        <w:t xml:space="preserve"/>
      </w:r>
    </w:p>
    <w:p>
      <w:r>
        <w:br w:type="page"/>
      </w:r>
    </w:p>
    <w:p>
      <w:pPr>
        <w:pStyle w:val="Heading1"/>
        <w:spacing w:before="400" w:after="120"/>
      </w:pPr>
      <w:r>
        <w:rPr>
          <w:rFonts w:ascii="Arial" w:cs="Arial" w:eastAsia="Arial" w:hAnsi="Arial"/>
          <w:b/>
          <w:bCs/>
          <w:color w:val="C9A84C"/>
          <w:sz w:val="36"/>
          <w:szCs w:val="36"/>
        </w:rPr>
        <w:t xml:space="preserve">B.1 Long-Term Promises and Verifas</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Imagine writing a check to your granddaughter, dated for her 18th birthday — but instead of a check that could be lost, forged, or cancelled, it's written into a blockchain that will exist long after you are gone. The money sits in a digital vault. On the exact date you specified, it opens. No one can stop it. No one can redirect it. The protocol enforces it automatically.</w:t>
      </w:r>
    </w:p>
    <w:p>
      <w:pPr>
        <w:pStyle w:val="Heading2"/>
        <w:spacing w:before="280" w:after="120"/>
      </w:pPr>
      <w:r>
        <w:rPr>
          <w:rFonts w:ascii="Arial" w:cs="Arial" w:eastAsia="Arial" w:hAnsi="Arial"/>
          <w:b/>
          <w:bCs/>
          <w:color w:val="000000"/>
          <w:sz w:val="28"/>
          <w:szCs w:val="28"/>
        </w:rPr>
        <w:t xml:space="preserve">What Could Go Wrong Over 20 Years?</w:t>
      </w:r>
    </w:p>
    <w:p>
      <w:pPr>
        <w:spacing w:before="60" w:after="120"/>
        <w:jc w:val="both"/>
      </w:pPr>
      <w:r>
        <w:rPr>
          <w:rFonts w:ascii="Arial" w:cs="Arial" w:eastAsia="Arial" w:hAnsi="Arial"/>
          <w:b w:val="false"/>
          <w:bCs w:val="false"/>
          <w:i w:val="false"/>
          <w:iCs w:val="false"/>
          <w:color w:val="000000"/>
          <w:sz w:val="22"/>
          <w:szCs w:val="22"/>
        </w:rPr>
        <w:t xml:space="preserve">The promise is mathematically perfect. But the real world is not. What if your granddaughter's email no longer exists? Verifas solves this — a network of bonded attestors whose only job is to find the right person and verify their identity. Verifas doesn't touch the money. It only answers one question: is this person the intended recipient?</w:t>
      </w:r>
    </w:p>
    <w:p>
      <w:pPr>
        <w:pStyle w:val="Heading2"/>
        <w:spacing w:before="280" w:after="120"/>
      </w:pPr>
      <w:r>
        <w:rPr>
          <w:rFonts w:ascii="Arial" w:cs="Arial" w:eastAsia="Arial" w:hAnsi="Arial"/>
          <w:b/>
          <w:bCs/>
          <w:color w:val="000000"/>
          <w:sz w:val="28"/>
          <w:szCs w:val="28"/>
        </w:rPr>
        <w:t xml:space="preserve">How Long Can a Promise Last?</w:t>
      </w:r>
    </w:p>
    <w:p>
      <w:pPr>
        <w:spacing w:before="60" w:after="120"/>
        <w:jc w:val="both"/>
      </w:pPr>
      <w:r>
        <w:rPr>
          <w:rFonts w:ascii="Arial" w:cs="Arial" w:eastAsia="Arial" w:hAnsi="Arial"/>
          <w:b w:val="false"/>
          <w:bCs w:val="false"/>
          <w:i w:val="false"/>
          <w:iCs w:val="false"/>
          <w:color w:val="000000"/>
          <w:sz w:val="22"/>
          <w:szCs w:val="22"/>
        </w:rPr>
        <w:t xml:space="preserve">Up to 100 years. After that, the Humanity Stake — a pool governed for the benefit of all humanity — receives any unclaimed funds. No funds are ever lost.</w:t>
      </w:r>
    </w:p>
    <w:p>
      <w:pPr>
        <w:pStyle w:val="Heading2"/>
        <w:spacing w:before="280" w:after="120"/>
      </w:pPr>
      <w:r>
        <w:rPr>
          <w:rFonts w:ascii="Arial" w:cs="Arial" w:eastAsia="Arial" w:hAnsi="Arial"/>
          <w:b/>
          <w:bCs/>
          <w:color w:val="000000"/>
          <w:sz w:val="28"/>
          <w:szCs w:val="28"/>
        </w:rPr>
        <w:t xml:space="preserve">What About the Currency?</w:t>
      </w:r>
    </w:p>
    <w:p>
      <w:pPr>
        <w:spacing w:before="60" w:after="120"/>
        <w:jc w:val="both"/>
      </w:pPr>
      <w:r>
        <w:rPr>
          <w:rFonts w:ascii="Arial" w:cs="Arial" w:eastAsia="Arial" w:hAnsi="Arial"/>
          <w:b w:val="false"/>
          <w:bCs w:val="false"/>
          <w:i w:val="false"/>
          <w:iCs w:val="false"/>
          <w:color w:val="000000"/>
          <w:sz w:val="22"/>
          <w:szCs w:val="22"/>
        </w:rPr>
        <w:t xml:space="preserve">This is where ChronX's design is genuinely forward-thinking. Nobody knows what money looks like in 2126. The currency you choose today may not exist in 50 years. PAY_AS records the denomination intent — what you meant when you made the promise. Foundation governance maintains a list of recognized currencies and their successors. If a currency ceases to exist, governance votes on a successor mapping. MISAI follows the mapping at maturity. The promise survives the currency.</w:t>
      </w:r>
    </w:p>
    <w:p>
      <w:r>
        <w:br w:type="page"/>
      </w:r>
    </w:p>
    <w:p>
      <w:pPr>
        <w:pStyle w:val="Heading1"/>
        <w:spacing w:before="400" w:after="120"/>
      </w:pPr>
      <w:r>
        <w:rPr>
          <w:rFonts w:ascii="Arial" w:cs="Arial" w:eastAsia="Arial" w:hAnsi="Arial"/>
          <w:b/>
          <w:bCs/>
          <w:color w:val="C9A84C"/>
          <w:sz w:val="36"/>
          <w:szCs w:val="36"/>
        </w:rPr>
        <w:t xml:space="preserve">B.2 Debt Payments and On-Chain Credit Reporting</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Every loan is a series of promises. On ChronX, those promises are written directly onto the blockchain — permanently and publicly. MISAI watches the schedule. Payments received are marked complete. Payments missed generate a DefaultRecord. The entire loan history is on the public ledger, forever.</w:t>
      </w:r>
    </w:p>
    <w:p>
      <w:pPr>
        <w:pStyle w:val="Heading2"/>
        <w:spacing w:before="280" w:after="120"/>
      </w:pPr>
      <w:r>
        <w:rPr>
          <w:rFonts w:ascii="Arial" w:cs="Arial" w:eastAsia="Arial" w:hAnsi="Arial"/>
          <w:b/>
          <w:bCs/>
          <w:color w:val="000000"/>
          <w:sz w:val="28"/>
          <w:szCs w:val="28"/>
        </w:rPr>
        <w:t xml:space="preserve">What Is a DefaultRecord?</w:t>
      </w:r>
    </w:p>
    <w:p>
      <w:pPr>
        <w:spacing w:before="60" w:after="120"/>
        <w:jc w:val="both"/>
      </w:pPr>
      <w:r>
        <w:rPr>
          <w:rFonts w:ascii="Arial" w:cs="Arial" w:eastAsia="Arial" w:hAnsi="Arial"/>
          <w:b w:val="false"/>
          <w:bCs w:val="false"/>
          <w:i w:val="false"/>
          <w:iCs w:val="false"/>
          <w:color w:val="000000"/>
          <w:sz w:val="22"/>
          <w:szCs w:val="22"/>
        </w:rPr>
        <w:t xml:space="preserve">A permanent, cryptographically signed, timestamped record attached to the borrower's wallet address. Any future lender who queries that address sees the complete loan history — not a score, the actual record.</w:t>
      </w:r>
    </w:p>
    <w:p>
      <w:pPr>
        <w:pStyle w:val="Heading2"/>
        <w:spacing w:before="280" w:after="120"/>
      </w:pPr>
      <w:r>
        <w:rPr>
          <w:rFonts w:ascii="Arial" w:cs="Arial" w:eastAsia="Arial" w:hAnsi="Arial"/>
          <w:b/>
          <w:bCs/>
          <w:color w:val="000000"/>
          <w:sz w:val="28"/>
          <w:szCs w:val="28"/>
        </w:rPr>
        <w:t xml:space="preserve">What Is a LenderMemo?</w:t>
      </w:r>
    </w:p>
    <w:p>
      <w:pPr>
        <w:spacing w:before="60" w:after="120"/>
        <w:jc w:val="both"/>
      </w:pPr>
      <w:r>
        <w:rPr>
          <w:rFonts w:ascii="Arial" w:cs="Arial" w:eastAsia="Arial" w:hAnsi="Arial"/>
          <w:b w:val="false"/>
          <w:bCs w:val="false"/>
          <w:i w:val="false"/>
          <w:iCs w:val="false"/>
          <w:color w:val="000000"/>
          <w:sz w:val="22"/>
          <w:szCs w:val="22"/>
        </w:rPr>
        <w:t xml:space="preserve">A signed, on-chain annotation that the original lender can attach to any DefaultRecord. If a court orders a default lifted, or both parties negotiate a settlement, the lender submits a LenderMemo. Future lenders see both records: the original default and its resolution. Nothing is erased — the full, annotated truth is always visible. One memo per default event, signed by the original lender wallet, prevents spam.</w:t>
      </w:r>
    </w:p>
    <w:p>
      <w:pPr>
        <w:pStyle w:val="Heading2"/>
        <w:spacing w:before="280" w:after="120"/>
      </w:pPr>
      <w:r>
        <w:rPr>
          <w:rFonts w:ascii="Arial" w:cs="Arial" w:eastAsia="Arial" w:hAnsi="Arial"/>
          <w:b/>
          <w:bCs/>
          <w:color w:val="000000"/>
          <w:sz w:val="28"/>
          <w:szCs w:val="28"/>
        </w:rPr>
        <w:t xml:space="preserve">Can a Default Be Fixed?</w:t>
      </w:r>
    </w:p>
    <w:p>
      <w:pPr>
        <w:spacing w:before="60" w:after="120"/>
        <w:jc w:val="both"/>
      </w:pPr>
      <w:r>
        <w:rPr>
          <w:rFonts w:ascii="Arial" w:cs="Arial" w:eastAsia="Arial" w:hAnsi="Arial"/>
          <w:b w:val="false"/>
          <w:bCs w:val="false"/>
          <w:i w:val="false"/>
          <w:iCs w:val="false"/>
          <w:color w:val="000000"/>
          <w:sz w:val="22"/>
          <w:szCs w:val="22"/>
        </w:rPr>
        <w:t xml:space="preserve">Yes — through LoanReinstatement. If both parties agree, the loan can be reinstated at any time. No time limit. A court-ordered reinstatement twenty years later is as valid as one issued the next day.</w:t>
      </w:r>
    </w:p>
    <w:p>
      <w:r>
        <w:br w:type="page"/>
      </w:r>
    </w:p>
    <w:p>
      <w:pPr>
        <w:pStyle w:val="Heading1"/>
        <w:spacing w:before="400" w:after="120"/>
      </w:pPr>
      <w:r>
        <w:rPr>
          <w:rFonts w:ascii="Arial" w:cs="Arial" w:eastAsia="Arial" w:hAnsi="Arial"/>
          <w:b/>
          <w:bCs/>
          <w:color w:val="C9A84C"/>
          <w:sz w:val="36"/>
          <w:szCs w:val="36"/>
        </w:rPr>
        <w:t xml:space="preserve">B.3 AI-Managed Funds and MISAI</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A TYPE M lock is a ChronX promise with a twist: instead of the KX sitting idle for twenty years, MISAI is authorized to withdraw the investable tranche, manage it, and return whatever it has grown into at maturity. Think of it as a digital endowment.</w:t>
      </w:r>
    </w:p>
    <w:p>
      <w:pPr>
        <w:pStyle w:val="Heading2"/>
        <w:spacing w:before="280" w:after="120"/>
      </w:pPr>
      <w:r>
        <w:rPr>
          <w:rFonts w:ascii="Arial" w:cs="Arial" w:eastAsia="Arial" w:hAnsi="Arial"/>
          <w:b/>
          <w:bCs/>
          <w:color w:val="000000"/>
          <w:sz w:val="28"/>
          <w:szCs w:val="28"/>
        </w:rPr>
        <w:t xml:space="preserve">How Does the Money Actually Move?</w:t>
      </w:r>
    </w:p>
    <w:p>
      <w:pPr>
        <w:spacing w:before="60" w:after="120"/>
        <w:jc w:val="both"/>
      </w:pPr>
      <w:r>
        <w:rPr>
          <w:rFonts w:ascii="Arial" w:cs="Arial" w:eastAsia="Arial" w:hAnsi="Arial"/>
          <w:b w:val="false"/>
          <w:bCs w:val="false"/>
          <w:i w:val="false"/>
          <w:iCs w:val="false"/>
          <w:color w:val="000000"/>
          <w:sz w:val="22"/>
          <w:szCs w:val="22"/>
        </w:rPr>
        <w:t xml:space="preserve">When you create a TYPE M lock, KX is locked on the DAG. MISAI queries the blockchain for TYPE M locks it is authorized to manage. It requests the investable tranche. The node validates MISAI's bonded status and releases that fraction. MISAI converts to a stable exchange medium, executes the investment mandate, and at maturity reconverts to KX and delivers to the beneficiary. Every step is permanently recorded on the DAG before execution.</w:t>
      </w:r>
    </w:p>
    <w:p>
      <w:pPr>
        <w:pStyle w:val="Heading2"/>
        <w:spacing w:before="280" w:after="120"/>
      </w:pPr>
      <w:r>
        <w:rPr>
          <w:rFonts w:ascii="Arial" w:cs="Arial" w:eastAsia="Arial" w:hAnsi="Arial"/>
          <w:b/>
          <w:bCs/>
          <w:color w:val="000000"/>
          <w:sz w:val="28"/>
          <w:szCs w:val="28"/>
        </w:rPr>
        <w:t xml:space="preserve">What If MISAI Loses Money?</w:t>
      </w:r>
    </w:p>
    <w:p>
      <w:pPr>
        <w:spacing w:before="60" w:after="120"/>
        <w:jc w:val="both"/>
      </w:pPr>
      <w:r>
        <w:rPr>
          <w:rFonts w:ascii="Arial" w:cs="Arial" w:eastAsia="Arial" w:hAnsi="Arial"/>
          <w:b w:val="false"/>
          <w:bCs w:val="false"/>
          <w:i w:val="false"/>
          <w:iCs w:val="false"/>
          <w:color w:val="000000"/>
          <w:sz w:val="22"/>
          <w:szCs w:val="22"/>
        </w:rPr>
        <w:t xml:space="preserve">The AI Agent Risk Axiom is explicit: AI management may result in gains or losses up to and including total loss. MISAI is not a guaranteed return product.</w:t>
      </w:r>
    </w:p>
    <w:p>
      <w:pPr>
        <w:pStyle w:val="Heading2"/>
        <w:spacing w:before="280" w:after="120"/>
      </w:pPr>
      <w:r>
        <w:rPr>
          <w:rFonts w:ascii="Arial" w:cs="Arial" w:eastAsia="Arial" w:hAnsi="Arial"/>
          <w:b/>
          <w:bCs/>
          <w:color w:val="000000"/>
          <w:sz w:val="28"/>
          <w:szCs w:val="28"/>
        </w:rPr>
        <w:t xml:space="preserve">What Does MISAI Never Do?</w:t>
      </w:r>
    </w:p>
    <w:p>
      <w:pPr>
        <w:spacing w:before="60" w:after="120"/>
        <w:jc w:val="both"/>
      </w:pPr>
      <w:r>
        <w:rPr>
          <w:rFonts w:ascii="Arial" w:cs="Arial" w:eastAsia="Arial" w:hAnsi="Arial"/>
          <w:b w:val="false"/>
          <w:bCs w:val="false"/>
          <w:i w:val="false"/>
          <w:iCs w:val="false"/>
          <w:color w:val="000000"/>
          <w:sz w:val="22"/>
          <w:szCs w:val="22"/>
        </w:rPr>
        <w:t xml:space="preserve">MISAI never makes decisions without recording them publicly first. The decision agent is always separate from the custody wallet — Axiom IV, enforced at the protocol level, not merely promised in a terms document.</w:t>
      </w:r>
    </w:p>
    <w:p>
      <w:r>
        <w:br w:type="page"/>
      </w:r>
    </w:p>
    <w:p>
      <w:pPr>
        <w:pStyle w:val="Heading1"/>
        <w:spacing w:before="400" w:after="120"/>
      </w:pPr>
      <w:r>
        <w:rPr>
          <w:rFonts w:ascii="Arial" w:cs="Arial" w:eastAsia="Arial" w:hAnsi="Arial"/>
          <w:b/>
          <w:bCs/>
          <w:color w:val="C9A84C"/>
          <w:sz w:val="36"/>
          <w:szCs w:val="36"/>
        </w:rPr>
        <w:t xml:space="preserve">B.4 Currency Risk and HedgeX</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If you lend value denominated in a volatile asset and that asset rises dramatically over the loan term, your borrower may face an impossible repayment burden. HedgeX lets borrowers buy protection against this, and lets asset holders earn stable-currency yield by providing that protection — peer-to-peer, on-chain, no bank required.</w:t>
      </w:r>
    </w:p>
    <w:p>
      <w:pPr>
        <w:pStyle w:val="Heading2"/>
        <w:spacing w:before="280" w:after="120"/>
      </w:pPr>
      <w:r>
        <w:rPr>
          <w:rFonts w:ascii="Arial" w:cs="Arial" w:eastAsia="Arial" w:hAnsi="Arial"/>
          <w:b/>
          <w:bCs/>
          <w:color w:val="000000"/>
          <w:sz w:val="28"/>
          <w:szCs w:val="28"/>
        </w:rPr>
        <w:t xml:space="preserve">How Does a Hedge Work?</w:t>
      </w:r>
    </w:p>
    <w:p>
      <w:pPr>
        <w:spacing w:before="60" w:after="120"/>
        <w:jc w:val="both"/>
      </w:pPr>
      <w:r>
        <w:rPr>
          <w:rFonts w:ascii="Arial" w:cs="Arial" w:eastAsia="Arial" w:hAnsi="Arial"/>
          <w:b w:val="false"/>
          <w:bCs w:val="false"/>
          <w:i w:val="false"/>
          <w:iCs w:val="false"/>
          <w:color w:val="000000"/>
          <w:sz w:val="22"/>
          <w:szCs w:val="22"/>
        </w:rPr>
        <w:t xml:space="preserve">A borrower posts a hedge campaign specifying coverage needed and the premium offered. Holders pledge coverage in exchange for stable-currency yield. All terms are agreed before the hedge is funded. If the campaign doesn't fill, all pledges are returned automatically.</w:t>
      </w:r>
    </w:p>
    <w:p>
      <w:r>
        <w:br w:type="page"/>
      </w:r>
    </w:p>
    <w:p>
      <w:pPr>
        <w:pStyle w:val="Heading1"/>
        <w:spacing w:before="400" w:after="120"/>
      </w:pPr>
      <w:r>
        <w:rPr>
          <w:rFonts w:ascii="Arial" w:cs="Arial" w:eastAsia="Arial" w:hAnsi="Arial"/>
          <w:b/>
          <w:bCs/>
          <w:color w:val="C9A84C"/>
          <w:sz w:val="36"/>
          <w:szCs w:val="36"/>
        </w:rPr>
        <w:t xml:space="preserve">B.5 PAY_AS and the Future of Money</w:t>
      </w:r>
    </w:p>
    <w:p>
      <w:pPr>
        <w:pStyle w:val="Heading2"/>
        <w:spacing w:before="280" w:after="120"/>
      </w:pPr>
      <w:r>
        <w:rPr>
          <w:rFonts w:ascii="Arial" w:cs="Arial" w:eastAsia="Arial" w:hAnsi="Arial"/>
          <w:b/>
          <w:bCs/>
          <w:color w:val="000000"/>
          <w:sz w:val="28"/>
          <w:szCs w:val="28"/>
        </w:rPr>
        <w:t xml:space="preserve">Why No Specific Currencies Are Named</w:t>
      </w:r>
    </w:p>
    <w:p>
      <w:pPr>
        <w:spacing w:before="60" w:after="120"/>
        <w:jc w:val="both"/>
      </w:pPr>
      <w:r>
        <w:rPr>
          <w:rFonts w:ascii="Arial" w:cs="Arial" w:eastAsia="Arial" w:hAnsi="Arial"/>
          <w:b w:val="false"/>
          <w:bCs w:val="false"/>
          <w:i w:val="false"/>
          <w:iCs w:val="false"/>
          <w:color w:val="000000"/>
          <w:sz w:val="22"/>
          <w:szCs w:val="22"/>
        </w:rPr>
        <w:t xml:space="preserve">ChronX is a 100-year protocol. The currencies that exist today — in any form, digital or physical — may not exist in 2126. Naming specific currencies in the protocol would be like encoding "dollars and pounds" into a banking system in 1890 and expecting it to still work today, after the abandonment of the gold standard, the creation of the Euro, the rise of digital assets, and everything else that happened in between.</w:t>
      </w:r>
    </w:p>
    <w:p>
      <w:pPr>
        <w:spacing w:before="60" w:after="120"/>
        <w:jc w:val="both"/>
      </w:pPr>
      <w:r>
        <w:rPr>
          <w:rFonts w:ascii="Arial" w:cs="Arial" w:eastAsia="Arial" w:hAnsi="Arial"/>
          <w:b w:val="false"/>
          <w:bCs w:val="false"/>
          <w:i w:val="false"/>
          <w:iCs w:val="false"/>
          <w:color w:val="000000"/>
          <w:sz w:val="22"/>
          <w:szCs w:val="22"/>
        </w:rPr>
        <w:t xml:space="preserve">PAY_AS is deliberately currency-agnostic. It records the denomination intent. Foundation governance maintains the list of recognized currencies and their oracle sources. When a currency ceases to exist, governance votes on a successor. MISAI follows the mapping.</w:t>
      </w:r>
    </w:p>
    <w:p>
      <w:pPr>
        <w:pStyle w:val="Heading2"/>
        <w:spacing w:before="280" w:after="120"/>
      </w:pPr>
      <w:r>
        <w:rPr>
          <w:rFonts w:ascii="Arial" w:cs="Arial" w:eastAsia="Arial" w:hAnsi="Arial"/>
          <w:b/>
          <w:bCs/>
          <w:color w:val="000000"/>
          <w:sz w:val="28"/>
          <w:szCs w:val="28"/>
        </w:rPr>
        <w:t xml:space="preserve">What If a Currency Has No Successor?</w:t>
      </w:r>
    </w:p>
    <w:p>
      <w:pPr>
        <w:spacing w:before="60" w:after="120"/>
        <w:jc w:val="both"/>
      </w:pPr>
      <w:r>
        <w:rPr>
          <w:rFonts w:ascii="Arial" w:cs="Arial" w:eastAsia="Arial" w:hAnsi="Arial"/>
          <w:b w:val="false"/>
          <w:bCs w:val="false"/>
          <w:i w:val="false"/>
          <w:iCs w:val="false"/>
          <w:color w:val="000000"/>
          <w:sz w:val="22"/>
          <w:szCs w:val="22"/>
        </w:rPr>
        <w:t xml:space="preserve">If a currency is deprecated with no governance-approved successor mapping, both parties to the affected promise are notified. They may agree to a settlement amount in any currently recognized currency, or wait for governance to approve a successor. The promise remains locked — funds are never lost — until the denomination question is resolved.</w:t>
      </w:r>
    </w:p>
    <w:p>
      <w:pPr>
        <w:pStyle w:val="Heading2"/>
        <w:spacing w:before="280" w:after="120"/>
      </w:pPr>
      <w:r>
        <w:rPr>
          <w:rFonts w:ascii="Arial" w:cs="Arial" w:eastAsia="Arial" w:hAnsi="Arial"/>
          <w:b/>
          <w:bCs/>
          <w:color w:val="000000"/>
          <w:sz w:val="28"/>
          <w:szCs w:val="28"/>
        </w:rPr>
        <w:t xml:space="preserve">Is This Theoretical?</w:t>
      </w:r>
    </w:p>
    <w:p>
      <w:pPr>
        <w:spacing w:before="60" w:after="120"/>
        <w:jc w:val="both"/>
      </w:pPr>
      <w:r>
        <w:rPr>
          <w:rFonts w:ascii="Arial" w:cs="Arial" w:eastAsia="Arial" w:hAnsi="Arial"/>
          <w:b w:val="false"/>
          <w:bCs w:val="false"/>
          <w:i w:val="false"/>
          <w:iCs w:val="false"/>
          <w:color w:val="000000"/>
          <w:sz w:val="22"/>
          <w:szCs w:val="22"/>
        </w:rPr>
        <w:t xml:space="preserve">No. Currency succession is already a real-world phenomenon. Countries have abandoned their currencies. Currencies have been redenominated. Monetary unions have formed and dissolved. A 100-year protocol that does not account for this is not a 100-year protocol. ChronX accounts for it.</w:t>
      </w:r>
    </w:p>
    <w:p>
      <w:pPr>
        <w:pStyle w:val="Heading1"/>
        <w:spacing w:before="400" w:after="120"/>
      </w:pPr>
      <w:r>
        <w:rPr>
          <w:rFonts w:ascii="Arial" w:cs="Arial" w:eastAsia="Arial" w:hAnsi="Arial"/>
          <w:b/>
          <w:bCs/>
          <w:color w:val="C9A84C"/>
          <w:sz w:val="36"/>
          <w:szCs w:val="36"/>
        </w:rPr>
        <w:t xml:space="preserve">B.6 Protocol Identity and Badges</w:t>
      </w:r>
    </w:p>
    <w:p>
      <w:pPr>
        <w:pStyle w:val="Heading2"/>
        <w:spacing w:before="280" w:after="120"/>
      </w:pPr>
      <w:r>
        <w:rPr>
          <w:rFonts w:ascii="Arial" w:cs="Arial" w:eastAsia="Arial" w:hAnsi="Arial"/>
          <w:b/>
          <w:bCs/>
          <w:color w:val="000000"/>
          <w:sz w:val="28"/>
          <w:szCs w:val="28"/>
        </w:rPr>
        <w:t xml:space="preserve">What Are Badges?</w:t>
      </w:r>
    </w:p>
    <w:p>
      <w:pPr>
        <w:spacing w:before="60" w:after="120"/>
        <w:jc w:val="both"/>
      </w:pPr>
      <w:r>
        <w:rPr>
          <w:rFonts w:ascii="Arial" w:cs="Arial" w:eastAsia="Arial" w:hAnsi="Arial"/>
          <w:b w:val="false"/>
          <w:bCs w:val="false"/>
          <w:i w:val="false"/>
          <w:iCs w:val="false"/>
          <w:color w:val="000000"/>
          <w:sz w:val="22"/>
          <w:szCs w:val="22"/>
        </w:rPr>
        <w:t xml:space="preserve">Badges are visual recognition tokens attached to a ChronX wallet address. They carry no KX value and confer no protocol rights. They are a way for the protocol, its partners, and its community to recognize participants publicly. Examples: Founding Team (gold), KXGO Bronze/Silver/Gold (gaming performance), and Partner badges.</w:t>
      </w:r>
    </w:p>
    <w:p>
      <w:pPr>
        <w:pStyle w:val="Heading2"/>
        <w:spacing w:before="280" w:after="120"/>
      </w:pPr>
      <w:r>
        <w:rPr>
          <w:rFonts w:ascii="Arial" w:cs="Arial" w:eastAsia="Arial" w:hAnsi="Arial"/>
          <w:b/>
          <w:bCs/>
          <w:color w:val="000000"/>
          <w:sz w:val="28"/>
          <w:szCs w:val="28"/>
        </w:rPr>
        <w:t xml:space="preserve">How Are Badges Issued?</w:t>
      </w:r>
    </w:p>
    <w:p>
      <w:pPr>
        <w:spacing w:before="60" w:after="120"/>
        <w:jc w:val="both"/>
      </w:pPr>
      <w:r>
        <w:rPr>
          <w:rFonts w:ascii="Arial" w:cs="Arial" w:eastAsia="Arial" w:hAnsi="Arial"/>
          <w:b w:val="false"/>
          <w:bCs w:val="false"/>
          <w:i w:val="false"/>
          <w:iCs w:val="false"/>
          <w:color w:val="000000"/>
          <w:sz w:val="22"/>
          <w:szCs w:val="22"/>
        </w:rPr>
        <w:t xml:space="preserve">Permanent badges (Founding Team) are issued as TYPE L transactions — on-chain, signed by a bonded agent, permanently visible. Dynamic badges (KXGO tiers) are managed server-side and displayed in the wallet via the badge API.</w:t>
      </w:r>
    </w:p>
    <w:p>
      <w:pPr>
        <w:pStyle w:val="Heading2"/>
        <w:spacing w:before="280" w:after="120"/>
      </w:pPr>
      <w:r>
        <w:rPr>
          <w:rFonts w:ascii="Arial" w:cs="Arial" w:eastAsia="Arial" w:hAnsi="Arial"/>
          <w:b/>
          <w:bCs/>
          <w:color w:val="000000"/>
          <w:sz w:val="28"/>
          <w:szCs w:val="28"/>
        </w:rPr>
        <w:t xml:space="preserve">Why Do Badges Matter?</w:t>
      </w:r>
    </w:p>
    <w:p>
      <w:pPr>
        <w:spacing w:before="60" w:after="120"/>
        <w:jc w:val="both"/>
      </w:pPr>
      <w:r>
        <w:rPr>
          <w:rFonts w:ascii="Arial" w:cs="Arial" w:eastAsia="Arial" w:hAnsi="Arial"/>
          <w:b w:val="false"/>
          <w:bCs w:val="false"/>
          <w:i w:val="false"/>
          <w:iCs w:val="false"/>
          <w:color w:val="000000"/>
          <w:sz w:val="22"/>
          <w:szCs w:val="22"/>
        </w:rPr>
        <w:t xml:space="preserve">For a 100-year protocol, identity continuity matters. A wallet carrying a Founding Team badge since genesis tells a different story in 2050 than an anonymous address. Badges create a lightweight, opt-in identity layer that enriches the human context of on-chain promises — without requiring personal data on the public ledger.</w:t>
      </w:r>
    </w:p>
    <w:p>
      <w:pPr>
        <w:pBdr>
          <w:bottom w:val="single" w:color="C9A84C" w:sz="4" w:space="1"/>
        </w:pBdr>
        <w:spacing w:before="200" w:after="200"/>
      </w:pPr>
      <w:r>
        <w:t xml:space="preserve"/>
      </w:r>
    </w:p>
    <w:p>
      <w:pPr>
        <w:spacing w:before="200" w:after="80"/>
        <w:jc w:val="center"/>
      </w:pPr>
      <w:r>
        <w:rPr>
          <w:rFonts w:ascii="Arial" w:cs="Arial" w:eastAsia="Arial" w:hAnsi="Arial"/>
          <w:i/>
          <w:iCs/>
          <w:color w:val="666666"/>
          <w:sz w:val="20"/>
          <w:szCs w:val="20"/>
        </w:rPr>
        <w:t xml:space="preserve">End of Exhibit B</w:t>
      </w:r>
    </w:p>
    <w:p>
      <w:pPr>
        <w:spacing w:before="0" w:after="0"/>
        <w:jc w:val="center"/>
      </w:pPr>
      <w:r>
        <w:rPr>
          <w:rFonts w:ascii="Arial" w:cs="Arial" w:eastAsia="Arial" w:hAnsi="Arial"/>
          <w:color w:val="666666"/>
          <w:sz w:val="18"/>
          <w:szCs w:val="18"/>
        </w:rPr>
        <w:t xml:space="preserve">ChronX Protocol Whitepaper v5.6  |  chronx.io  |  ICO: September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C9A84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c88389e05d5f858a0dc5ba3aba47a65fc520f51.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2026-03-20T23:39:15.080Z</dcterms:created>
  <dcterms:modified xsi:type="dcterms:W3CDTF">2026-03-20T23:39:15.081Z</dcterms:modified>
</cp:coreProperties>
</file>

<file path=docProps/custom.xml><?xml version="1.0" encoding="utf-8"?>
<Properties xmlns="http://schemas.openxmlformats.org/officeDocument/2006/custom-properties" xmlns:vt="http://schemas.openxmlformats.org/officeDocument/2006/docPropsVTypes"/>
</file>