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60"/>
        <w:jc w:val="center"/>
      </w:pPr>
      <w:r>
        <w:rPr>
          <w:rFonts w:ascii="Arial" w:cs="Arial" w:eastAsia="Arial" w:hAnsi="Arial"/>
          <w:b/>
          <w:bCs/>
          <w:color w:val="1F4E79"/>
          <w:sz w:val="64"/>
          <w:szCs w:val="64"/>
        </w:rPr>
        <w:t xml:space="preserve">CHRONX PROTOCOL</w:t>
      </w:r>
    </w:p>
    <w:p>
      <w:pPr>
        <w:spacing w:before="0" w:after="160"/>
        <w:jc w:val="center"/>
      </w:pPr>
      <w:r>
        <w:rPr>
          <w:rFonts w:ascii="Arial" w:cs="Arial" w:eastAsia="Arial" w:hAnsi="Arial"/>
          <w:b/>
          <w:bCs/>
          <w:sz w:val="40"/>
          <w:szCs w:val="40"/>
        </w:rPr>
        <w:t xml:space="preserve">Whitepaper One</w:t>
      </w:r>
    </w:p>
    <w:p>
      <w:pPr>
        <w:spacing w:before="0" w:after="80"/>
        <w:jc w:val="center"/>
      </w:pPr>
      <w:r>
        <w:rPr>
          <w:rFonts w:ascii="Arial" w:cs="Arial" w:eastAsia="Arial" w:hAnsi="Arial"/>
          <w:i/>
          <w:iCs/>
          <w:color w:val="555555"/>
          <w:sz w:val="28"/>
          <w:szCs w:val="28"/>
        </w:rPr>
        <w:t xml:space="preserve">The Promise Protocol — Genesis Zero</w:t>
      </w:r>
    </w:p>
    <w:p>
      <w:pPr>
        <w:spacing w:before="0" w:after="320"/>
        <w:jc w:val="center"/>
      </w:pPr>
      <w:r>
        <w:rPr>
          <w:rFonts w:ascii="Arial" w:cs="Arial" w:eastAsia="Arial" w:hAnsi="Arial"/>
          <w:color w:val="888888"/>
          <w:sz w:val="22"/>
          <w:szCs w:val="22"/>
        </w:rPr>
        <w:t xml:space="preserve">Genesis Zero  ·  Post-Quantum Cryptography  ·  Zero Fees</w:t>
      </w:r>
    </w:p>
    <w:p>
      <w:pPr>
        <w:pBdr>
          <w:bottom w:val="single" w:color="CCCCCC" w:sz="4" w:space="4"/>
        </w:pBdr>
        <w:spacing w:before="120" w:after="120"/>
      </w:pPr>
      <w:r>
        <w:t xml:space="preserve"/>
      </w:r>
    </w:p>
    <w:p>
      <w:pPr>
        <w:spacing w:before="200" w:after="80"/>
        <w:jc w:val="center"/>
      </w:pPr>
      <w:r>
        <w:rPr>
          <w:rFonts w:ascii="Arial" w:cs="Arial" w:eastAsia="Arial" w:hAnsi="Arial"/>
          <w:b/>
          <w:bCs/>
          <w:sz w:val="24"/>
          <w:szCs w:val="24"/>
        </w:rPr>
        <w:t xml:space="preserve">ICO: September 22, 2026  ·  $0.00319 per KX</w:t>
      </w:r>
    </w:p>
    <w:p>
      <w:pPr>
        <w:spacing w:before="0" w:after="400"/>
        <w:jc w:val="center"/>
      </w:pPr>
      <w:r>
        <w:rPr>
          <w:rFonts w:ascii="Arial" w:cs="Arial" w:eastAsia="Arial" w:hAnsi="Arial"/>
          <w:color w:val="2E75B6"/>
          <w:sz w:val="22"/>
          <w:szCs w:val="22"/>
        </w:rPr>
        <w:t xml:space="preserve">chronx.io</w:t>
      </w:r>
    </w:p>
    <w:p>
      <w:pPr>
        <w:pBdr>
          <w:left w:val="single" w:color="2E75B6" w:sz="8" w:space="12"/>
        </w:pBdr>
        <w:spacing w:before="160" w:after="160"/>
        <w:ind w:left="720" w:right="720"/>
      </w:pPr>
      <w:r>
        <w:rPr>
          <w:rFonts w:ascii="Arial" w:cs="Arial" w:eastAsia="Arial" w:hAnsi="Arial"/>
          <w:i/>
          <w:iCs/>
          <w:sz w:val="22"/>
          <w:szCs w:val="22"/>
        </w:rPr>
        <w:t xml:space="preserve">"ChronX does not merely record that a promise was made. ChronX makes the promise inevitable."</w:t>
      </w:r>
    </w:p>
    <w:p>
      <w:pPr>
        <w:spacing w:before="80" w:after="80"/>
      </w:pPr>
      <w:r>
        <w:t xml:space="preserve"/>
      </w:r>
    </w:p>
    <w:p>
      <w:pPr>
        <w:jc w:val="center"/>
      </w:pPr>
      <w:r>
        <w:rPr>
          <w:rFonts w:ascii="Arial" w:cs="Arial" w:eastAsia="Arial" w:hAnsi="Arial"/>
          <w:color w:val="999999"/>
          <w:sz w:val="20"/>
          <w:szCs w:val="20"/>
        </w:rPr>
        <w:t xml:space="preserve">March 2026</w:t>
      </w:r>
    </w:p>
    <w:p>
      <w:r>
        <w:br w:type="page"/>
      </w:r>
    </w:p>
    <w:p>
      <w:pPr>
        <w:pStyle w:val="Heading1"/>
        <w:spacing w:before="480" w:after="240"/>
      </w:pPr>
      <w:r>
        <w:rPr>
          <w:rFonts w:ascii="Arial" w:cs="Arial" w:eastAsia="Arial" w:hAnsi="Arial"/>
          <w:b/>
          <w:bCs/>
          <w:color w:val="1F4E79"/>
          <w:sz w:val="34"/>
          <w:szCs w:val="34"/>
        </w:rPr>
        <w:t xml:space="preserve">1. Everything is a Promise</w:t>
      </w:r>
    </w:p>
    <w:p>
      <w:pPr>
        <w:spacing w:before="100" w:after="100"/>
        <w:jc w:val="both"/>
      </w:pPr>
      <w:r>
        <w:rPr>
          <w:rFonts w:ascii="Arial" w:cs="Arial" w:eastAsia="Arial" w:hAnsi="Arial"/>
          <w:sz w:val="22"/>
          <w:szCs w:val="22"/>
        </w:rPr>
        <w:t xml:space="preserve">On ChronX Protocol, everything is a promise.</w:t>
      </w:r>
    </w:p>
    <w:p>
      <w:pPr>
        <w:spacing w:before="80" w:after="80"/>
      </w:pPr>
      <w:r>
        <w:t xml:space="preserve"/>
      </w:r>
    </w:p>
    <w:p>
      <w:pPr>
        <w:spacing w:before="100" w:after="100"/>
        <w:jc w:val="both"/>
      </w:pPr>
      <w:r>
        <w:rPr>
          <w:rFonts w:ascii="Arial" w:cs="Arial" w:eastAsia="Arial" w:hAnsi="Arial"/>
          <w:sz w:val="22"/>
          <w:szCs w:val="22"/>
        </w:rPr>
        <w:t xml:space="preserve">A time-locked gift to your daughter on her eighteenth birthday: a promise. A 30-day friendly loan between friends: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80"/>
      </w:pPr>
      <w:r>
        <w:t xml:space="preserve"/>
      </w:r>
    </w:p>
    <w:p>
      <w:pPr>
        <w:spacing w:before="100" w:after="100"/>
        <w:jc w:val="both"/>
      </w:pPr>
      <w:r>
        <w:rPr>
          <w:rFonts w:ascii="Arial" w:cs="Arial" w:eastAsia="Arial" w:hAnsi="Arial"/>
          <w:sz w:val="22"/>
          <w:szCs w:val="22"/>
        </w:rPr>
        <w:t xml:space="preserve">One idea. Infinite applications.</w:t>
      </w:r>
    </w:p>
    <w:p>
      <w:pPr>
        <w:spacing w:before="80" w:after="80"/>
      </w:pPr>
      <w:r>
        <w:t xml:space="preserve"/>
      </w:r>
    </w:p>
    <w:p>
      <w:pPr>
        <w:spacing w:before="100" w:after="10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80"/>
      </w:pPr>
      <w:r>
        <w:t xml:space="preserve"/>
      </w:r>
    </w:p>
    <w:p>
      <w:pPr>
        <w:spacing w:before="100" w:after="100"/>
        <w:jc w:val="both"/>
      </w:pPr>
      <w:r>
        <w:rPr>
          <w:rFonts w:ascii="Arial" w:cs="Arial" w:eastAsia="Arial" w:hAnsi="Arial"/>
          <w:sz w:val="22"/>
          <w:szCs w:val="22"/>
        </w:rPr>
        <w:t xml:space="preserve">The protocol does not judge the wisdom of a promise. It enforces it.</w:t>
      </w:r>
    </w:p>
    <w:p>
      <w:pPr>
        <w:spacing w:before="100" w:after="100"/>
      </w:pPr>
    </w:p>
    <w:p>
      <w:pPr>
        <w:spacing w:before="100" w:after="100"/>
        <w:jc w:val="both"/>
      </w:pPr>
      <w:r>
        <w:rPr>
          <w:rFonts w:ascii="Arial" w:cs="Arial" w:eastAsia="Arial" w:hAnsi="Arial"/>
          <w:sz w:val="22"/>
          <w:szCs w:val="22"/>
        </w:rPr>
        <w:t xml:space="preserve">By default, every time-locked promise on ChronX participates in the HedgeKX yield system — earning real yield for the recipient from real economic activity, with no additional risk and no cost to the grantor. This is not a feature added on top of a promise. It is simply what a promise on ChronX does.</w:t>
      </w:r>
    </w:p>
    <w:p>
      <w:pPr>
        <w:spacing w:before="100" w:after="100"/>
      </w:pPr>
    </w:p>
    <w:p>
      <w:pPr>
        <w:spacing w:before="100" w:after="100"/>
        <w:jc w:val="both"/>
      </w:pPr>
      <w:r>
        <w:rPr>
          <w:rFonts w:ascii="Arial" w:cs="Arial" w:eastAsia="Arial" w:hAnsi="Arial"/>
          <w:sz w:val="22"/>
          <w:szCs w:val="22"/>
        </w:rPr>
        <w:t xml:space="preserve">The precise language matters here: promises on ChronX are mechanically enforced under predefined resolution rules. The protocol executes every promise exactly as recorded. For the vast majority of promises — claimed at maturity by an available recipient — this means the intended outcome is delivered with mathematical certainty. For long-duration promises where the recipient cannot be located, the Verifas resolution system and the Humanity Stake provide a defined path that ensures funds are never lost, even when delivery to the specific intended recipient is not possible after an extended period. See Section 4.2 for the complete Verifas system.</w:t>
      </w:r>
    </w:p>
    <w:p>
      <w:pPr>
        <w:spacing w:before="80" w:after="80"/>
      </w:pPr>
      <w:r>
        <w:t xml:space="preserve"/>
      </w:r>
    </w:p>
    <w:p>
      <w:pPr>
        <w:spacing w:before="100" w:after="10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r>
        <w:br w:type="page"/>
      </w:r>
    </w:p>
    <w:p>
      <w:pPr>
        <w:pStyle w:val="Heading1"/>
        <w:spacing w:before="480" w:after="240"/>
      </w:pPr>
      <w:r>
        <w:rPr>
          <w:rFonts w:ascii="Arial" w:cs="Arial" w:eastAsia="Arial" w:hAnsi="Arial"/>
          <w:b/>
          <w:bCs/>
          <w:color w:val="1F4E79"/>
          <w:sz w:val="34"/>
          <w:szCs w:val="34"/>
        </w:rPr>
        <w:t xml:space="preserve">2. The DAG</w:t>
      </w:r>
    </w:p>
    <w:p>
      <w:pPr>
        <w:spacing w:before="100" w:after="10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80"/>
      </w:pPr>
      <w:r>
        <w:t xml:space="preserve"/>
      </w:r>
    </w:p>
    <w:p>
      <w:pPr>
        <w:spacing w:before="100" w:after="10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Free Matters</w:t>
      </w:r>
    </w:p>
    <w:p>
      <w:pPr>
        <w:spacing w:before="100" w:after="10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80"/>
      </w:pPr>
      <w:r>
        <w:t xml:space="preserve"/>
      </w:r>
    </w:p>
    <w:p>
      <w:pPr>
        <w:spacing w:before="100" w:after="10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Immutability Matters for Promises</w:t>
      </w:r>
    </w:p>
    <w:p>
      <w:pPr>
        <w:spacing w:before="100" w:after="100"/>
        <w:jc w:val="both"/>
      </w:pPr>
      <w:r>
        <w:rPr>
          <w:rFonts w:ascii="Arial" w:cs="Arial" w:eastAsia="Arial" w:hAnsi="Arial"/>
          <w:sz w:val="22"/>
          <w:szCs w:val="22"/>
        </w:rPr>
        <w:t xml:space="preserve">A promise is only as good as the system that enforces it. If a centralised database can be edited, the promise can be edited. ChronX's DAG is append-only. Once a promise is recorded, it exists forever. The sender cannot take it back unless they specified a cancellation window. The protocol cannot modify it. The Foundation cannot override it.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KX: The Unit of Account</w:t>
      </w:r>
    </w:p>
    <w:p>
      <w:pPr>
        <w:spacing w:before="100" w:after="10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Nodes and Security</w:t>
      </w:r>
    </w:p>
    <w:p>
      <w:pPr>
        <w:spacing w:before="100" w:after="100"/>
        <w:jc w:val="both"/>
      </w:pPr>
      <w:r>
        <w:rPr>
          <w:rFonts w:ascii="Arial" w:cs="Arial" w:eastAsia="Arial" w:hAnsi="Arial"/>
          <w:sz w:val="22"/>
          <w:szCs w:val="22"/>
        </w:rPr>
        <w:t xml:space="preserve">ChronX currently operates a founding node network. The protocol is designed for permissionless node participation — any operator can run a node using the open-source binary. Node operator rewards begin January 1, 2029 via the harmonic release schedule, providing a long-term economic incentive for network growth. The founding network will expand organically as the ecosystem develops toward meaningful decentralization. Every transaction is validated using SHA3-256 proof of work and CRYSTALS-Dilithium2 post-quantum digital signatures. Every wallet is quantum-resistant from day one.</w:t>
      </w:r>
    </w:p>
    <w:p>
      <w:pPr>
        <w:spacing w:before="80" w:after="80"/>
      </w:pPr>
      <w:r>
        <w:t xml:space="preserve"/>
      </w:r>
    </w:p>
    <w:p>
      <w:pPr>
        <w:spacing w:before="100" w:after="10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r>
        <w:br w:type="page"/>
      </w:r>
    </w:p>
    <w:p>
      <w:pPr>
        <w:pStyle w:val="Heading1"/>
        <w:spacing w:before="480" w:after="240"/>
      </w:pPr>
      <w:r>
        <w:rPr>
          <w:rFonts w:ascii="Arial" w:cs="Arial" w:eastAsia="Arial" w:hAnsi="Arial"/>
          <w:b/>
          <w:bCs/>
          <w:color w:val="1F4E79"/>
          <w:sz w:val="34"/>
          <w:szCs w:val="34"/>
        </w:rPr>
        <w:t xml:space="preserve">3. Promises in Any Currency</w:t>
      </w:r>
    </w:p>
    <w:p>
      <w:pPr>
        <w:spacing w:before="100" w:after="100"/>
        <w:jc w:val="both"/>
      </w:pPr>
      <w:r>
        <w:rPr>
          <w:rFonts w:ascii="Arial" w:cs="Arial" w:eastAsia="Arial" w:hAnsi="Arial"/>
          <w:sz w:val="22"/>
          <w:szCs w:val="22"/>
        </w:rPr>
        <w:t xml:space="preserve">KX is the reserve. Not necessarily the currency you see.</w:t>
      </w:r>
    </w:p>
    <w:p>
      <w:pPr>
        <w:spacing w:before="80" w:after="80"/>
      </w:pPr>
      <w:r>
        <w:t xml:space="preserve"/>
      </w:r>
    </w:p>
    <w:p>
      <w:pPr>
        <w:spacing w:before="100" w:after="10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80" w:after="80"/>
      </w:pPr>
      <w:r>
        <w:t xml:space="preserve"/>
      </w:r>
    </w:p>
    <w:p>
      <w:pPr>
        <w:spacing w:before="100" w:after="100"/>
        <w:jc w:val="both"/>
      </w:pPr>
      <w:r>
        <w:rPr>
          <w:rFonts w:ascii="Arial" w:cs="Arial" w:eastAsia="Arial" w:hAnsi="Arial"/>
          <w:sz w:val="22"/>
          <w:szCs w:val="22"/>
        </w:rPr>
        <w:t xml:space="preserve">Governance: pay_as_max_usd = $250 per transaction. Subject to governance adjustment.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80" w:after="80"/>
      </w:pPr>
      <w:r>
        <w:t xml:space="preserve"/>
      </w:r>
    </w:p>
    <w:p>
      <w:pPr>
        <w:spacing w:before="100" w:after="10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r>
        <w:br w:type="page"/>
      </w:r>
    </w:p>
    <w:p>
      <w:pPr>
        <w:pStyle w:val="Heading2"/>
        <w:spacing w:before="320" w:after="160"/>
      </w:pPr>
      <w:r>
        <w:rPr>
          <w:rFonts w:ascii="Arial" w:cs="Arial" w:eastAsia="Arial" w:hAnsi="Arial"/>
          <w:b/>
          <w:bCs/>
          <w:color w:val="1F4E79"/>
          <w:sz w:val="28"/>
          <w:szCs w:val="28"/>
        </w:rPr>
        <w:t xml:space="preserve">Why KX? The Answer to the Obvious Question</w:t>
      </w:r>
    </w:p>
    <w:p>
      <w:pPr>
        <w:spacing w:before="100" w:after="100"/>
      </w:pPr>
    </w:p>
    <w:p>
      <w:pPr>
        <w:spacing w:before="100" w:after="100"/>
        <w:jc w:val="both"/>
      </w:pPr>
      <w:r>
        <w:rPr>
          <w:rFonts w:ascii="Arial" w:cs="Arial" w:eastAsia="Arial" w:hAnsi="Arial"/>
          <w:sz w:val="22"/>
          <w:szCs w:val="22"/>
        </w:rPr>
        <w:t xml:space="preserve">A natural question arises for participants who earn and spend in USD: if my obligation is in USD and I get paid in USD, why use KX at all — and why accept the added complexity of hedging?</w:t>
      </w:r>
    </w:p>
    <w:p>
      <w:pPr>
        <w:spacing w:before="100" w:after="100"/>
      </w:pPr>
    </w:p>
    <w:p>
      <w:pPr>
        <w:spacing w:before="100" w:after="100"/>
        <w:jc w:val="both"/>
      </w:pPr>
      <w:r>
        <w:rPr>
          <w:rFonts w:ascii="Arial" w:cs="Arial" w:eastAsia="Arial" w:hAnsi="Arial"/>
          <w:sz w:val="22"/>
          <w:szCs w:val="22"/>
        </w:rPr>
        <w:t xml:space="preserve">The answer is four things USD cannot do.</w:t>
      </w:r>
    </w:p>
    <w:p>
      <w:pPr>
        <w:spacing w:before="100" w:after="100"/>
      </w:pPr>
    </w:p>
    <w:p>
      <w:pPr>
        <w:spacing w:before="100" w:after="100"/>
        <w:jc w:val="both"/>
      </w:pPr>
      <w:r>
        <w:rPr>
          <w:rFonts w:ascii="Arial" w:cs="Arial" w:eastAsia="Arial" w:hAnsi="Arial"/>
          <w:sz w:val="22"/>
          <w:szCs w:val="22"/>
        </w:rPr>
        <w:t xml:space="preserve">USD cannot make a promise inevitable. A USD promise is a legal instrument — enforceable by courts, subject to bankruptcy, modifiable by judges, and dependent on counterparty solvency. A KX promise on the ChronX DAG is enforced by mathematics. No court order can prevent a matured lock from releasing. No bankruptcy filing can intercept it. This is structurally impossible with USD.</w:t>
      </w:r>
    </w:p>
    <w:p>
      <w:pPr>
        <w:spacing w:before="100" w:after="100"/>
      </w:pPr>
    </w:p>
    <w:p>
      <w:pPr>
        <w:spacing w:before="100" w:after="100"/>
        <w:jc w:val="both"/>
      </w:pPr>
      <w:r>
        <w:rPr>
          <w:rFonts w:ascii="Arial" w:cs="Arial" w:eastAsia="Arial" w:hAnsi="Arial"/>
          <w:sz w:val="22"/>
          <w:szCs w:val="22"/>
        </w:rPr>
        <w:t xml:space="preserve">USD cannot be zero-fee forever. Every USD transfer involves fees — bank, processor, wire, ACH, SWIFT, or card network. These compound over 100 years of settlements. KX transactions cost exactly zero, encoded at genesis and immutable forever. For long-horizon instruments this difference is material.</w:t>
      </w:r>
    </w:p>
    <w:p>
      <w:pPr>
        <w:spacing w:before="100" w:after="100"/>
      </w:pPr>
    </w:p>
    <w:p>
      <w:pPr>
        <w:spacing w:before="100" w:after="100"/>
        <w:jc w:val="both"/>
      </w:pPr>
      <w:r>
        <w:rPr>
          <w:rFonts w:ascii="Arial" w:cs="Arial" w:eastAsia="Arial" w:hAnsi="Arial"/>
          <w:sz w:val="22"/>
          <w:szCs w:val="22"/>
        </w:rPr>
        <w:t xml:space="preserve">USD cannot be post-quantum secure. CRYSTALS-Dilithium2 secures every KX wallet and transaction against the cryptographic threats of 2076 and beyond. The banking system’s cryptographic foundations were not designed for a 100-year threat horizon.</w:t>
      </w:r>
    </w:p>
    <w:p>
      <w:pPr>
        <w:spacing w:before="100" w:after="100"/>
      </w:pPr>
    </w:p>
    <w:p>
      <w:pPr>
        <w:spacing w:before="100" w:after="100"/>
        <w:jc w:val="both"/>
      </w:pPr>
      <w:r>
        <w:rPr>
          <w:rFonts w:ascii="Arial" w:cs="Arial" w:eastAsia="Arial" w:hAnsi="Arial"/>
          <w:sz w:val="22"/>
          <w:szCs w:val="22"/>
        </w:rPr>
        <w:t xml:space="preserve">The hedge is not a burden — it is the bridge. The 1% fee for a 30-day friendly loan (approximately 12% annualized) is the price of currency certainty. A bank charges roughly the same for a letter of credit. The difference: a bank keeps the fee. ChronX routes it into yield for savers, operating capital for KXGC, and liquidity for the ecosystem. The fee does the same job and simultaneously builds the infrastructure that makes the entire protocol more valuable.</w:t>
      </w:r>
    </w:p>
    <w:p>
      <w:pPr>
        <w:spacing w:before="100" w:after="100"/>
      </w:pPr>
    </w:p>
    <w:p>
      <w:pPr>
        <w:spacing w:before="100" w:after="100"/>
        <w:jc w:val="both"/>
      </w:pPr>
      <w:r>
        <w:rPr>
          <w:rFonts w:ascii="Arial" w:cs="Arial" w:eastAsia="Arial" w:hAnsi="Arial"/>
          <w:sz w:val="22"/>
          <w:szCs w:val="22"/>
        </w:rPr>
        <w:t xml:space="preserve">KX is not a currency used instead of USD. It is the substrate that makes USD promises mathematically inevitable, permanently free, quantum-secure, and economically productive. You continue to earn, spend, and think in USD. The protocol handles the rest.</w:t>
      </w:r>
    </w:p>
    <w:p>
      <w:pPr>
        <w:spacing w:before="100" w:after="100"/>
      </w:pPr>
    </w:p>
    <w:p>
      <w:pPr>
        <w:spacing w:before="100" w:after="100"/>
      </w:pPr>
    </w:p>
    <w:p>
      <w:pPr>
        <w:spacing w:before="100" w:after="100"/>
        <w:jc w:val="both"/>
      </w:pPr>
      <w:r>
        <w:rPr>
          <w:rFonts w:ascii="Arial" w:cs="Arial" w:eastAsia="Arial" w:hAnsi="Arial"/>
          <w:sz w:val="22"/>
          <w:szCs w:val="22"/>
        </w:rPr>
        <w:t xml:space="preserve">A sophisticated participant will ask the natural follow-on question: why would an existing insurance company, bank, or escrow agent route transactions through KX when they already have USD infrastructure, existing regulatory licenses, and established counterparty relationships?</w:t>
      </w:r>
    </w:p>
    <w:p>
      <w:pPr>
        <w:spacing w:before="100" w:after="100"/>
      </w:pPr>
    </w:p>
    <w:p>
      <w:pPr>
        <w:spacing w:before="100" w:after="100"/>
        <w:jc w:val="both"/>
      </w:pPr>
      <w:r>
        <w:rPr>
          <w:rFonts w:ascii="Arial" w:cs="Arial" w:eastAsia="Arial" w:hAnsi="Arial"/>
          <w:sz w:val="22"/>
          <w:szCs w:val="22"/>
        </w:rPr>
        <w:t xml:space="preserve">The honest answer is: they would not — not as their primary infrastructure, and not yet. ChronX does not ask existing institutions to replace what works. It offers infrastructure for four specific categories where existing systems fail.</w:t>
      </w:r>
    </w:p>
    <w:p>
      <w:pPr>
        <w:spacing w:before="100" w:after="100"/>
      </w:pPr>
    </w:p>
    <w:p>
      <w:pPr>
        <w:spacing w:before="100" w:after="100"/>
        <w:jc w:val="both"/>
      </w:pPr>
      <w:r>
        <w:rPr>
          <w:rFonts w:ascii="Arial" w:cs="Arial" w:eastAsia="Arial" w:hAnsi="Arial"/>
          <w:sz w:val="22"/>
          <w:szCs w:val="22"/>
        </w:rPr>
        <w:t xml:space="preserve">First: the uninsurable and unbankable. Major insurers have exited entire markets — California homeowners with paid-off properties are legally self-insurable but have no carrier willing to write their coverage at any price. A borrower in a jurisdiction with no reliable banking infrastructure cannot access USD credit markets. ChronX requires only a wallet address and an internet connection.</w:t>
      </w:r>
    </w:p>
    <w:p>
      <w:pPr>
        <w:spacing w:before="100" w:after="100"/>
      </w:pPr>
    </w:p>
    <w:p>
      <w:pPr>
        <w:spacing w:before="100" w:after="100"/>
        <w:jc w:val="both"/>
      </w:pPr>
      <w:r>
        <w:rPr>
          <w:rFonts w:ascii="Arial" w:cs="Arial" w:eastAsia="Arial" w:hAnsi="Arial"/>
          <w:sz w:val="22"/>
          <w:szCs w:val="22"/>
        </w:rPr>
        <w:t xml:space="preserve">Second: the excess and surplus lines market. A homeowner whose primary policy covers the first $50,000 of loss can purchase KXGC excess coverage for everything above that threshold — priced to their individual risk profile rather than the pool average. Someone one block from the fire station on non-combustible ground should pay dramatically less than their neighbor with wood shake roofs and no fire clearance. Traditional carriers cannot price individual risk economically at small scale. KXGC can — because the DAG is the underwriting file, CPNX attests the risk characteristics on-chain, and zero processing costs make individual parametric coverage economically viable.</w:t>
      </w:r>
    </w:p>
    <w:p>
      <w:pPr>
        <w:spacing w:before="100" w:after="100"/>
      </w:pPr>
    </w:p>
    <w:p>
      <w:pPr>
        <w:spacing w:before="100" w:after="100"/>
        <w:jc w:val="both"/>
      </w:pPr>
      <w:r>
        <w:rPr>
          <w:rFonts w:ascii="Arial" w:cs="Arial" w:eastAsia="Arial" w:hAnsi="Arial"/>
          <w:sz w:val="22"/>
          <w:szCs w:val="22"/>
        </w:rPr>
        <w:t xml:space="preserve">Third: the micropayment claim. Traditional insurance cannot process a $5 claim — the overhead exceeds the payout. The ChronX DAG processes a 10 KX conditional payment and a 10,000,000 KX conditional payment identically, at zero cost. This opens the entire market of micropayment conditional obligations: 10 KX if a flight is delayed more than two hours. 50 KX if rainfall exceeds a threshold. 100 KX if a package does not arrive. 500 KX if a contractor misses a milestone. None of these are economically viable in traditional insurance. All are trivial on ChronX.</w:t>
      </w:r>
    </w:p>
    <w:p>
      <w:pPr>
        <w:spacing w:before="100" w:after="100"/>
      </w:pPr>
    </w:p>
    <w:p>
      <w:pPr>
        <w:spacing w:before="100" w:after="100"/>
        <w:jc w:val="both"/>
      </w:pPr>
      <w:r>
        <w:rPr>
          <w:rFonts w:ascii="Arial" w:cs="Arial" w:eastAsia="Arial" w:hAnsi="Arial"/>
          <w:sz w:val="22"/>
          <w:szCs w:val="22"/>
        </w:rPr>
        <w:t xml:space="preserve">Fourth: the new instrument. Parametric triggers that execute automatically when an oracle condition is met — without an adjuster, without a claims form, without a 30-day wait. Cross-border conditional payments spanning jurisdictions with incompatible banking systems. Cascade instruments with multiple trigger layers. These instruments require automatic execution that existing infrastructure structurally cannot provide.</w:t>
      </w:r>
    </w:p>
    <w:p>
      <w:pPr>
        <w:spacing w:before="100" w:after="100"/>
      </w:pPr>
    </w:p>
    <w:p>
      <w:pPr>
        <w:spacing w:before="100" w:after="100"/>
        <w:jc w:val="both"/>
      </w:pPr>
      <w:r>
        <w:rPr>
          <w:rFonts w:ascii="Arial" w:cs="Arial" w:eastAsia="Arial" w:hAnsi="Arial"/>
          <w:sz w:val="22"/>
          <w:szCs w:val="22"/>
        </w:rPr>
        <w:t xml:space="preserve">Traditional insurance companies, banks, and escrow agents serve their markets well. ChronX serves the markets they cannot reach — and builds the instruments they cannot create. Springing obligations of any kind — insurance claims, performance bonds, escrow releases, parametric triggers, crop coverage, income protection, trade finance — are all conditional payments. The protocol does not distinguish between them. It enforces them all at zero cost, at any size, automatically.</w:t>
      </w:r>
    </w:p>
    <w:p>
      <w:pPr>
        <w:spacing w:before="100" w:after="100"/>
      </w:pPr>
    </w:p>
    <w:p>
      <w:pPr>
        <w:pStyle w:val="Heading1"/>
        <w:spacing w:before="480" w:after="240"/>
      </w:pPr>
      <w:r>
        <w:rPr>
          <w:rFonts w:ascii="Arial" w:cs="Arial" w:eastAsia="Arial" w:hAnsi="Arial"/>
          <w:b/>
          <w:bCs/>
          <w:color w:val="1F4E79"/>
          <w:sz w:val="34"/>
          <w:szCs w:val="34"/>
        </w:rPr>
        <w:t xml:space="preserve">4. The Essential Protocol Partners</w:t>
      </w:r>
    </w:p>
    <w:p>
      <w:pPr>
        <w:spacing w:before="100" w:after="100"/>
        <w:jc w:val="both"/>
      </w:pPr>
      <w:r>
        <w:rPr>
          <w:rFonts w:ascii="Arial" w:cs="Arial" w:eastAsia="Arial" w:hAnsi="Arial"/>
          <w:sz w:val="22"/>
          <w:szCs w:val="22"/>
        </w:rPr>
        <w:t xml:space="preserve">ChronX is the protocol. Around it, six bonded organisations extend its capabilities into specialised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spacing w:before="80" w:after="80"/>
      </w:pPr>
      <w:r>
        <w:t xml:space="preserve"/>
      </w:r>
    </w:p>
    <w:p>
      <w:pPr>
        <w:spacing w:before="100" w:after="100"/>
        <w:jc w:val="both"/>
      </w:pPr>
      <w:r>
        <w:rPr>
          <w:rFonts w:ascii="Arial" w:cs="Arial" w:eastAsia="Arial" w:hAnsi="Arial"/>
          <w:sz w:val="22"/>
          <w:szCs w:val="22"/>
        </w:rPr>
        <w:t xml:space="preserve">These six partners form a self-reinforcing ecosystem. XChan provides liquidity and exchange rates. HedgeKX converts that liquidity into price certainty for lenders, savers, and insurers. KXGC backstops the entire insurance and lending stack. MISAI manages long-horizon AI investment mandates. Verifas ensures long-horizon promises reach their intended recipients. CPNX establishes institutional identity. Each partner makes the others more powerful.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4.1 MISAI — The AI Executor</w:t>
      </w:r>
    </w:p>
    <w:p>
      <w:pPr>
        <w:spacing w:before="100" w:after="10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80" w:after="80"/>
      </w:pPr>
      <w:r>
        <w:t xml:space="preserve"/>
      </w:r>
    </w:p>
    <w:p>
      <w:pPr>
        <w:spacing w:before="100" w:after="100"/>
        <w:jc w:val="both"/>
      </w:pPr>
      <w:r>
        <w:rPr>
          <w:rFonts w:ascii="Arial" w:cs="Arial" w:eastAsia="Arial" w:hAnsi="Arial"/>
          <w:sz w:val="22"/>
          <w:szCs w:val="22"/>
        </w:rPr>
        <w:t xml:space="preserve">Governance: misai_conservative_batch_only = true. Full autonomous operation requires a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4.2 Verifas — The Human Attestation Layer</w:t>
      </w:r>
    </w:p>
    <w:p>
      <w:pPr>
        <w:spacing w:before="100" w:after="100"/>
        <w:jc w:val="both"/>
      </w:pPr>
      <w:r>
        <w:rPr>
          <w:rFonts w:ascii="Arial" w:cs="Arial" w:eastAsia="Arial" w:hAnsi="Arial"/>
          <w:sz w:val="22"/>
          <w:szCs w:val="22"/>
        </w:rPr>
        <w:t xml:space="preserve">Verifas (verifas.io) is a network of bonded human attestors whose job is to ensure that long-duration promises reach their intended recipients even when wallets go offline, email addresses change, or decades pass between a promise being made and it maturing.</w:t>
      </w:r>
    </w:p>
    <w:p>
      <w:pPr>
        <w:spacing w:before="100" w:after="100"/>
      </w:pPr>
    </w:p>
    <w:p>
      <w:pPr>
        <w:spacing w:before="100" w:after="100"/>
        <w:jc w:val="both"/>
      </w:pPr>
      <w:r>
        <w:rPr>
          <w:rFonts w:ascii="Arial" w:cs="Arial" w:eastAsia="Arial" w:hAnsi="Arial"/>
          <w:sz w:val="22"/>
          <w:szCs w:val="22"/>
        </w:rPr>
        <w:t xml:space="preserve">For short-duration locks (under the governance-set threshold, currently one year), normal claim behavior applies: if unclaimed within the claim window, funds revert to sender. This is correct for operational instruments — payroll, savings deposits, friendly loans.</w:t>
      </w:r>
    </w:p>
    <w:p>
      <w:pPr>
        <w:spacing w:before="100" w:after="100"/>
      </w:pPr>
    </w:p>
    <w:p>
      <w:pPr>
        <w:spacing w:before="100" w:after="100"/>
        <w:jc w:val="both"/>
      </w:pPr>
      <w:r>
        <w:rPr>
          <w:rFonts w:ascii="Arial" w:cs="Arial" w:eastAsia="Arial" w:hAnsi="Arial"/>
          <w:sz w:val="22"/>
          <w:szCs w:val="22"/>
        </w:rPr>
        <w:t xml:space="preserve">For long-duration locks (above the governance-set threshold), the following three-stage system applies:</w:t>
      </w:r>
    </w:p>
    <w:p>
      <w:pPr>
        <w:spacing w:before="100" w:after="100"/>
      </w:pPr>
    </w:p>
    <w:p>
      <w:pPr>
        <w:spacing w:before="100" w:after="100"/>
        <w:jc w:val="both"/>
      </w:pPr>
      <w:r>
        <w:rPr>
          <w:rFonts w:ascii="Arial" w:cs="Arial" w:eastAsia="Arial" w:hAnsi="Arial"/>
          <w:sz w:val="22"/>
          <w:szCs w:val="22"/>
        </w:rPr>
        <w:t xml:space="preserve">Stage 1 — Normal claim window (governance-set, default 90 days for wallet locks, default 0 days for email locks): The recipient claims directly via wallet or email claim code. No Verifas involvement. This is the intended path for the vast majority of long-duration locks.</w:t>
      </w:r>
    </w:p>
    <w:p>
      <w:pPr>
        <w:spacing w:before="100" w:after="100"/>
      </w:pPr>
    </w:p>
    <w:p>
      <w:pPr>
        <w:spacing w:before="100" w:after="100"/>
        <w:jc w:val="both"/>
      </w:pPr>
      <w:r>
        <w:rPr>
          <w:rFonts w:ascii="Arial" w:cs="Arial" w:eastAsia="Arial" w:hAnsi="Arial"/>
          <w:sz w:val="22"/>
          <w:szCs w:val="22"/>
        </w:rPr>
        <w:t xml:space="preserve">Stage 2 — Two-party lock (begins after Stage 1 expires): The lock automatically requires two signatures to release: the recipient’s signature AND a Verifas bonded attestor confirming the claimant’s identity. Neither party has custody. The KX does not move. A hacked email address cannot claim alone — the attacker also needs Verifas to co-sign, which requires identity attestation. A legitimate slow claimant can still claim with slightly more friction. Verifas earns a governance-approved fee only at successful release — aligning their incentive with finding the correct claimant, not the fastest claimant.</w:t>
      </w:r>
    </w:p>
    <w:p>
      <w:pPr>
        <w:spacing w:before="100" w:after="100"/>
      </w:pPr>
    </w:p>
    <w:p>
      <w:pPr>
        <w:spacing w:before="100" w:after="100"/>
        <w:jc w:val="both"/>
      </w:pPr>
      <w:r>
        <w:rPr>
          <w:rFonts w:ascii="Arial" w:cs="Arial" w:eastAsia="Arial" w:hAnsi="Arial"/>
          <w:sz w:val="22"/>
          <w:szCs w:val="22"/>
        </w:rPr>
        <w:t xml:space="preserve">Stage 3 — Verifas sole custody (after governance-set extended inactivity, default 7 years in Stage 2): After years of continued inactivity, sole custody transfers to Verifas for active estate resolution. Verifas uses all available on-chain information — email hash, wallet address, CPNX identity records, DAG history — to locate the rightful claimant or their estate.</w:t>
      </w:r>
    </w:p>
    <w:p>
      <w:pPr>
        <w:spacing w:before="100" w:after="100"/>
      </w:pPr>
    </w:p>
    <w:p>
      <w:pPr>
        <w:spacing w:before="100" w:after="100"/>
        <w:jc w:val="both"/>
      </w:pPr>
      <w:r>
        <w:rPr>
          <w:rFonts w:ascii="Arial" w:cs="Arial" w:eastAsia="Arial" w:hAnsi="Arial"/>
          <w:sz w:val="22"/>
          <w:szCs w:val="22"/>
        </w:rPr>
        <w:t xml:space="preserve">Last resort — Humanity Stake (after governance-set custody window, default 100 years): If Verifas cannot locate a claimant within the custody window, KX transfers to the Humanity Stake, locked until 2126. Coins are never permanently lost.</w:t>
      </w:r>
    </w:p>
    <w:p>
      <w:pPr>
        <w:spacing w:before="100" w:after="100"/>
      </w:pPr>
    </w:p>
    <w:p>
      <w:pPr>
        <w:spacing w:before="100" w:after="100"/>
        <w:jc w:val="both"/>
      </w:pPr>
      <w:r>
        <w:rPr>
          <w:rFonts w:ascii="Arial" w:cs="Arial" w:eastAsia="Arial" w:hAnsi="Arial"/>
          <w:sz w:val="22"/>
          <w:szCs w:val="22"/>
        </w:rPr>
        <w:t xml:space="preserve">Verifas holds a 10,000,000 KX bond ensuring meaningful accountability. Verifas attestors are bonded and financially incentivised to locate claimants. For high-value long-duration locks this incentive is strong. For low-value locks, delivery through Verifas is not guaranteed — the protocol provides the mechanism, but economics governs its application.</w:t>
      </w:r>
    </w:p>
    <w:p>
      <w:pPr>
        <w:spacing w:before="100" w:after="100"/>
      </w:pPr>
    </w:p>
    <w:p>
      <w:pPr>
        <w:spacing w:before="100" w:after="100"/>
        <w:jc w:val="both"/>
      </w:pPr>
      <w:r>
        <w:rPr>
          <w:rFonts w:ascii="Arial" w:cs="Arial" w:eastAsia="Arial" w:hAnsi="Arial"/>
          <w:sz w:val="22"/>
          <w:szCs w:val="22"/>
        </w:rPr>
        <w:t xml:space="preserve">All four thresholds — Stage 1 duration, Stage 2 duration, Stage 3 custody window, and Humanity Stake window — are governance parameters adjustable without a node rebuild. In 2046, if email infrastructure has become trivially compromisable, governance can set the email lock Stage 1 window to zero seconds, ensuring all email-recipient long-duration locks enter two-party mode immediately on maturity. The mechanism is stable. The parameters are flexible. This is correct design for a 100-year protocol.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4.3 XChan — The Protocol Exchange</w:t>
      </w:r>
    </w:p>
    <w:p>
      <w:pPr>
        <w:spacing w:before="100" w:after="100"/>
        <w:jc w:val="both"/>
      </w:pPr>
      <w:r>
        <w:rPr>
          <w:rFonts w:ascii="Arial" w:cs="Arial" w:eastAsia="Arial" w:hAnsi="Arial"/>
          <w:sz w:val="22"/>
          <w:szCs w:val="22"/>
        </w:rPr>
        <w:t xml:space="preserve">XChan (xchan.io) provides two services. First: the price oracle — a 7-day volume-weighted average of KX/USDC trades — that determines how much KX is required to deliver a promised USD amount for PAY_AS instruments. Second: direct KX/USDC conversion via wKX, a publicly tradeable ERC-20 token on the Base network listed on Uniswap v3.</w:t>
      </w:r>
    </w:p>
    <w:p>
      <w:pPr>
        <w:spacing w:before="80" w:after="80"/>
      </w:pPr>
      <w:r>
        <w:t xml:space="preserve"/>
      </w:r>
    </w:p>
    <w:p>
      <w:pPr>
        <w:spacing w:before="100" w:after="100"/>
        <w:jc w:val="both"/>
      </w:pPr>
      <w:r>
        <w:rPr>
          <w:rFonts w:ascii="Arial" w:cs="Arial" w:eastAsia="Arial" w:hAnsi="Arial"/>
          <w:sz w:val="22"/>
          <w:szCs w:val="22"/>
        </w:rPr>
        <w:t xml:space="preserve">wKX (Wrapped KX) is backed by XChan conversion locks on the ChronX DAG. It is a public token — transferable, redeemable, and available on Uniswap. It is not designed as a long-term investment product; it is a liquidity mechanism for KX/USDC conversion. Total KX on ChronX DAG plus total wKX on Base always equals 8,270,000,000 KX. wKX is not new supply. It is representation.</w:t>
      </w:r>
    </w:p>
    <w:p>
      <w:pPr>
        <w:spacing w:before="80" w:after="80"/>
      </w:pPr>
      <w:r>
        <w:t xml:space="preserve"/>
      </w:r>
    </w:p>
    <w:p>
      <w:pPr>
        <w:spacing w:before="100" w:after="100"/>
        <w:jc w:val="both"/>
      </w:pPr>
      <w:r>
        <w:rPr>
          <w:rFonts w:ascii="Arial" w:cs="Arial" w:eastAsia="Arial" w:hAnsi="Arial"/>
          <w:sz w:val="22"/>
          <w:szCs w:val="22"/>
        </w:rPr>
        <w:t xml:space="preserve">XChan holds a 10,000,000 KX bond. In the future XChan may license third-party conversion services.</w:t>
      </w:r>
    </w:p>
    <w:p>
      <w:pPr>
        <w:spacing w:before="80" w:after="80"/>
      </w:pPr>
      <w:r>
        <w:t xml:space="preserve"/>
      </w:r>
    </w:p>
    <w:p>
      <w:pPr>
        <w:spacing w:before="100" w:after="100"/>
        <w:jc w:val="both"/>
      </w:pPr>
      <w:r>
        <w:rPr>
          <w:rFonts w:ascii="Arial" w:cs="Arial" w:eastAsia="Arial" w:hAnsi="Arial"/>
          <w:sz w:val="22"/>
          <w:szCs w:val="22"/>
        </w:rPr>
        <w:t xml:space="preserve">Contract addresses: wKX on Base: 0x0BBC24a0cBBC5d3fF1B9b90ce5195fC04FE0dD56. Uniswap v3 pool: 0x0B1865E9519EFf7De80539d986C5abCC5e8667De (wKX/USDC, 1% fee).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4.4 HedgeKX — The Forward Exchange Engine</w:t>
      </w:r>
    </w:p>
    <w:p>
      <w:pPr>
        <w:spacing w:before="100" w:after="100"/>
        <w:jc w:val="both"/>
      </w:pPr>
      <w:r>
        <w:rPr>
          <w:rFonts w:ascii="Arial" w:cs="Arial" w:eastAsia="Arial" w:hAnsi="Arial"/>
          <w:sz w:val="22"/>
          <w:szCs w:val="22"/>
        </w:rPr>
        <w:t xml:space="preserve">HedgeKX (hedgekx.io) is the mechanism through which ChronX's locked KX supply becomes economically productive without ever leaving the hands of its owners.</w:t>
      </w:r>
    </w:p>
    <w:p>
      <w:pPr>
        <w:spacing w:before="80" w:after="80"/>
      </w:pPr>
      <w:r>
        <w:t xml:space="preserve"/>
      </w:r>
    </w:p>
    <w:p>
      <w:pPr>
        <w:spacing w:before="100" w:after="100"/>
        <w:jc w:val="both"/>
      </w:pPr>
      <w:r>
        <w:rPr>
          <w:rFonts w:ascii="Arial" w:cs="Arial" w:eastAsia="Arial" w:hAnsi="Arial"/>
          <w:sz w:val="22"/>
          <w:szCs w:val="22"/>
        </w:rPr>
        <w:t xml:space="preserve">When KX is locked in a savings account or a long-term promise, it sits dormant — protected, immovable, guaranteed to return. HedgeKX changes this without changing anything about the protection. Every TYPE_Y lock automatically grants HedgeKX a time-limited minting mandate: permission to create an internal settlement token called h1KX on the Base network, backed 1:1 by the locked KX, for up to 24 hours at a time. HedgeKX uses h1KX exclusively as an intraday bridge for forward currency exchanges between KX and USDC.</w:t>
      </w:r>
    </w:p>
    <w:p>
      <w:pPr>
        <w:spacing w:before="80" w:after="80"/>
      </w:pPr>
      <w:r>
        <w:t xml:space="preserve"/>
      </w:r>
    </w:p>
    <w:p>
      <w:pPr>
        <w:spacing w:before="100" w:after="100"/>
        <w:jc w:val="both"/>
      </w:pPr>
      <w:r>
        <w:rPr>
          <w:rFonts w:ascii="Arial" w:cs="Arial" w:eastAsia="Arial" w:hAnsi="Arial"/>
          <w:sz w:val="22"/>
          <w:szCs w:val="22"/>
        </w:rPr>
        <w:t xml:space="preserve">h1KX is not wKX. It is not public. It cannot be transferred, held, or traded by anyone. It burns automatically every 24 hours. It exists only inside HedgeKX's settlement infrastructure as a mathematical accounting record.</w:t>
      </w:r>
    </w:p>
    <w:p>
      <w:pPr>
        <w:spacing w:before="80" w:after="80"/>
      </w:pPr>
      <w:r>
        <w:t xml:space="preserve"/>
      </w:r>
    </w:p>
    <w:p>
      <w:pPr>
        <w:spacing w:before="100" w:after="100"/>
        <w:jc w:val="both"/>
      </w:pPr>
      <w:r>
        <w:rPr>
          <w:rFonts w:ascii="Arial" w:cs="Arial" w:eastAsia="Arial" w:hAnsi="Arial"/>
          <w:b/>
          <w:bCs/>
          <w:sz w:val="22"/>
          <w:szCs w:val="22"/>
        </w:rPr>
        <w:t xml:space="preserve">The guarantee that never changes:</w:t>
      </w:r>
    </w:p>
    <w:p>
      <w:pPr>
        <w:spacing w:before="100" w:after="100"/>
        <w:jc w:val="both"/>
      </w:pPr>
      <w:r>
        <w:rPr>
          <w:rFonts w:ascii="Arial" w:cs="Arial" w:eastAsia="Arial" w:hAnsi="Arial"/>
          <w:sz w:val="22"/>
          <w:szCs w:val="22"/>
        </w:rPr>
        <w:t xml:space="preserve">No one committing KX for yield can ever lose their KX. Because they never give it up. The KX remains locked on the ChronX DAG, owned by the lock holder, protected by post-quantum cryptography. The mandate grants HedgeKX a temporary minting right — not ownership, not custody, not collateral, not a lien. At maturity, the protocol automatically unlocks the KX and returns it to the owner. This happens regardless of what HedgeKX does, regardless of whether HedgeKX exists, regardless of whether Base exists. The guarantee is enforced by the ChronX DAG's consensus rules — mathematics, not institutional goodwill.</w:t>
      </w:r>
    </w:p>
    <w:p>
      <w:pPr>
        <w:spacing w:before="80" w:after="80"/>
      </w:pPr>
      <w:r>
        <w:t xml:space="preserve"/>
      </w:r>
    </w:p>
    <w:p>
      <w:pPr>
        <w:spacing w:before="100" w:after="100"/>
        <w:jc w:val="both"/>
      </w:pPr>
      <w:r>
        <w:rPr>
          <w:rFonts w:ascii="Arial" w:cs="Arial" w:eastAsia="Arial" w:hAnsi="Arial"/>
          <w:b/>
          <w:bCs/>
          <w:sz w:val="22"/>
          <w:szCs w:val="22"/>
        </w:rPr>
        <w:t xml:space="preserve">What yield means:</w:t>
      </w:r>
    </w:p>
    <w:p>
      <w:pPr>
        <w:spacing w:before="100" w:after="100"/>
        <w:jc w:val="both"/>
      </w:pPr>
      <w:r>
        <w:rPr>
          <w:rFonts w:ascii="Arial" w:cs="Arial" w:eastAsia="Arial" w:hAnsi="Arial"/>
          <w:sz w:val="22"/>
          <w:szCs w:val="22"/>
        </w:rPr>
        <w:t xml:space="preserve">HedgeKX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HedgeKX has no matching activity, yield is zero for that day. Principal is unaffected.</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A grantor who wishes to make a TYPE_Y promise without granting a HedgeKX mandate — for tax reasons, for simplicity, or by personal preference — may set yield_opt_out at lock creation. The lock behaves identically to a standard time-locked promise. No mandate is granted. No yield accrues. The principal guarantee is identical.</w:t>
      </w:r>
    </w:p>
    <w:p>
      <w:pPr>
        <w:spacing w:before="80" w:after="80"/>
      </w:pPr>
      <w:r>
        <w:t xml:space="preserve"/>
      </w:r>
    </w:p>
    <w:p>
      <w:pPr>
        <w:spacing w:before="100" w:after="100"/>
        <w:jc w:val="both"/>
      </w:pPr>
      <w:r>
        <w:rPr>
          <w:rFonts w:ascii="Arial" w:cs="Arial" w:eastAsia="Arial" w:hAnsi="Arial"/>
          <w:b/>
          <w:bCs/>
          <w:sz w:val="22"/>
          <w:szCs w:val="22"/>
        </w:rPr>
        <w:t xml:space="preserve">The market develops gradually:</w:t>
      </w:r>
    </w:p>
    <w:p>
      <w:pPr>
        <w:spacing w:before="100" w:after="100"/>
        <w:jc w:val="both"/>
      </w:pPr>
      <w:r>
        <w:rPr>
          <w:rFonts w:ascii="Arial" w:cs="Arial" w:eastAsia="Arial" w:hAnsi="Arial"/>
          <w:sz w:val="22"/>
          <w:szCs w:val="22"/>
        </w:rPr>
        <w:t xml:space="preserve">HedgeKX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HedgeKX providing yield, yield attracting more savings — is the mature state. It develops over time. Appendix O contains the complete HedgeKX technical and risk reference.</w:t>
      </w:r>
    </w:p>
    <w:p>
      <w:pPr>
        <w:spacing w:before="80" w:after="80"/>
      </w:pPr>
      <w:r>
        <w:t xml:space="preserve"/>
      </w:r>
    </w:p>
    <w:p>
      <w:pPr>
        <w:spacing w:before="100" w:after="100"/>
        <w:jc w:val="both"/>
      </w:pPr>
      <w:r>
        <w:rPr>
          <w:rFonts w:ascii="Arial" w:cs="Arial" w:eastAsia="Arial" w:hAnsi="Arial"/>
          <w:b/>
          <w:bCs/>
          <w:sz w:val="22"/>
          <w:szCs w:val="22"/>
        </w:rPr>
        <w:t xml:space="preserve">HedgeKX's constraints are protocol-enforced, not policy:</w:t>
      </w:r>
    </w:p>
    <w:p>
      <w:pPr>
        <w:spacing w:before="100" w:after="100"/>
        <w:jc w:val="both"/>
      </w:pPr>
      <w:r>
        <w:rPr>
          <w:rFonts w:ascii="Arial" w:cs="Arial" w:eastAsia="Arial" w:hAnsi="Arial"/>
          <w:sz w:val="22"/>
          <w:szCs w:val="22"/>
        </w:rPr>
        <w:t xml:space="preserve">HedgeKX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pPr>
        <w:spacing w:before="80" w:after="80"/>
      </w:pPr>
      <w:r>
        <w:t xml:space="preserve"/>
      </w:r>
    </w:p>
    <w:p>
      <w:pPr>
        <w:spacing w:before="100" w:after="100"/>
        <w:jc w:val="both"/>
      </w:pPr>
      <w:r>
        <w:rPr>
          <w:rFonts w:ascii="Arial" w:cs="Arial" w:eastAsia="Arial" w:hAnsi="Arial"/>
          <w:b/>
          <w:bCs/>
          <w:sz w:val="22"/>
          <w:szCs w:val="22"/>
        </w:rPr>
        <w:t xml:space="preserve">The hNKX family:</w:t>
      </w:r>
    </w:p>
    <w:p>
      <w:pPr>
        <w:spacing w:before="100" w:after="100"/>
        <w:jc w:val="both"/>
      </w:pPr>
      <w:r>
        <w:rPr>
          <w:rFonts w:ascii="Arial" w:cs="Arial" w:eastAsia="Arial" w:hAnsi="Arial"/>
          <w:sz w:val="22"/>
          <w:szCs w:val="22"/>
        </w:rPr>
        <w:t xml:space="preserve">USDC is the first currency pair for HedgeKX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pPr>
        <w:spacing w:before="80" w:after="80"/>
      </w:pPr>
      <w:r>
        <w:t xml:space="preserve"/>
      </w:r>
    </w:p>
    <w:p>
      <w:pPr>
        <w:pStyle w:val="Heading3"/>
        <w:spacing w:before="240" w:after="120"/>
      </w:pPr>
      <w:r>
        <w:rPr>
          <w:rFonts w:ascii="Arial" w:cs="Arial" w:eastAsia="Arial" w:hAnsi="Arial"/>
          <w:b/>
          <w:bCs/>
          <w:color w:val="1F4E79"/>
          <w:sz w:val="24"/>
          <w:szCs w:val="24"/>
        </w:rPr>
        <w:t xml:space="preserve">Three Natural Currency B Committer Pools</w:t>
      </w:r>
    </w:p>
    <w:p>
      <w:pPr>
        <w:spacing w:before="100" w:after="100"/>
      </w:pPr>
    </w:p>
    <w:p>
      <w:pPr>
        <w:spacing w:before="100" w:after="100"/>
        <w:jc w:val="both"/>
      </w:pPr>
      <w:r>
        <w:rPr>
          <w:rFonts w:ascii="Arial" w:cs="Arial" w:eastAsia="Arial" w:hAnsi="Arial"/>
          <w:sz w:val="22"/>
          <w:szCs w:val="22"/>
        </w:rPr>
        <w:t xml:space="preserve">HedgeKX’s Currency B Committer pool has three natural sources that exist independently of external market speculation, providing organic rational demand from the first day of operation.</w:t>
      </w:r>
    </w:p>
    <w:p>
      <w:pPr>
        <w:spacing w:before="100" w:after="100"/>
      </w:pPr>
    </w:p>
    <w:p>
      <w:pPr>
        <w:spacing w:before="100" w:after="100"/>
        <w:jc w:val="both"/>
      </w:pPr>
      <w:r>
        <w:rPr>
          <w:rFonts w:ascii="Arial" w:cs="Arial" w:eastAsia="Arial" w:hAnsi="Arial"/>
          <w:sz w:val="22"/>
          <w:szCs w:val="22"/>
        </w:rPr>
        <w:t xml:space="preserve">Pool 1 — Loan settlement liquidity. For friendly loans and PAY_AS loans, the Currency B Committer provides USDC as settlement liquidity for collateralized loans with contractually obligated repayment. The borrower must repay. Settlement is automatic — time plus repayment (or absence of repayment) is the complete mechanism. No oracle. No attestation. No optionality. The Currency B Committer earns approximately 12% annualized on 30-day instruments and receives KX collateral at the locked rate if the borrower defaults. This is not speculation on KX’s price — it is provision of settlement liquidity for a known collateralized instrument.</w:t>
      </w:r>
    </w:p>
    <w:p>
      <w:pPr>
        <w:spacing w:before="100" w:after="100"/>
      </w:pPr>
    </w:p>
    <w:p>
      <w:pPr>
        <w:spacing w:before="100" w:after="100"/>
        <w:jc w:val="both"/>
      </w:pPr>
      <w:r>
        <w:rPr>
          <w:rFonts w:ascii="Arial" w:cs="Arial" w:eastAsia="Arial" w:hAnsi="Arial"/>
          <w:sz w:val="22"/>
          <w:szCs w:val="22"/>
        </w:rPr>
        <w:t xml:space="preserve">Pool 2 — KXGC premium float. KXGC receives insurance premiums in USDC. Those premiums sit as reserves against future claims. KXGC deploys this reserve as a Currency B Committer — earning yield on its float while simultaneously hedging its own claim liabilities as an Exchange Buyer. KXGC is the natural two-sided participant: it locks KX as collateral when hedging claims (Exchange Buyer) and commits USDC premium income when deploying reserves (Currency B Committer). This is standard insurance treasury management — not speculation.</w:t>
      </w:r>
    </w:p>
    <w:p>
      <w:pPr>
        <w:spacing w:before="100" w:after="100"/>
      </w:pPr>
    </w:p>
    <w:p>
      <w:pPr>
        <w:spacing w:before="100" w:after="100"/>
        <w:jc w:val="both"/>
      </w:pPr>
      <w:r>
        <w:rPr>
          <w:rFonts w:ascii="Arial" w:cs="Arial" w:eastAsia="Arial" w:hAnsi="Arial"/>
          <w:sz w:val="22"/>
          <w:szCs w:val="22"/>
        </w:rPr>
        <w:t xml:space="preserve">Pool 3 — External yield-seeking capital. As the ecosystem matures, short-duration collateralized instruments with observable repayment statistics and known yield history attract external capital seeking stable returns. This pool develops over time as Pools 1 and 2 establish the track record that makes rational external participation straightforward.</w:t>
      </w:r>
    </w:p>
    <w:p>
      <w:pPr>
        <w:spacing w:before="100" w:after="100"/>
      </w:pPr>
    </w:p>
    <w:p>
      <w:pPr>
        <w:spacing w:before="100" w:after="100"/>
        <w:jc w:val="both"/>
      </w:pPr>
      <w:r>
        <w:rPr>
          <w:rFonts w:ascii="Arial" w:cs="Arial" w:eastAsia="Arial" w:hAnsi="Arial"/>
          <w:sz w:val="22"/>
          <w:szCs w:val="22"/>
        </w:rPr>
        <w:t xml:space="preserve">These three pools mean HedgeKX has genuine two-sided flow from its first day of operation — not from speculators betting on KX, but from participants providing settlement liquidity for real obligations that must be discharged.</w:t>
      </w:r>
    </w:p>
    <w:p>
      <w:pPr>
        <w:spacing w:before="100" w:after="100"/>
      </w:pPr>
    </w:p>
    <w:p>
      <w:pPr>
        <w:spacing w:before="100" w:after="100"/>
        <w:jc w:val="both"/>
      </w:pPr>
      <w:r>
        <w:rPr>
          <w:rFonts w:ascii="Arial" w:cs="Arial" w:eastAsia="Arial" w:hAnsi="Arial"/>
          <w:sz w:val="22"/>
          <w:szCs w:val="22"/>
        </w:rPr>
        <w:t xml:space="preserve">HedgeKX holds a 10,000,000 KX bond. Governance parameters: hedgekx_max_daily_exposure_usd = $250. hedgekx_max_instrument_duration_seconds = 86,400 (24 hours). Both subject to governance expansion.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4.5 CPNX — Identity and Badges</w:t>
      </w:r>
    </w:p>
    <w:p>
      <w:pPr>
        <w:spacing w:before="100" w:after="10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4.6 KXGC — KX Guarantee Co.</w:t>
      </w:r>
    </w:p>
    <w:p>
      <w:pPr>
        <w:spacing w:before="100" w:after="100"/>
      </w:pPr>
    </w:p>
    <w:p>
      <w:pPr>
        <w:spacing w:before="100" w:after="100"/>
        <w:jc w:val="both"/>
      </w:pPr>
      <w:r>
        <w:rPr>
          <w:rFonts w:ascii="Arial" w:cs="Arial" w:eastAsia="Arial" w:hAnsi="Arial"/>
          <w:sz w:val="22"/>
          <w:szCs w:val="22"/>
        </w:rPr>
        <w:t xml:space="preserve">KXGC (kxgc.io) is the capital of last resort for the entire ChronX insurance and lending stack. It holds 300,000,000 KX in fully-reserved catastrophic bond capital — permanently visible on the DAG, queryable by anyone, at any time. KXGC operates the Lloyd’s of London model: a three-tier hierarchy of bonded guarantors. Tier 0 (KXGC, 300M KX, never writes policies directly). Tier 1 (bonded Names, 5—25M KX each, write guarantee instruments, bond the first portion of claims before KXGC’s backstop is ever touched). Tier 2 (retail pools, backed by Tier 1 sponsors).</w:t>
      </w:r>
    </w:p>
    <w:p>
      <w:pPr>
        <w:spacing w:before="100" w:after="100"/>
      </w:pPr>
    </w:p>
    <w:p>
      <w:pPr>
        <w:spacing w:before="100" w:after="100"/>
        <w:jc w:val="both"/>
      </w:pPr>
      <w:r>
        <w:rPr>
          <w:rFonts w:ascii="Arial" w:cs="Arial" w:eastAsia="Arial" w:hAnsi="Arial"/>
          <w:sz w:val="22"/>
          <w:szCs w:val="22"/>
        </w:rPr>
        <w:t xml:space="preserve">KXGC provides the backstop that makes PAY_AS insurance, long-horizon lending, and multi-party conditional payments viable at scale. KXGC is also the primary institutional Exchange Buyer for HedgeKX — the largest single source of structured hedging demand as it writes insurance policies requiring currency certainty.</w:t>
      </w:r>
    </w:p>
    <w:p>
      <w:pPr>
        <w:spacing w:before="100" w:after="100"/>
      </w:pPr>
    </w:p>
    <w:p>
      <w:pPr>
        <w:spacing w:before="100" w:after="100"/>
        <w:jc w:val="both"/>
      </w:pPr>
      <w:r>
        <w:rPr>
          <w:rFonts w:ascii="Arial" w:cs="Arial" w:eastAsia="Arial" w:hAnsi="Arial"/>
          <w:sz w:val="22"/>
          <w:szCs w:val="22"/>
        </w:rPr>
        <w:t xml:space="preserve">KXGC’s most immediate addressable market is the excess and surplus lines segment that traditional carriers systematically underserve. A homeowner whose primary policy covers the first $50,000 of loss can purchase KXGC excess coverage for everything above that threshold, priced to their individual risk profile rather than the pool average. The DAG’s immutable property record, CPNX’s on-chain attestation of risk characteristics, and the oracle’s parametric trigger eliminate the information asymmetry and processing costs that make individual excess underwriting uneconomical for traditional carriers.</w:t>
      </w:r>
    </w:p>
    <w:p>
      <w:pPr>
        <w:spacing w:before="100" w:after="100"/>
      </w:pPr>
    </w:p>
    <w:p>
      <w:pPr>
        <w:spacing w:before="100" w:after="100"/>
        <w:jc w:val="both"/>
      </w:pPr>
      <w:r>
        <w:rPr>
          <w:rFonts w:ascii="Arial" w:cs="Arial" w:eastAsia="Arial" w:hAnsi="Arial"/>
          <w:sz w:val="22"/>
          <w:szCs w:val="22"/>
        </w:rPr>
        <w:t xml:space="preserve">The layered coverage architecture is clean:</w:t>
      </w:r>
    </w:p>
    <w:p>
      <w:pPr>
        <w:spacing w:before="100" w:after="100"/>
      </w:pPr>
    </w:p>
    <w:p>
      <w:pPr>
        <w:spacing w:before="100" w:after="100"/>
        <w:jc w:val="both"/>
      </w:pPr>
      <w:r>
        <w:rPr>
          <w:rFonts w:ascii="Arial" w:cs="Arial" w:eastAsia="Arial" w:hAnsi="Arial"/>
          <w:sz w:val="22"/>
          <w:szCs w:val="22"/>
        </w:rPr>
        <w:t xml:space="preserve">Layer 1 — Primary coverage (traditional carrier): $0 to policy limit. Standard carrier, standard rates, standard claims process. Already exists. ChronX does not replace this.</w:t>
      </w:r>
    </w:p>
    <w:p>
      <w:pPr>
        <w:spacing w:before="100" w:after="100"/>
      </w:pPr>
    </w:p>
    <w:p>
      <w:pPr>
        <w:spacing w:before="100" w:after="100"/>
        <w:jc w:val="both"/>
      </w:pPr>
      <w:r>
        <w:rPr>
          <w:rFonts w:ascii="Arial" w:cs="Arial" w:eastAsia="Arial" w:hAnsi="Arial"/>
          <w:sz w:val="22"/>
          <w:szCs w:val="22"/>
        </w:rPr>
        <w:t xml:space="preserve">Layer 2 — KXGC excess (ChronX): above the primary limit, up to whatever the Tier 1 Name underwrites. Parametric trigger via oracle. Automatic payment. Priced to individual risk profile. The LinkedSpring instrument type handles activation cleanly — the KXGC instrument fires only after primary coverage is documented as exhausted.</w:t>
      </w:r>
    </w:p>
    <w:p>
      <w:pPr>
        <w:spacing w:before="100" w:after="100"/>
      </w:pPr>
    </w:p>
    <w:p>
      <w:pPr>
        <w:spacing w:before="100" w:after="100"/>
        <w:jc w:val="both"/>
      </w:pPr>
      <w:r>
        <w:rPr>
          <w:rFonts w:ascii="Arial" w:cs="Arial" w:eastAsia="Arial" w:hAnsi="Arial"/>
          <w:sz w:val="22"/>
          <w:szCs w:val="22"/>
        </w:rPr>
        <w:t xml:space="preserve">Layer 3 — KXGC catastrophic backstop: above Tier 1 capacity. The 300M KX bond. Last resort only.</w:t>
      </w:r>
    </w:p>
    <w:p>
      <w:pPr>
        <w:spacing w:before="100" w:after="100"/>
      </w:pPr>
    </w:p>
    <w:p>
      <w:pPr>
        <w:spacing w:before="100" w:after="100"/>
        <w:jc w:val="both"/>
      </w:pPr>
      <w:r>
        <w:rPr>
          <w:rFonts w:ascii="Arial" w:cs="Arial" w:eastAsia="Arial" w:hAnsi="Arial"/>
          <w:sz w:val="22"/>
          <w:szCs w:val="22"/>
        </w:rPr>
        <w:t xml:space="preserve">KXGC does not compete with existing primary insurers. It covers what they leave uncovered — at any claim size, from 10 KX to 10,000,000 KX, at zero processing cost, with automatic parametric settlement.</w:t>
      </w:r>
    </w:p>
    <w:p>
      <w:pPr>
        <w:spacing w:before="100" w:after="100"/>
      </w:pPr>
    </w:p>
    <w:p>
      <w:pPr>
        <w:spacing w:before="100" w:after="100"/>
        <w:jc w:val="both"/>
      </w:pPr>
      <w:r>
        <w:rPr>
          <w:rFonts w:ascii="Arial" w:cs="Arial" w:eastAsia="Arial" w:hAnsi="Arial"/>
          <w:sz w:val="22"/>
          <w:szCs w:val="22"/>
        </w:rPr>
        <w:t xml:space="preserve">Springing obligations extend far beyond homeowner coverage. Performance bonds, escrow releases, crop parametric coverage, gig worker income protection, trade finance conditional payments, supply chain milestone triggers — all are conditional payments that the protocol enforces identically regardless of size or domain.</w:t>
      </w:r>
    </w:p>
    <w:p>
      <w:pPr>
        <w:spacing w:before="100" w:after="100"/>
      </w:pPr>
    </w:p>
    <w:p>
      <w:pPr>
        <w:spacing w:before="100" w:after="100"/>
      </w:pPr>
    </w:p>
    <w:p>
      <w:pPr>
        <w:spacing w:before="100" w:after="100"/>
        <w:jc w:val="both"/>
      </w:pPr>
      <w:r>
        <w:rPr>
          <w:rFonts w:ascii="Arial" w:cs="Arial" w:eastAsia="Arial" w:hAnsi="Arial"/>
          <w:sz w:val="22"/>
          <w:szCs w:val="22"/>
        </w:rPr>
        <w:t xml:space="preserve">KXGC operates on a 100-year horizon. There is no requirement — and no pressure — to begin underwriting at launch. The 300M KX catastrophic bond exists to provide an unconditional backstop when the market is ready, not to manufacture activity before it is. Tier 1 Names are admitted by KXGC when they demonstrate genuine expertise, adequate personal bonding, and a prudent underwriting philosophy. The first policy written on ChronX will be written when a qualified Name believes the market conditions, the protocol’s track record, and the available hedge capacity make it responsible to do so. Not before.</w:t>
      </w:r>
    </w:p>
    <w:p>
      <w:pPr>
        <w:spacing w:before="100" w:after="100"/>
      </w:pPr>
    </w:p>
    <w:p>
      <w:pPr>
        <w:spacing w:before="100" w:after="100"/>
        <w:jc w:val="both"/>
      </w:pPr>
      <w:r>
        <w:rPr>
          <w:rFonts w:ascii="Arial" w:cs="Arial" w:eastAsia="Arial" w:hAnsi="Arial"/>
          <w:sz w:val="22"/>
          <w:szCs w:val="22"/>
        </w:rPr>
        <w:t xml:space="preserve">In addition to the catastrophic bond, KXGC holds 200,000,000 KX in operating capital, vesting in annual tranches from 2027 to 2036. This working capital funds policy underwriting liquidity, claim payment float, and hedge collateral as the market develops. The vesting schedule front-loads small tranches in the early years — when KXGC has no active policies — and delivers larger tranches in later years when an established policy book and admitted Tier 1 Names create genuine operational need. The cascade structure means most of this capital does not yet exist as spendable KX, providing an additional layer of market protection.</w:t>
      </w:r>
    </w:p>
    <w:p>
      <w:pPr>
        <w:spacing w:before="100" w:after="100"/>
      </w:pPr>
    </w:p>
    <w:p>
      <w:pPr>
        <w:spacing w:before="100" w:after="100"/>
        <w:jc w:val="both"/>
      </w:pPr>
      <w:r>
        <w:rPr>
          <w:rFonts w:ascii="Arial" w:cs="Arial" w:eastAsia="Arial" w:hAnsi="Arial"/>
          <w:sz w:val="22"/>
          <w:szCs w:val="22"/>
        </w:rPr>
        <w:t xml:space="preserve">The Tier 1 bonding requirement is the mechanism that makes KXGC prudent rather than reckless: Tier 1 Names bond the first portion of claims before KXGC’s backstop is ever touched. A Tier 1 Name must exhaust their own bond before KXGC steps in. This personal exposure gives Tier 1 Names strong incentive to underwrite carefully, price correctly, and maintain adequate reserves. KXGC only absorbs what survives both the Tier 1 and Tier 2 layers. This is the Lloyd’s Names model encoded in the protocol.</w:t>
      </w:r>
    </w:p>
    <w:p>
      <w:pPr>
        <w:spacing w:before="100" w:after="100"/>
      </w:pPr>
    </w:p>
    <w:p>
      <w:pPr>
        <w:spacing w:before="100" w:after="100"/>
        <w:jc w:val="both"/>
      </w:pPr>
      <w:r>
        <w:rPr>
          <w:rFonts w:ascii="Arial" w:cs="Arial" w:eastAsia="Arial" w:hAnsi="Arial"/>
          <w:sz w:val="22"/>
          <w:szCs w:val="22"/>
        </w:rPr>
        <w:t xml:space="preserve">Catastrophic bond wallet: BqjGDbhzLJJgzpVywRxug4wTa2Qqtwipc1hkcLLJsWzF</w:t>
      </w:r>
    </w:p>
    <w:p>
      <w:pPr>
        <w:spacing w:before="100" w:after="100"/>
      </w:pPr>
    </w:p>
    <w:p>
      <w:pPr>
        <w:spacing w:before="100" w:after="100"/>
        <w:jc w:val="both"/>
      </w:pPr>
      <w:r>
        <w:rPr>
          <w:rFonts w:ascii="Arial" w:cs="Arial" w:eastAsia="Arial" w:hAnsi="Arial"/>
          <w:sz w:val="22"/>
          <w:szCs w:val="22"/>
        </w:rPr>
        <w:t xml:space="preserve">Operating capital wallet: G2aH9NfRFo5gdLTMjNqCRv4PkcKKEHLD99Y8vhQwSgeV</w:t>
      </w:r>
    </w:p>
    <w:p>
      <w:pPr>
        <w:spacing w:before="100" w:after="100"/>
      </w:pPr>
    </w:p>
    <w:p>
      <w:pPr>
        <w:pStyle w:val="Heading1"/>
        <w:spacing w:before="480" w:after="240"/>
      </w:pPr>
      <w:r>
        <w:rPr>
          <w:rFonts w:ascii="Arial" w:cs="Arial" w:eastAsia="Arial" w:hAnsi="Arial"/>
          <w:b/>
          <w:bCs/>
          <w:color w:val="1F4E79"/>
          <w:sz w:val="34"/>
          <w:szCs w:val="34"/>
        </w:rPr>
        <w:t xml:space="preserve">4.7 Savings — Protocol-Guaranteed Principal</w:t>
      </w:r>
    </w:p>
    <w:p>
      <w:pPr>
        <w:pBdr>
          <w:left w:val="single" w:color="2E75B6" w:sz="8" w:space="12"/>
        </w:pBdr>
        <w:spacing w:before="160" w:after="160"/>
        <w:ind w:left="720" w:right="720"/>
      </w:pPr>
      <w:r>
        <w:rPr>
          <w:rFonts w:ascii="Arial" w:cs="Arial" w:eastAsia="Arial" w:hAnsi="Arial"/>
          <w:i/>
          <w:iCs/>
          <w:sz w:val="22"/>
          <w:szCs w:val="22"/>
        </w:rPr>
        <w:t xml:space="preserve">"Your savings principal is guaranteed by the ChronX protocol — secured by mathematics, not by a bank."</w:t>
      </w:r>
    </w:p>
    <w:p>
      <w:pPr>
        <w:spacing w:before="80" w:after="80"/>
      </w:pPr>
      <w:r>
        <w:t xml:space="preserve"/>
      </w:r>
    </w:p>
    <w:p>
      <w:pPr>
        <w:spacing w:before="100" w:after="100"/>
        <w:jc w:val="both"/>
      </w:pPr>
      <w:r>
        <w:rPr>
          <w:rFonts w:ascii="Arial" w:cs="Arial" w:eastAsia="Arial" w:hAnsi="Arial"/>
          <w:sz w:val="22"/>
          <w:szCs w:val="22"/>
        </w:rPr>
        <w:t xml:space="preserve">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pPr>
        <w:spacing w:before="80" w:after="80"/>
      </w:pPr>
      <w:r>
        <w:t xml:space="preserve"/>
      </w:r>
    </w:p>
    <w:p>
      <w:pPr>
        <w:spacing w:before="100" w:after="100"/>
        <w:jc w:val="both"/>
      </w:pPr>
      <w:r>
        <w:rPr>
          <w:rFonts w:ascii="Arial" w:cs="Arial" w:eastAsia="Arial" w:hAnsi="Arial"/>
          <w:sz w:val="22"/>
          <w:szCs w:val="22"/>
        </w:rPr>
        <w:t xml:space="preserve">No bank can make this statement about a yield-bearing product. A bank's promise to return principal depends on solvency, insurance, and government discretion. ChronX's guarantee depends only on mathematics.</w:t>
      </w:r>
    </w:p>
    <w:p>
      <w:pPr>
        <w:spacing w:before="80" w:after="80"/>
      </w:pPr>
      <w:r>
        <w:t xml:space="preserve"/>
      </w:r>
    </w:p>
    <w:p>
      <w:pPr>
        <w:spacing w:before="100" w:after="100"/>
        <w:jc w:val="both"/>
      </w:pPr>
      <w:r>
        <w:rPr>
          <w:rFonts w:ascii="Arial" w:cs="Arial" w:eastAsia="Arial" w:hAnsi="Arial"/>
          <w:b/>
          <w:bCs/>
          <w:sz w:val="22"/>
          <w:szCs w:val="22"/>
        </w:rPr>
        <w:t xml:space="preserve">Yield:</w:t>
      </w:r>
    </w:p>
    <w:p>
      <w:pPr>
        <w:spacing w:before="100" w:after="100"/>
        <w:jc w:val="both"/>
      </w:pPr>
      <w:r>
        <w:rPr>
          <w:rFonts w:ascii="Arial" w:cs="Arial" w:eastAsia="Arial" w:hAnsi="Arial"/>
          <w:sz w:val="22"/>
          <w:szCs w:val="22"/>
        </w:rPr>
        <w:t xml:space="preserve">Yield is separate from principal and is not guaranteed. It comes from HedgeKX's facilitation activity — when HedgeKX uses the lock's mandate for an active matched transaction, it pays a share of its income to the yield balance of the promise's beneficiary. Yield accumulates in a separate balance on the DAG that never decreases — once credited, it is permanent and claimable at any time. On days when HedgeKX has no activity, yield is zero for that day. The principal is unaffected. Maximum loss to a saver in any scenario: zero principal.</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who prefer not to grant a HedgeKX mandate — for tax or other reasons — may set yield_opt_out at creation. Principal protection is identical.</w:t>
      </w:r>
    </w:p>
    <w:p>
      <w:r>
        <w:br w:type="page"/>
      </w:r>
    </w:p>
    <w:p>
      <w:pPr>
        <w:pStyle w:val="Heading1"/>
        <w:spacing w:before="480" w:after="240"/>
      </w:pPr>
      <w:r>
        <w:rPr>
          <w:rFonts w:ascii="Arial" w:cs="Arial" w:eastAsia="Arial" w:hAnsi="Arial"/>
          <w:b/>
          <w:bCs/>
          <w:color w:val="1F4E79"/>
          <w:sz w:val="34"/>
          <w:szCs w:val="34"/>
        </w:rPr>
        <w:t xml:space="preserve">4.8 Friendly Loans — Promises Between People</w:t>
      </w:r>
    </w:p>
    <w:p>
      <w:pPr>
        <w:spacing w:before="100" w:after="100"/>
        <w:jc w:val="both"/>
      </w:pPr>
      <w:r>
        <w:rPr>
          <w:rFonts w:ascii="Arial" w:cs="Arial" w:eastAsia="Arial" w:hAnsi="Arial"/>
          <w:sz w:val="22"/>
          <w:szCs w:val="22"/>
        </w:rPr>
        <w:t xml:space="preserve">A friendly loan is a promise between two people: I will send you KX now, and you will return its USD equivalent within 30 days. ChronX enforces both sides automatically.</w:t>
      </w:r>
    </w:p>
    <w:p>
      <w:pPr>
        <w:spacing w:before="80" w:after="80"/>
      </w:pPr>
      <w:r>
        <w:t xml:space="preserve"/>
      </w:r>
    </w:p>
    <w:p>
      <w:pPr>
        <w:spacing w:before="100" w:after="100"/>
        <w:jc w:val="both"/>
      </w:pPr>
      <w:r>
        <w:rPr>
          <w:rFonts w:ascii="Arial" w:cs="Arial" w:eastAsia="Arial" w:hAnsi="Arial"/>
          <w:sz w:val="22"/>
          <w:szCs w:val="22"/>
        </w:rPr>
        <w:t xml:space="preserve">The cost is a hedge fee — currently 1% for 30 days by governance — paid to HedgeKX for providing the currency certainty that backs the promise. Governance sets both the fee rate and the maximum duration. These parameters will expand as the HedgeKX market matures. This is not interest — it is the cost of guaranteeing that the lender receives USD equivalent value regardless of what KX does during the loan period. There is no compounding, no late fee structure beyond what the lender specifies, and no hidden charges.</w:t>
      </w:r>
    </w:p>
    <w:p>
      <w:pPr>
        <w:spacing w:before="80" w:after="80"/>
      </w:pPr>
      <w:r>
        <w:t xml:space="preserve"/>
      </w:r>
    </w:p>
    <w:p>
      <w:pPr>
        <w:spacing w:before="100" w:after="100"/>
        <w:jc w:val="both"/>
      </w:pPr>
      <w:r>
        <w:rPr>
          <w:rFonts w:ascii="Arial" w:cs="Arial" w:eastAsia="Arial" w:hAnsi="Arial"/>
          <w:b/>
          <w:bCs/>
          <w:sz w:val="22"/>
          <w:szCs w:val="22"/>
        </w:rPr>
        <w:t xml:space="preserve">How it works:</w:t>
      </w:r>
    </w:p>
    <w:p>
      <w:pPr>
        <w:spacing w:before="100" w:after="100"/>
        <w:jc w:val="both"/>
      </w:pPr>
      <w:r>
        <w:rPr>
          <w:rFonts w:ascii="Arial" w:cs="Arial" w:eastAsia="Arial" w:hAnsi="Arial"/>
          <w:sz w:val="22"/>
          <w:szCs w:val="22"/>
        </w:rPr>
        <w:t xml:space="preserve">The sender requests a 10-second locked quote from HedgeKX. HedgeKX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pPr>
        <w:spacing w:before="80" w:after="80"/>
      </w:pPr>
      <w:r>
        <w:t xml:space="preserve"/>
      </w:r>
    </w:p>
    <w:p>
      <w:pPr>
        <w:spacing w:before="100" w:after="100"/>
        <w:jc w:val="both"/>
      </w:pPr>
      <w:r>
        <w:rPr>
          <w:rFonts w:ascii="Arial" w:cs="Arial" w:eastAsia="Arial" w:hAnsi="Arial"/>
          <w:b/>
          <w:bCs/>
          <w:sz w:val="22"/>
          <w:szCs w:val="22"/>
        </w:rPr>
        <w:t xml:space="preserve">Availability:</w:t>
      </w:r>
    </w:p>
    <w:p>
      <w:pPr>
        <w:spacing w:before="100" w:after="100"/>
        <w:jc w:val="both"/>
      </w:pPr>
      <w:r>
        <w:rPr>
          <w:rFonts w:ascii="Arial" w:cs="Arial" w:eastAsia="Arial" w:hAnsi="Arial"/>
          <w:sz w:val="22"/>
          <w:szCs w:val="22"/>
        </w:rPr>
        <w:t xml:space="preserve">Friendly loans require a live HedgeKX hedge. Governance prioritises friendly loan requests when HedgeKX capacity is limited — if a friendly loan request and another hedge request arrive simultaneously, the friendly loan is served first. The effective maximum per transaction is governed by available HedgeKX capacity; as the ecosystem deepens post-ICO, this cap rises automatically. Current governance cap: $250 per transaction.</w:t>
      </w:r>
    </w:p>
    <w:p>
      <w:pPr>
        <w:spacing w:before="80" w:after="80"/>
      </w:pPr>
      <w:r>
        <w:t xml:space="preserve"/>
      </w:r>
    </w:p>
    <w:p>
      <w:pPr>
        <w:spacing w:before="100" w:after="100"/>
        <w:jc w:val="both"/>
      </w:pPr>
      <w:r>
        <w:rPr>
          <w:rFonts w:ascii="Arial" w:cs="Arial" w:eastAsia="Arial" w:hAnsi="Arial"/>
          <w:b/>
          <w:bCs/>
          <w:sz w:val="22"/>
          <w:szCs w:val="22"/>
        </w:rPr>
        <w:t xml:space="preserve">If HedgeKX is paused:</w:t>
      </w:r>
    </w:p>
    <w:p>
      <w:pPr>
        <w:spacing w:before="100" w:after="100"/>
        <w:jc w:val="both"/>
      </w:pPr>
      <w:r>
        <w:rPr>
          <w:rFonts w:ascii="Arial" w:cs="Arial" w:eastAsia="Arial" w:hAnsi="Arial"/>
          <w:sz w:val="22"/>
          <w:szCs w:val="22"/>
        </w:rPr>
        <w:t xml:space="preserve">Friendly loans are unavailable. This is correct design: a loan that cannot be hedged for currency risk cannot be made. Existing loans continue to maturity normally.</w:t>
      </w:r>
    </w:p>
    <w:p>
      <w:pPr>
        <w:spacing w:before="80" w:after="80"/>
      </w:pPr>
      <w:r>
        <w:t xml:space="preserve"/>
      </w:r>
    </w:p>
    <w:p>
      <w:pPr>
        <w:spacing w:before="100" w:after="100"/>
        <w:jc w:val="both"/>
      </w:pPr>
      <w:r>
        <w:rPr>
          <w:rFonts w:ascii="Arial" w:cs="Arial" w:eastAsia="Arial" w:hAnsi="Arial"/>
          <w:sz w:val="22"/>
          <w:szCs w:val="22"/>
        </w:rPr>
        <w:t xml:space="preserve">Full technical specification: Appendix B (Bilateral Promises).</w:t>
      </w:r>
    </w:p>
    <w:p>
      <w:r>
        <w:br w:type="page"/>
      </w:r>
    </w:p>
    <w:p>
      <w:pPr>
        <w:pStyle w:val="Heading1"/>
        <w:spacing w:before="480" w:after="240"/>
      </w:pPr>
      <w:r>
        <w:rPr>
          <w:rFonts w:ascii="Arial" w:cs="Arial" w:eastAsia="Arial" w:hAnsi="Arial"/>
          <w:b/>
          <w:bCs/>
          <w:color w:val="1F4E79"/>
          <w:sz w:val="34"/>
          <w:szCs w:val="34"/>
        </w:rPr>
        <w:t xml:space="preserve">4.9 EPP Bond Structure and Market Protection</w:t>
      </w:r>
    </w:p>
    <w:p>
      <w:pPr>
        <w:spacing w:before="100" w:after="100"/>
      </w:pPr>
    </w:p>
    <w:p>
      <w:pPr>
        <w:spacing w:before="100" w:after="100"/>
        <w:jc w:val="both"/>
      </w:pPr>
      <w:r>
        <w:rPr>
          <w:rFonts w:ascii="Arial" w:cs="Arial" w:eastAsia="Arial" w:hAnsi="Arial"/>
          <w:sz w:val="22"/>
          <w:szCs w:val="22"/>
        </w:rPr>
        <w:t xml:space="preserve">A natural question arises: if an EPP holds a large KX allocation, could it sell that allocation and flood the market?</w:t>
      </w:r>
    </w:p>
    <w:p>
      <w:pPr>
        <w:spacing w:before="100" w:after="100"/>
      </w:pPr>
    </w:p>
    <w:p>
      <w:pPr>
        <w:spacing w:before="100" w:after="100"/>
        <w:jc w:val="both"/>
      </w:pPr>
      <w:r>
        <w:rPr>
          <w:rFonts w:ascii="Arial" w:cs="Arial" w:eastAsia="Arial" w:hAnsi="Arial"/>
          <w:sz w:val="22"/>
          <w:szCs w:val="22"/>
        </w:rPr>
        <w:t xml:space="preserve">The answer involves four independent layers of protection.</w:t>
      </w:r>
    </w:p>
    <w:p>
      <w:pPr>
        <w:spacing w:before="100" w:after="100"/>
      </w:pPr>
    </w:p>
    <w:p>
      <w:pPr>
        <w:spacing w:before="100" w:after="100"/>
        <w:jc w:val="both"/>
      </w:pPr>
      <w:r>
        <w:rPr>
          <w:rFonts w:ascii="Arial" w:cs="Arial" w:eastAsia="Arial" w:hAnsi="Arial"/>
          <w:sz w:val="22"/>
          <w:szCs w:val="22"/>
        </w:rPr>
        <w:t xml:space="preserve">Layer 1 — The bond is locked for 100 years. Every EPP bond is lent to the ChronX Foundation as a 100-year, 0% interest loan using the protocol’s own TYPE B lock instrument. The KX is in the Foundation’s custody for 100 years. The EPP holds the loan record — not spendable KX. There is nothing to sell. The lock is on the DAG. It is immovable until maturity. This is enforced by the DAG’s consensus rules, not by any institutional promise.</w:t>
      </w:r>
    </w:p>
    <w:p>
      <w:pPr>
        <w:spacing w:before="100" w:after="100"/>
      </w:pPr>
    </w:p>
    <w:p>
      <w:pPr>
        <w:spacing w:before="100" w:after="100"/>
        <w:jc w:val="both"/>
      </w:pPr>
      <w:r>
        <w:rPr>
          <w:rFonts w:ascii="Arial" w:cs="Arial" w:eastAsia="Arial" w:hAnsi="Arial"/>
          <w:sz w:val="22"/>
          <w:szCs w:val="22"/>
        </w:rPr>
        <w:t xml:space="preserve">Layer 2 — Working capital vests gradually. EPP working capital is not transferred as a lump sum. It vests in annual tranches locked on the ChronX DAG — 5 annual tranches for HedgeKX (2027—2031) and 10 annual tranches for KXGC (2027—2036). An EPP cannot liquidate future tranches because those tranches do not yet exist as spendable KX. At any given moment, only the current released tranche is operationally available — representing a small fraction of total working capital allocation.</w:t>
      </w:r>
    </w:p>
    <w:p>
      <w:pPr>
        <w:spacing w:before="100" w:after="100"/>
      </w:pPr>
    </w:p>
    <w:p>
      <w:pPr>
        <w:spacing w:before="100" w:after="100"/>
        <w:jc w:val="both"/>
      </w:pPr>
      <w:r>
        <w:rPr>
          <w:rFonts w:ascii="Arial" w:cs="Arial" w:eastAsia="Arial" w:hAnsi="Arial"/>
          <w:sz w:val="22"/>
          <w:szCs w:val="22"/>
        </w:rPr>
        <w:t xml:space="preserve">Layer 3 — Bond slashing requires public notice and a 30-day countdown. If an EPP misuses its released working capital, the Foundation publishes a Notice of Intent to Slash via a DrawRequest action on the DAG — publicly visible to everyone immediately. This begins a protocol-enforced 30-day countdown during which the EPP can resolve the issue. If resolved, the DrawRequest is aborted. If not, the slash executes automatically. The Foundation cannot accelerate the 30-day window. The Board cannot override it. The 30-day window provides public notice and market transparency before any slash executes.</w:t>
      </w:r>
    </w:p>
    <w:p>
      <w:pPr>
        <w:spacing w:before="100" w:after="100"/>
      </w:pPr>
    </w:p>
    <w:p>
      <w:pPr>
        <w:spacing w:before="100" w:after="100"/>
        <w:jc w:val="both"/>
      </w:pPr>
      <w:r>
        <w:rPr>
          <w:rFonts w:ascii="Arial" w:cs="Arial" w:eastAsia="Arial" w:hAnsi="Arial"/>
          <w:sz w:val="22"/>
          <w:szCs w:val="22"/>
        </w:rPr>
        <w:t xml:space="preserve">Layer 4 — Franchise loss is the ultimate deterrent. EPPs operate under a governance mandate to act reasonably for the protection of the ecosystem. Attempting to liquidate large quantities of working capital in a manner that would harm the ecosystem would constitute a clear breach of this mandate, triggering a DrawRequest against the EPP’s bond and ultimately revocation of their franchise. The EPP would lose their operating authority, their bond, and their role — assigned to a qualified successor. This makes such behavior economically irrational for any EPP with a long-term view.</w:t>
      </w:r>
    </w:p>
    <w:p>
      <w:pPr>
        <w:spacing w:before="100" w:after="100"/>
      </w:pPr>
    </w:p>
    <w:p>
      <w:pPr>
        <w:spacing w:before="100" w:after="100"/>
        <w:jc w:val="both"/>
      </w:pPr>
      <w:r>
        <w:rPr>
          <w:rFonts w:ascii="Arial" w:cs="Arial" w:eastAsia="Arial" w:hAnsi="Arial"/>
          <w:sz w:val="22"/>
          <w:szCs w:val="22"/>
        </w:rPr>
        <w:t xml:space="preserve">The residual risk is acknowledged honestly: an EPP determined to exit could liquidate released working capital tranches and absorb the bond slash as the cost of doing so. This is the natural consequence of having genuinely independent EPPs rather than Foundation-controlled subsidiaries. Independent expertise and genuine accountability require genuine independence. At any given moment the maximum exposure is one year’s released tranche — a small fraction of total allocation — before the 30-day DrawRequest process runs to completion.</w:t>
      </w:r>
    </w:p>
    <w:p>
      <w:pPr>
        <w:spacing w:before="100" w:after="100"/>
      </w:pPr>
    </w:p>
    <w:p>
      <w:pPr>
        <w:spacing w:before="100" w:after="100"/>
        <w:jc w:val="both"/>
      </w:pPr>
      <w:r>
        <w:rPr>
          <w:rFonts w:ascii="Arial" w:cs="Arial" w:eastAsia="Arial" w:hAnsi="Arial"/>
          <w:sz w:val="22"/>
          <w:szCs w:val="22"/>
        </w:rPr>
        <w:t xml:space="preserve">The four layers together: Bond (TYPE B, 100-year lock): Cannot be sold. Cannot be moved. Mathematics enforces this. Working capital (cascade locks, 5—10 years): Most does not yet exist as spendable KX. Future tranches are immovable on the DAG. DrawRequest (30-day public countdown): Any misuse triggers immediate public notice. Market observes before slash executes. Franchise loss (governance mandate): Economic deterrent. Misuse costs more than it gains for any long-horizon operator.</w:t>
      </w:r>
    </w:p>
    <w:p>
      <w:pPr>
        <w:spacing w:before="100" w:after="100"/>
      </w:pPr>
    </w:p>
    <w:p>
      <w:pPr>
        <w:pStyle w:val="Heading1"/>
        <w:spacing w:before="480" w:after="240"/>
      </w:pPr>
      <w:r>
        <w:rPr>
          <w:rFonts w:ascii="Arial" w:cs="Arial" w:eastAsia="Arial" w:hAnsi="Arial"/>
          <w:b/>
          <w:bCs/>
          <w:color w:val="1F4E79"/>
          <w:sz w:val="34"/>
          <w:szCs w:val="34"/>
        </w:rPr>
        <w:t xml:space="preserve">4.10 Regulatory Framework and KYC</w:t>
      </w:r>
    </w:p>
    <w:p>
      <w:pPr>
        <w:spacing w:before="100" w:after="100"/>
      </w:pPr>
    </w:p>
    <w:p>
      <w:pPr>
        <w:spacing w:before="100" w:after="100"/>
        <w:jc w:val="both"/>
      </w:pPr>
      <w:r>
        <w:rPr>
          <w:rFonts w:ascii="Arial" w:cs="Arial" w:eastAsia="Arial" w:hAnsi="Arial"/>
          <w:sz w:val="22"/>
          <w:szCs w:val="22"/>
        </w:rPr>
        <w:t xml:space="preserve">The ChronX Protocol is designed to accommodate patient, full regulatory compliance in each jurisdiction where its Essential Protocol Partners operate. Each EPP is being established as a United States entity — initially in New York or Delaware — with regulatory filings in progress. International domiciles will be added as the ecosystem develops and specific jurisdictional requirements emerge.</w:t>
      </w:r>
    </w:p>
    <w:p>
      <w:pPr>
        <w:spacing w:before="100" w:after="100"/>
      </w:pPr>
    </w:p>
    <w:p>
      <w:pPr>
        <w:spacing w:before="100" w:after="100"/>
        <w:jc w:val="both"/>
      </w:pPr>
      <w:r>
        <w:rPr>
          <w:rFonts w:ascii="Arial" w:cs="Arial" w:eastAsia="Arial" w:hAnsi="Arial"/>
          <w:sz w:val="22"/>
          <w:szCs w:val="22"/>
        </w:rPr>
        <w:t xml:space="preserve">Planned US regulatory filings per EPP:</w:t>
      </w:r>
    </w:p>
    <w:p>
      <w:pPr>
        <w:spacing w:before="100" w:after="100"/>
      </w:pPr>
    </w:p>
    <w:p>
      <w:pPr>
        <w:spacing w:before="100" w:after="100"/>
        <w:jc w:val="both"/>
      </w:pPr>
      <w:r>
        <w:rPr>
          <w:rFonts w:ascii="Arial" w:cs="Arial" w:eastAsia="Arial" w:hAnsi="Arial"/>
          <w:sz w:val="22"/>
          <w:szCs w:val="22"/>
        </w:rPr>
        <w:t xml:space="preserve">HedgeKX (New York): forward currency exchange. NFA membership and CFTC registration.</w:t>
      </w:r>
    </w:p>
    <w:p>
      <w:pPr>
        <w:spacing w:before="100" w:after="100"/>
      </w:pPr>
    </w:p>
    <w:p>
      <w:pPr>
        <w:spacing w:before="100" w:after="100"/>
        <w:jc w:val="both"/>
      </w:pPr>
      <w:r>
        <w:rPr>
          <w:rFonts w:ascii="Arial" w:cs="Arial" w:eastAsia="Arial" w:hAnsi="Arial"/>
          <w:sz w:val="22"/>
          <w:szCs w:val="22"/>
        </w:rPr>
        <w:t xml:space="preserve">KXGC (New York / Delaware): insurance holding company. NYDFS or risk retention group structure.</w:t>
      </w:r>
    </w:p>
    <w:p>
      <w:pPr>
        <w:spacing w:before="100" w:after="100"/>
      </w:pPr>
    </w:p>
    <w:p>
      <w:pPr>
        <w:spacing w:before="100" w:after="100"/>
        <w:jc w:val="both"/>
      </w:pPr>
      <w:r>
        <w:rPr>
          <w:rFonts w:ascii="Arial" w:cs="Arial" w:eastAsia="Arial" w:hAnsi="Arial"/>
          <w:sz w:val="22"/>
          <w:szCs w:val="22"/>
        </w:rPr>
        <w:t xml:space="preserve">XChan (New York): digital asset exchange. NYDFS BitLicense.</w:t>
      </w:r>
    </w:p>
    <w:p>
      <w:pPr>
        <w:spacing w:before="100" w:after="100"/>
      </w:pPr>
    </w:p>
    <w:p>
      <w:pPr>
        <w:spacing w:before="100" w:after="100"/>
        <w:jc w:val="both"/>
      </w:pPr>
      <w:r>
        <w:rPr>
          <w:rFonts w:ascii="Arial" w:cs="Arial" w:eastAsia="Arial" w:hAnsi="Arial"/>
          <w:sz w:val="22"/>
          <w:szCs w:val="22"/>
        </w:rPr>
        <w:t xml:space="preserve">MISAI (Delaware): AI-managed investment mandates. SEC registered investment adviser or exempt reporting adviser.</w:t>
      </w:r>
    </w:p>
    <w:p>
      <w:pPr>
        <w:spacing w:before="100" w:after="100"/>
      </w:pPr>
    </w:p>
    <w:p>
      <w:pPr>
        <w:spacing w:before="100" w:after="100"/>
        <w:jc w:val="both"/>
      </w:pPr>
      <w:r>
        <w:rPr>
          <w:rFonts w:ascii="Arial" w:cs="Arial" w:eastAsia="Arial" w:hAnsi="Arial"/>
          <w:sz w:val="22"/>
          <w:szCs w:val="22"/>
        </w:rPr>
        <w:t xml:space="preserve">Verifas (New York): identity attestation and human verification. General business entity; specific licensing assessed per activity scope.</w:t>
      </w:r>
    </w:p>
    <w:p>
      <w:pPr>
        <w:spacing w:before="100" w:after="100"/>
      </w:pPr>
    </w:p>
    <w:p>
      <w:pPr>
        <w:spacing w:before="100" w:after="100"/>
        <w:jc w:val="both"/>
      </w:pPr>
      <w:r>
        <w:rPr>
          <w:rFonts w:ascii="Arial" w:cs="Arial" w:eastAsia="Arial" w:hAnsi="Arial"/>
          <w:sz w:val="22"/>
          <w:szCs w:val="22"/>
        </w:rPr>
        <w:t xml:space="preserve">CPNX (Delaware): identity verification and KYC attestation. FCRA compliance and applicable state licensing.</w:t>
      </w:r>
    </w:p>
    <w:p>
      <w:pPr>
        <w:spacing w:before="100" w:after="100"/>
      </w:pPr>
    </w:p>
    <w:p>
      <w:pPr>
        <w:spacing w:before="100" w:after="100"/>
        <w:jc w:val="both"/>
      </w:pPr>
      <w:r>
        <w:rPr>
          <w:rFonts w:ascii="Arial" w:cs="Arial" w:eastAsia="Arial" w:hAnsi="Arial"/>
          <w:sz w:val="22"/>
          <w:szCs w:val="22"/>
        </w:rPr>
        <w:t xml:space="preserve">The protocol’s initial governance caps on transaction size, instrument duration, and exposure limits are designed to operate within the parameters of unlicensed activity while filings are pursued. KYC attestation for higher-value instruments is provided by CPNX using zero-knowledge cryptographic proofs — verifying eligibility without publishing identity data to the public DAG. Underlying identity records are maintained by CPNX and available to lawful regulatory authority.</w:t>
      </w:r>
    </w:p>
    <w:p>
      <w:pPr>
        <w:spacing w:before="100" w:after="100"/>
      </w:pPr>
    </w:p>
    <w:p>
      <w:pPr>
        <w:spacing w:before="100" w:after="100"/>
        <w:jc w:val="both"/>
      </w:pPr>
      <w:r>
        <w:rPr>
          <w:rFonts w:ascii="Arial" w:cs="Arial" w:eastAsia="Arial" w:hAnsi="Arial"/>
          <w:sz w:val="22"/>
          <w:szCs w:val="22"/>
        </w:rPr>
        <w:t xml:space="preserve">ChronX is not designed to evade regulation. It is designed to earn it.</w:t>
      </w:r>
    </w:p>
    <w:p>
      <w:pPr>
        <w:spacing w:before="100" w:after="100"/>
      </w:pPr>
    </w:p>
    <w:p>
      <w:pPr>
        <w:pStyle w:val="Heading1"/>
        <w:spacing w:before="480" w:after="240"/>
      </w:pPr>
      <w:r>
        <w:rPr>
          <w:rFonts w:ascii="Arial" w:cs="Arial" w:eastAsia="Arial" w:hAnsi="Arial"/>
          <w:b/>
          <w:bCs/>
          <w:color w:val="1F4E79"/>
          <w:sz w:val="34"/>
          <w:szCs w:val="34"/>
        </w:rPr>
        <w:t xml:space="preserve">5. Every Promise is Tradeable</w:t>
      </w:r>
    </w:p>
    <w:p>
      <w:pPr>
        <w:spacing w:before="100" w:after="10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Secondary market infrastructure is fully built. Activation requires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Tranching</w:t>
      </w:r>
    </w:p>
    <w:p>
      <w:pPr>
        <w:spacing w:before="100" w:after="10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Yield and Principal Strips</w:t>
      </w:r>
    </w:p>
    <w:p>
      <w:pPr>
        <w:spacing w:before="100" w:after="10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Atomic Settlement: T+0</w:t>
      </w:r>
    </w:p>
    <w:p>
      <w:pPr>
        <w:spacing w:before="100" w:after="10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r>
        <w:br w:type="page"/>
      </w:r>
    </w:p>
    <w:p>
      <w:pPr>
        <w:pStyle w:val="Heading1"/>
        <w:spacing w:before="480" w:after="240"/>
      </w:pPr>
      <w:r>
        <w:rPr>
          <w:rFonts w:ascii="Arial" w:cs="Arial" w:eastAsia="Arial" w:hAnsi="Arial"/>
          <w:b/>
          <w:bCs/>
          <w:color w:val="1F4E79"/>
          <w:sz w:val="34"/>
          <w:szCs w:val="34"/>
        </w:rPr>
        <w:t xml:space="preserve">6. The Axioms and Governance</w:t>
      </w:r>
    </w:p>
    <w:p>
      <w:pPr>
        <w:spacing w:before="100" w:after="10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Promise Axioms</w:t>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Credit Axioms</w:t>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Trigger Axiom</w:t>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AI Agent Axioms</w:t>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Closing Statement</w:t>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Genesis Zero: final_genesis true</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7. Tokenomics</w:t>
      </w:r>
    </w:p>
    <w:p>
      <w:pPr>
        <w:spacing w:before="100" w:after="100"/>
        <w:jc w:val="both"/>
      </w:pPr>
      <w:r>
        <w:rPr>
          <w:rFonts w:ascii="Arial" w:cs="Arial" w:eastAsia="Arial" w:hAnsi="Arial"/>
          <w:sz w:val="22"/>
          <w:szCs w:val="22"/>
        </w:rPr>
        <w:t xml:space="preserve">Total supply: 8,270,000,000 KX. Fixed forever. No inflation. No minting. No burning.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800"/>
        <w:gridCol w:w="4360"/>
      </w:tblGrid>
      <w:t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5,308,965,801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64.19%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Treasury</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3.63%</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from Public Sale: 2027: 5M KX, 2028: 7.5M KX, 2029: 10M KX, 2030: 12.5M KX, 2031: 15M KX. Wallet: 5zjp4YM7RkBWk8hHN5kdv3xYhjsnXmYUJuL2vgqxHBE1</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from Public Sale: 2027: 5M, 2028: 5M, 2029: 10M, 2030: 15M, 2031: 20M, 2032: 20M, 2033: 25M, 2034: 25M, 2035: 35M, 2036: 40M KX. Wallet: G2aH9NfRFo5gdLTMjNqCRv4PkcKKEHLD99Y8vhQwSgeV</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9a</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2027—2031. Vests as market develops.</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9b</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2027—2036. Vests as insurance market develops.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Faucet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0.036%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bridge liquidity.</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cpnx.com.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 exactly.</w:t>
      </w:r>
    </w:p>
    <w:p>
      <w:pPr>
        <w:spacing w:before="100" w:after="100"/>
      </w:pPr>
    </w:p>
    <w:p>
      <w:pPr>
        <w:spacing w:before="100" w:after="100"/>
        <w:jc w:val="both"/>
      </w:pPr>
      <w:r>
        <w:rPr>
          <w:rFonts w:ascii="Arial" w:cs="Arial" w:eastAsia="Arial" w:hAnsi="Arial"/>
          <w:sz w:val="22"/>
          <w:szCs w:val="22"/>
        </w:rPr>
        <w:t xml:space="preserve">DAG verification: all 15 cascade locks are permanently recorded on the ChronX DAG and queryable via chronx_getLockById:</w:t>
      </w:r>
    </w:p>
    <w:p>
      <w:pPr>
        <w:spacing w:before="100" w:after="100"/>
      </w:pPr>
    </w:p>
    <w:p>
      <w:pPr>
        <w:spacing w:before="100" w:after="100"/>
        <w:jc w:val="both"/>
      </w:pPr>
      <w:r>
        <w:rPr>
          <w:rFonts w:ascii="Arial" w:cs="Arial" w:eastAsia="Arial" w:hAnsi="Arial"/>
          <w:sz w:val="22"/>
          <w:szCs w:val="22"/>
        </w:rPr>
        <w:t xml:space="preserve">HedgeKX cascade lock IDs: Tranche 1 (5M, 2027): a68871e0f30b0eb2434c719108076793a53a7a525b3e5a5355b0d6273e037b5c. Tranche 2 (7.5M, 2028): d36fc1522094d30f0776b0a972e7efe889f8e6a7d8a54763276e511a64489104. Tranche 3 (10M, 2029): 5c328240ba0d347fda590fe007126f684303a222a6500acc2e77688990aa1f36. Tranche 4 (12.5M, 2030): 5a92eafed4df12deb3c77de31789db8140f6dd9312d1bf675243836a42b982a2. Tranche 5 (15M, 2031): f58d60478d14e90247968e3fa39eaafa8314f98659cf76873c51331ffb23d8e5.</w:t>
      </w:r>
    </w:p>
    <w:p>
      <w:pPr>
        <w:spacing w:before="100" w:after="100"/>
      </w:pPr>
    </w:p>
    <w:p>
      <w:pPr>
        <w:spacing w:before="100" w:after="100"/>
        <w:jc w:val="both"/>
      </w:pPr>
      <w:r>
        <w:rPr>
          <w:rFonts w:ascii="Arial" w:cs="Arial" w:eastAsia="Arial" w:hAnsi="Arial"/>
          <w:sz w:val="22"/>
          <w:szCs w:val="22"/>
        </w:rPr>
        <w:t xml:space="preserve">KXGC cascade lock IDs: Tranche 1 (5M, 2027): 952261a405b279ba3777eb74b3aabea828c03303cd0fbe13a9bd7bda36ffaf54. Tranche 2 (5M, 2028): c49bd4c264b9fc5712b7ded50bab1090a6c4eb1a3734f38ed7c4a71fa7bd4c6e. Tranche 3 (10M, 2029): 3ac452a0e49c5b187542110b2bf14ba6d760eecad2a9aa9369f8ebb8e96bc9c5. Tranche 4 (15M, 2030): 7e7bae4a585e9e6736e9bf16ab1821e01a8664067a5ca87deb4a87ecdc2e0ce2. Tranche 5 (20M, 2031): 3994c0ba2e06bb3593af884faff33f34865c76ae76961b753c24b093ed7fbce8. Tranche 6 (20M, 2032): bb46486160523accc581d5394faff6cba375182fabeeda079df6dc919633a96a. Tranche 7 (25M, 2033): 863801ef04462c02167df0154c1a7c972a6e0c83b09cab311acd89b71f554ae6. Tranche 8 (25M, 2034): 3d43aaec152d8f093065f07ad26572d587fa22f7945d8e1dbc05fc52b70bb0eb. Tranche 9 (35M, 2035): 5791c98c3562c304bab2f6c85571b173abcdb74e09ae7e7964b70a65b5bf714c. Tranche 10 (40M, 2036): e62075f794511caa364b7200e05235dcae928ee1bceab809b918dde347e36ba8.</w:t>
      </w:r>
    </w:p>
    <w:p>
      <w:pPr>
        <w:spacing w:before="100" w:after="100"/>
      </w:pPr>
    </w:p>
    <w:p>
      <w:pPr>
        <w:spacing w:before="100" w:after="100"/>
        <w:jc w:val="both"/>
      </w:pPr>
      <w:r>
        <w:rPr>
          <w:rFonts w:ascii="Arial" w:cs="Arial" w:eastAsia="Arial" w:hAnsi="Arial"/>
          <w:sz w:val="22"/>
          <w:szCs w:val="22"/>
        </w:rPr>
        <w:t xml:space="preserve">At all times: total KX on ChronX DAG + total wKX on Base + total h1KX on Base = 8,270,000,000 KX exactly.</w:t>
      </w:r>
    </w:p>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w:t>
      </w:r>
    </w:p>
    <w:p>
      <w:pPr>
        <w:spacing w:before="100" w:after="100"/>
      </w:pPr>
    </w:p>
    <w:p>
      <w:pPr>
        <w:spacing w:before="100" w:after="100"/>
        <w:jc w:val="both"/>
      </w:pPr>
      <w:r>
        <w:rPr>
          <w:rFonts w:ascii="Arial" w:cs="Arial" w:eastAsia="Arial" w:hAnsi="Arial"/>
          <w:sz w:val="22"/>
          <w:szCs w:val="22"/>
        </w:rPr>
        <w:t xml:space="preserve">DAG Lock References: HedgeKX cascade lock IDs: a68871e0f30b0eb2434c719108076793a53a7a525b3e5a5355b0d6273e037b5c, d36fc1522094d30f0776b0a972e7efe889f8e6a7d8a54763276e511a64489104, 5c328240ba0d347fda590fe007126f684303a222a6500acc2e77688990aa1f36, 5a92eafed4df12deb3c77de31789db8140f6dd9312d1bf675243836a42b982a2, f58d60478d14e90247968e3fa39eaafa8314f98659cf76873c51331ffb23d8e5. KXGC cascade lock IDs: 952261a405b279ba3777eb74b3aabea828c03303cd0fbe13a9bd7bda36ffaf54, c49bd4c264b9fc5712b7ded50bab1090a6c4eb1a3734f38ed7c4a71fa7bd4c6e, 3ac452a0e49c5b187542110b2bf14ba6d760eecad2a9aa9369f8ebb8e96bc9c5, 7e7bae4a585e9e6736e9bf16ab1821e01a8664067a5ca87deb4a87ecdc2e0ce2, 3994c0ba2e06bb3593af884faff33f34865c76ae76961b753c24b093ed7fbce8, bb46486160523accc581d5394faff6cba375182fabeeda079df6dc919633a96a, 863801ef04462c02167df0154c1a7c972a6e0c83b09cab311acd89b71f554ae6, 3d43aaec152d8f093065f07ad26572d587fa22f7945d8e1dbc05fc52b70bb0eb, 5791c98c3562c304bab2f6c85571b173abcdb74e09ae7e7964b70a65b5bf714c, e62075f794511caa364b7200e05235dcae928ee1bceab809b918dde347e36ba8. All locks queryable via chronx_getLockById RPC method.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Treasury and Node Rewards: Harmonic Release</w:t>
      </w:r>
    </w:p>
    <w:p>
      <w:pPr>
        <w:spacing w:before="100" w:after="10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Pre-ICO and ICO</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800"/>
        <w:gridCol w:w="1400"/>
        <w:gridCol w:w="28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Phase</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Price/KX</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Who</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Limit</w:t>
            </w:r>
          </w:p>
        </w:tc>
        <w:tc>
          <w:tcPr>
            <w:tcW w:type="dxa" w:w="2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Period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(Genesis Zero — Sep 21,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Anyone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$250/tx</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 No lock. No KYC. XChan market price. Governance cap applies.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Private Placement (Pre-ICO)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$0.001755—$0.002297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Accredited only</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Min $10,000</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Bilateral agreements. 12—24 month mandatory lock. Lock duration determines price. Contact: ico@chronx.io</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 September 22,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All investors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Non-accredited: $250/tx. Accredited: higher with CPNX KYC badge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One price for everyone. Private placement locks visible on DAG.</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 baseline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Ongoing XChan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Unsold public sale tokens locked in annual cascade tranches — published schedule, no surprise releases.</w:t>
            </w:r>
          </w:p>
        </w:tc>
      </w:tr>
    </w:tbl>
    <w:p>
      <w:pPr>
        <w:spacing w:before="100" w:after="100"/>
      </w:pPr>
    </w:p>
    <w:p>
      <w:pPr>
        <w:pStyle w:val="Heading2"/>
        <w:spacing w:before="320" w:after="160"/>
      </w:pPr>
      <w:r>
        <w:rPr>
          <w:rFonts w:ascii="Arial" w:cs="Arial" w:eastAsia="Arial" w:hAnsi="Arial"/>
          <w:b/>
          <w:bCs/>
          <w:color w:val="1F4E79"/>
          <w:sz w:val="28"/>
          <w:szCs w:val="28"/>
        </w:rPr>
        <w:t xml:space="preserve">Yield and Lock Duration</w:t>
      </w:r>
    </w:p>
    <w:p>
      <w:pPr>
        <w:spacing w:before="100" w:after="100"/>
      </w:pPr>
    </w:p>
    <w:p>
      <w:pPr>
        <w:spacing w:before="100" w:after="100"/>
        <w:jc w:val="both"/>
      </w:pPr>
      <w:r>
        <w:rPr>
          <w:rFonts w:ascii="Arial" w:cs="Arial" w:eastAsia="Arial" w:hAnsi="Arial"/>
          <w:sz w:val="22"/>
          <w:szCs w:val="22"/>
        </w:rPr>
        <w:t xml:space="preserve">KX purchased at ICO may be locked for any duration to earn yield from HedgeKX’s matching activity. Longer locks receive a proportionally larger share of the yield pool. There is no entry price discount for locking — one price for everyone, always. Yield is the reward for patience. It is real, earned, and grows as HedgeKX develops.</w:t>
      </w:r>
    </w:p>
    <w:p>
      <w:pPr>
        <w:spacing w:before="100" w:after="100"/>
      </w:pPr>
    </w:p>
    <w:p>
      <w:pPr>
        <w:spacing w:before="100" w:after="100"/>
        <w:jc w:val="both"/>
      </w:pPr>
      <w:r>
        <w:rPr>
          <w:rFonts w:ascii="Arial" w:cs="Arial" w:eastAsia="Arial" w:hAnsi="Arial"/>
          <w:sz w:val="22"/>
          <w:szCs w:val="22"/>
        </w:rPr>
        <w:t xml:space="preserve">At launch, yield will be minimal — HedgeKX operates overnight instruments only. Yield grows as governance expands instrument durations and matching volume increases. Investors with a multi-year horizon will see yield develop alongside the protocol. This is the opposite of a typical crypto launch: we start at near-zero yield and earn our way to real yield. Every basis point is funded by real economic activity — nothing is paid from reserves.</w:t>
      </w:r>
    </w:p>
    <w:p>
      <w:pPr>
        <w:spacing w:before="100" w:after="100"/>
      </w:pPr>
    </w:p>
    <w:p>
      <w:pPr>
        <w:spacing w:before="80" w:after="80"/>
      </w:pPr>
      <w:r>
        <w:t xml:space="preserve"/>
      </w:r>
    </w:p>
    <w:p>
      <w:pPr>
        <w:spacing w:before="100" w:after="10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 Note on wKX, h1KX, and the Fixed Supply</w:t>
      </w:r>
    </w:p>
    <w:p>
      <w:pPr>
        <w:spacing w:before="100" w:after="100"/>
        <w:jc w:val="both"/>
      </w:pPr>
      <w:r>
        <w:rPr>
          <w:rFonts w:ascii="Arial" w:cs="Arial" w:eastAsia="Arial" w:hAnsi="Arial"/>
          <w:sz w:val="22"/>
          <w:szCs w:val="22"/>
        </w:rPr>
        <w:t xml:space="preserve">The protocol maintains two distinct KX-related tokens on the Base network. wKX (Wrapped KX) is the public XChan token — transferable, Uniswap-listed, backed by XChan conversion locks. h1KX is HedgeKX's internal settlement token — non-transferable, 24-hour passive expiry, used exclusively as an intraday cross-chain accounting bridge and never held by any external party.</w:t>
      </w:r>
    </w:p>
    <w:p>
      <w:pPr>
        <w:spacing w:before="80" w:after="80"/>
      </w:pPr>
      <w:r>
        <w:t xml:space="preserve"/>
      </w:r>
    </w:p>
    <w:p>
      <w:pPr>
        <w:spacing w:before="100" w:after="100"/>
        <w:jc w:val="both"/>
      </w:pPr>
      <w:r>
        <w:rPr>
          <w:rFonts w:ascii="Arial" w:cs="Arial" w:eastAsia="Arial" w:hAnsi="Arial"/>
          <w:sz w:val="22"/>
          <w:szCs w:val="22"/>
        </w:rPr>
        <w:t xml:space="preserve">At all times: total KX on ChronX DAG + total wKX on Base + total h1KX on Base = 8,270,000,000 KX. Neither token is new supply. Both represent locked KX and both resolve back to the fixed supply invariant. wKX burns when XChan conversion locks mature. h1KX expires passively within 24 hours. The 8.27 billion cap is never violated.</w:t>
      </w:r>
    </w:p>
    <w:p>
      <w:pPr>
        <w:spacing w:before="80" w:after="80"/>
      </w:pPr>
      <w:r>
        <w:t xml:space="preserve"/>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r>
        <w:br w:type="page"/>
      </w:r>
    </w:p>
    <w:p>
      <w:pPr>
        <w:pStyle w:val="Heading1"/>
        <w:spacing w:before="480" w:after="240"/>
      </w:pPr>
      <w:r>
        <w:rPr>
          <w:rFonts w:ascii="Arial" w:cs="Arial" w:eastAsia="Arial" w:hAnsi="Arial"/>
          <w:b/>
          <w:bCs/>
          <w:color w:val="1F4E79"/>
          <w:sz w:val="34"/>
          <w:szCs w:val="34"/>
        </w:rPr>
        <w:t xml:space="preserve">8.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70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Date</w:t>
            </w:r>
          </w:p>
        </w:tc>
        <w:tc>
          <w:tcPr>
            <w:tcW w:type="dxa" w:w="70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25,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Genesis Zero locked. Protocol complete. Chain immutable.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Pre-ICO live ($0.001755—$0.002297/KX). Governance caps active.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 Sep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Institutional outreach and private placement. Target: $500K—$2M committed with 12—24 month locks before ICO day. Whitepaper AI stress test completion. EPP registration processes initiated. YubiHSM live — HedgeKX yield activated.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September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opens. One price: $0.00319. Private placement locks visible on DAG. Target: $1M day-one across all channels. Unsold tokens locked in cascade schedule.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22, 2027</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First Treasury harmonic release. Believer tier unlock.</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January 1, 2029</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XChan Uniswap routing. MISAI live AI execution. KXGC Tier 1 Name admissions. Full EPP regulatory registrations.</w:t>
            </w:r>
          </w:p>
        </w:tc>
      </w:tr>
    </w:tbl>
    <w:p>
      <w:r>
        <w:br w:type="page"/>
      </w:r>
    </w:p>
    <w:p>
      <w:pPr>
        <w:pStyle w:val="Heading1"/>
        <w:spacing w:before="480" w:after="240"/>
      </w:pPr>
      <w:r>
        <w:rPr>
          <w:rFonts w:ascii="Arial" w:cs="Arial" w:eastAsia="Arial" w:hAnsi="Arial"/>
          <w:b/>
          <w:bCs/>
          <w:color w:val="1F4E79"/>
          <w:sz w:val="34"/>
          <w:szCs w:val="34"/>
        </w:rPr>
        <w:t xml:space="preserve">Appendix A — The Complete Promise Taxonomy</w:t>
      </w:r>
    </w:p>
    <w:p>
      <w:pPr>
        <w:spacing w:before="100" w:after="10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 Instant Transfer (TYPE T)</w:t>
      </w:r>
    </w:p>
    <w:p>
      <w:pPr>
        <w:spacing w:before="100" w:after="100"/>
        <w:jc w:val="both"/>
      </w:pPr>
      <w:r>
        <w:rPr>
          <w:rFonts w:ascii="Arial" w:cs="Arial" w:eastAsia="Arial" w:hAnsi="Arial"/>
          <w:sz w:val="22"/>
          <w:szCs w:val="22"/>
        </w:rPr>
        <w:t xml:space="preserve">Send KX now. Recipient receives immediately upon DAG confirmation. If recipient wallet does not exist, it is auto-created.</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A.2 Time-Locked Promise (TYPE S — Standard)</w:t>
      </w:r>
    </w:p>
    <w:p>
      <w:pPr>
        <w:spacing w:before="100" w:after="100"/>
      </w:pPr>
    </w:p>
    <w:p>
      <w:pPr>
        <w:spacing w:before="100" w:after="100"/>
        <w:jc w:val="both"/>
      </w:pPr>
      <w:r>
        <w:rPr>
          <w:rFonts w:ascii="Arial" w:cs="Arial" w:eastAsia="Arial" w:hAnsi="Arial"/>
          <w:sz w:val="22"/>
          <w:szCs w:val="22"/>
        </w:rPr>
        <w:t xml:space="preserve">TYPE_S is a time-locked promise without yield participation. It is identical to TYPE_Y in every respect — same principal guarantee, same DAG immutability, same protocol enforcement — except that it does not grant HedgeKX a minting mandate and generates no yield for the recipient.</w:t>
      </w:r>
    </w:p>
    <w:p>
      <w:pPr>
        <w:spacing w:before="100" w:after="100"/>
      </w:pPr>
    </w:p>
    <w:p>
      <w:pPr>
        <w:spacing w:before="100" w:after="100"/>
        <w:jc w:val="both"/>
      </w:pPr>
      <w:r>
        <w:rPr>
          <w:rFonts w:ascii="Arial" w:cs="Arial" w:eastAsia="Arial" w:hAnsi="Arial"/>
          <w:sz w:val="22"/>
          <w:szCs w:val="22"/>
        </w:rPr>
        <w:t xml:space="preserve">TYPE_S is the correct choice when yield participation is specifically undesirable:</w:t>
      </w:r>
    </w:p>
    <w:p>
      <w:pPr>
        <w:spacing w:before="100" w:after="100"/>
      </w:pPr>
    </w:p>
    <w:p>
      <w:pPr>
        <w:pStyle w:val="ListParagraph"/>
        <w:spacing w:before="60" w:after="60"/>
        <w:ind w:left="720"/>
      </w:pPr>
      <w:r>
        <w:rPr>
          <w:rFonts w:ascii="Arial" w:cs="Arial" w:eastAsia="Arial" w:hAnsi="Arial"/>
          <w:sz w:val="22"/>
          <w:szCs w:val="22"/>
        </w:rPr>
        <w:t xml:space="preserve">Escrow and security deposits: a tenant’s security deposit held by a landlord should not generate yield for the landlord that was not agreed at inception</w:t>
      </w:r>
    </w:p>
    <w:p>
      <w:pPr>
        <w:pStyle w:val="ListParagraph"/>
        <w:spacing w:before="60" w:after="60"/>
        <w:ind w:left="720"/>
      </w:pPr>
      <w:r>
        <w:rPr>
          <w:rFonts w:ascii="Arial" w:cs="Arial" w:eastAsia="Arial" w:hAnsi="Arial"/>
          <w:sz w:val="22"/>
          <w:szCs w:val="22"/>
        </w:rPr>
        <w:t xml:space="preserve">Legal settlements: structured settlement payments where the exact amount is legally specified and variable yield would complicate enforcement</w:t>
      </w:r>
    </w:p>
    <w:p>
      <w:pPr>
        <w:pStyle w:val="ListParagraph"/>
        <w:spacing w:before="60" w:after="60"/>
        <w:ind w:left="720"/>
      </w:pPr>
      <w:r>
        <w:rPr>
          <w:rFonts w:ascii="Arial" w:cs="Arial" w:eastAsia="Arial" w:hAnsi="Arial"/>
          <w:sz w:val="22"/>
          <w:szCs w:val="22"/>
        </w:rPr>
        <w:t xml:space="preserve">Tax considerations: grantors who do not wish the beneficiary to receive variable additional income with potential tax implications</w:t>
      </w:r>
    </w:p>
    <w:p>
      <w:pPr>
        <w:pStyle w:val="ListParagraph"/>
        <w:spacing w:before="60" w:after="60"/>
        <w:ind w:left="720"/>
      </w:pPr>
      <w:r>
        <w:rPr>
          <w:rFonts w:ascii="Arial" w:cs="Arial" w:eastAsia="Arial" w:hAnsi="Arial"/>
          <w:sz w:val="22"/>
          <w:szCs w:val="22"/>
        </w:rPr>
        <w:t xml:space="preserve">Simple intent: grantors who wish to give a specific fixed amount and nothing more</w:t>
      </w:r>
    </w:p>
    <w:p>
      <w:pPr>
        <w:pStyle w:val="ListParagraph"/>
        <w:spacing w:before="60" w:after="60"/>
        <w:ind w:left="720"/>
      </w:pPr>
      <w:r>
        <w:rPr>
          <w:rFonts w:ascii="Arial" w:cs="Arial" w:eastAsia="Arial" w:hAnsi="Arial"/>
          <w:sz w:val="22"/>
          <w:szCs w:val="22"/>
        </w:rPr>
        <w:t xml:space="preserve">Old-fashioned preference: some people simply prefer a clean fixed promise</w:t>
      </w:r>
    </w:p>
    <w:p>
      <w:pPr>
        <w:spacing w:before="100" w:after="100"/>
      </w:pPr>
    </w:p>
    <w:p>
      <w:pPr>
        <w:spacing w:before="100" w:after="100"/>
        <w:jc w:val="both"/>
      </w:pPr>
      <w:r>
        <w:rPr>
          <w:rFonts w:ascii="Arial" w:cs="Arial" w:eastAsia="Arial" w:hAnsi="Arial"/>
          <w:sz w:val="22"/>
          <w:szCs w:val="22"/>
        </w:rPr>
        <w:t xml:space="preserve">For all other time-locked promises, TYPE_Y is the recommended default. The protocol creates TYPE_Y unless the user explicitly selects TYPE_S or sets yield_opt_out.</w:t>
      </w:r>
    </w:p>
    <w:p>
      <w:pPr>
        <w:spacing w:before="100" w:after="100"/>
      </w:pPr>
    </w:p>
    <w:p>
      <w:pPr>
        <w:spacing w:before="100" w:after="100"/>
        <w:jc w:val="both"/>
      </w:pPr>
      <w:r>
        <w:rPr>
          <w:rFonts w:ascii="Arial" w:cs="Arial" w:eastAsia="Arial" w:hAnsi="Arial"/>
          <w:sz w:val="22"/>
          <w:szCs w:val="22"/>
        </w:rPr>
        <w:t xml:space="preserve">TYPE_S use cases (where fixed delivery without yield is specifically intended):</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Unclaimed action: For short-duration locks (under the governance Verifas threshold, currently 365 days), unclaimed_action defaults to RevertToSender. For locks where unlock_at exceeds the governance Verifas threshold, unclaimed_action is overridden by the three-stage Verifas suspense system. See Section 4.2.</w:t>
      </w:r>
    </w:p>
    <w:p>
      <w:pPr>
        <w:spacing w:before="100" w:after="100"/>
      </w:pPr>
    </w:p>
    <w:p>
      <w:pPr>
        <w:spacing w:before="100" w:after="100"/>
        <w:jc w:val="both"/>
      </w:pPr>
      <w:r>
        <w:rPr>
          <w:rFonts w:ascii="Arial" w:cs="Arial" w:eastAsia="Arial" w:hAnsi="Arial"/>
          <w:sz w:val="22"/>
          <w:szCs w:val="22"/>
        </w:rPr>
        <w:t xml:space="preserve">Claim window: For long-duration locks, the claim window (claim_window_secs) represents Stage 1 only. Expiry of this window triggers Stage 2 (two-party lock) rather than immediate reversion.</w:t>
      </w:r>
    </w:p>
    <w:p>
      <w:pPr>
        <w:pStyle w:val="Heading2"/>
        <w:spacing w:before="320" w:after="160"/>
      </w:pPr>
      <w:r>
        <w:rPr>
          <w:rFonts w:ascii="Arial" w:cs="Arial" w:eastAsia="Arial" w:hAnsi="Arial"/>
          <w:b/>
          <w:bCs/>
          <w:color w:val="2E75B6"/>
          <w:sz w:val="26"/>
          <w:szCs w:val="26"/>
        </w:rPr>
        <w:t xml:space="preserve">A.3 Email Claim Promise</w:t>
      </w:r>
    </w:p>
    <w:p>
      <w:pPr>
        <w:spacing w:before="100" w:after="10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A.4 Cascade Promise</w:t>
      </w:r>
    </w:p>
    <w:p>
      <w:pPr>
        <w:spacing w:before="100" w:after="10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A.5 PAY_AS Promise</w:t>
      </w:r>
    </w:p>
    <w:p>
      <w:pPr>
        <w:spacing w:before="100" w:after="10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 Current governance cap: pay_as_max_usd = $250 per transaction.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A.6 TYPE M — AI-Managed Promise</w:t>
      </w:r>
    </w:p>
    <w:p>
      <w:pPr>
        <w:spacing w:before="100" w:after="100"/>
        <w:jc w:val="both"/>
      </w:pPr>
      <w:r>
        <w:rPr>
          <w:rFonts w:ascii="Arial" w:cs="Arial" w:eastAsia="Arial" w:hAnsi="Arial"/>
          <w:sz w:val="22"/>
          <w:szCs w:val="22"/>
        </w:rPr>
        <w:t xml:space="preserve">A standard TimeLockCreate with additional fields authorising MISAI to manage the investable fraction of locked KX per the grantor's mandate. The grantor never surrenders custody. MISAI only has authority to submit ExecutorWithdraw actions within its mandate, subject to a 24-hour delay. MISAI commits every decision to the DAG before executing (Axiom VIII). The grantor_axiom_consent_hash field records consent to Axioms VII–XII. Without this hash, a TYPE M lock cannot be created.</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A.7 TYPE Y — The Default Promise (Time-Locked with Yield Participation)</w:t>
      </w:r>
    </w:p>
    <w:p>
      <w:pPr>
        <w:spacing w:before="100" w:after="100"/>
      </w:pPr>
    </w:p>
    <w:p>
      <w:pPr>
        <w:spacing w:before="100" w:after="100"/>
        <w:jc w:val="both"/>
      </w:pPr>
      <w:r>
        <w:rPr>
          <w:rFonts w:ascii="Arial" w:cs="Arial" w:eastAsia="Arial" w:hAnsi="Arial"/>
          <w:sz w:val="22"/>
          <w:szCs w:val="22"/>
        </w:rPr>
        <w:t xml:space="preserve">TYPE_Y is the recommended default for all time-locked promises on ChronX. It is identical to TYPE_S in every respect — same principal guarantee, same immutability, same DAG enforcement — with one addition: it automatically grants HedgeKX a minting mandate, enabling yield to accrue to the beneficiary’s separate yield balance from real economic activity.</w:t>
      </w:r>
    </w:p>
    <w:p>
      <w:pPr>
        <w:spacing w:before="100" w:after="100"/>
      </w:pPr>
    </w:p>
    <w:p>
      <w:pPr>
        <w:spacing w:before="100" w:after="100"/>
        <w:jc w:val="both"/>
      </w:pPr>
      <w:r>
        <w:rPr>
          <w:rFonts w:ascii="Arial" w:cs="Arial" w:eastAsia="Arial" w:hAnsi="Arial"/>
          <w:sz w:val="22"/>
          <w:szCs w:val="22"/>
        </w:rPr>
        <w:t xml:space="preserve">There is no cost to the grantor. There is no risk to the principal. The yield belongs to whoever the promise was made to — not to the grantor. It accumulates in a separate balance that never decreases, claimable at any time.</w:t>
      </w:r>
    </w:p>
    <w:p>
      <w:pPr>
        <w:spacing w:before="100" w:after="100"/>
      </w:pPr>
    </w:p>
    <w:p>
      <w:pPr>
        <w:spacing w:before="100" w:after="100"/>
        <w:jc w:val="both"/>
      </w:pPr>
      <w:r>
        <w:rPr>
          <w:rFonts w:ascii="Arial" w:cs="Arial" w:eastAsia="Arial" w:hAnsi="Arial"/>
          <w:sz w:val="22"/>
          <w:szCs w:val="22"/>
        </w:rPr>
        <w:t xml:space="preserve">Grantors who specifically do not want yield participation use TYPE_S instead, or set yield_opt_out at TYPE_Y lock creation. Common reasons: escrow instruments, legal settlements, tax considerations, or simple preference for a fixed delivery amount. See A.2 for the complete list of TYPE_S use cases.</w:t>
      </w:r>
    </w:p>
    <w:p>
      <w:pPr>
        <w:spacing w:before="100" w:after="100"/>
      </w:pPr>
    </w:p>
    <w:p>
      <w:pPr>
        <w:spacing w:before="100" w:after="100"/>
        <w:jc w:val="both"/>
      </w:pPr>
      <w:r>
        <w:rPr>
          <w:rFonts w:ascii="Arial" w:cs="Arial" w:eastAsia="Arial" w:hAnsi="Arial"/>
          <w:sz w:val="22"/>
          <w:szCs w:val="22"/>
        </w:rPr>
        <w:t xml:space="preserve">The wallet creates TYPE_Y by default. The user must explicitly choose TYPE_S or set yield_opt_out to suppress yield participation.</w:t>
      </w:r>
    </w:p>
    <w:p>
      <w:pPr>
        <w:spacing w:before="100" w:after="100"/>
      </w:pPr>
    </w:p>
    <w:p>
      <w:pPr>
        <w:spacing w:before="100" w:after="100"/>
        <w:jc w:val="both"/>
      </w:pPr>
      <w:r>
        <w:rPr>
          <w:rFonts w:ascii="Arial" w:cs="Arial" w:eastAsia="Arial" w:hAnsi="Arial"/>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Long-horizon promise with yield: 20-year gift that earns HedgeKX yield for the recipient</w:t>
      </w:r>
    </w:p>
    <w:p>
      <w:pPr>
        <w:pStyle w:val="ListParagraph"/>
        <w:spacing w:before="60" w:after="60"/>
        <w:ind w:left="720"/>
      </w:pPr>
      <w:r>
        <w:rPr>
          <w:rFonts w:ascii="Arial" w:cs="Arial" w:eastAsia="Arial" w:hAnsi="Arial"/>
          <w:sz w:val="22"/>
          <w:szCs w:val="22"/>
        </w:rPr>
        <w:t xml:space="preserve">Standard promise (the default): any time-locked transfer where the grantor intends to give KX and has no reason to suppress the yield bonus for the recipient</w:t>
      </w:r>
    </w:p>
    <w:p>
      <w:pPr>
        <w:pStyle w:val="ListParagraph"/>
        <w:spacing w:before="60" w:after="60"/>
        <w:ind w:left="720"/>
      </w:pPr>
      <w:r>
        <w:rPr>
          <w:rFonts w:ascii="Arial" w:cs="Arial" w:eastAsia="Arial" w:hAnsi="Arial"/>
          <w:sz w:val="22"/>
          <w:szCs w:val="22"/>
        </w:rPr>
        <w:t xml:space="preserve">Long-horizon promises: 10-year, 20-year gifts and inheritance arrangements where yield accumulates meaningfully over time for the beneficiary</w:t>
      </w:r>
    </w:p>
    <w:p>
      <w:pPr>
        <w:pStyle w:val="ListParagraph"/>
        <w:spacing w:before="60" w:after="60"/>
        <w:ind w:left="720"/>
      </w:pPr>
      <w:r>
        <w:rPr>
          <w:rFonts w:ascii="Arial" w:cs="Arial" w:eastAsia="Arial" w:hAnsi="Arial"/>
          <w:sz w:val="22"/>
          <w:szCs w:val="22"/>
        </w:rPr>
        <w:t xml:space="preserve">ICO participant locks: KX purchased at ICO and locked for any duration automatically participates in HedgeKX yield — the lock duration determines the share of the yield pool</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Long-duration TYPE_Y locks — whether made to oneself or to another party — follow the same three-stage Verifas suspense system as long-duration TYPE_S locks. A TYPE_Y savings lock made to oneself for two years is still subject to this system: if the lock holder dies before claiming, their estate can approach Verifas for co-signature release during Stage 2, rather than the KX reverting to an unreachable wallet. Short-duration TYPE_Y locks (under the governance Verifas threshold, currently one year) are unaffected — they revert to sender as normal.</w:t>
      </w:r>
    </w:p>
    <w:p>
      <w:pPr>
        <w:pStyle w:val="Heading2"/>
        <w:spacing w:before="320" w:after="160"/>
      </w:pPr>
      <w:r>
        <w:rPr>
          <w:rFonts w:ascii="Arial" w:cs="Arial" w:eastAsia="Arial" w:hAnsi="Arial"/>
          <w:b/>
          <w:bCs/>
          <w:color w:val="2E75B6"/>
          <w:sz w:val="26"/>
          <w:szCs w:val="26"/>
        </w:rPr>
        <w:t xml:space="preserve">A.8 TYPE I — Invoice</w:t>
      </w:r>
    </w:p>
    <w:p>
      <w:pPr>
        <w:spacing w:before="100" w:after="10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A.9 TYPE C — Credit Authorisation</w:t>
      </w:r>
    </w:p>
    <w:p>
      <w:pPr>
        <w:spacing w:before="100" w:after="100"/>
        <w:jc w:val="both"/>
      </w:pPr>
      <w:r>
        <w:rPr>
          <w:rFonts w:ascii="Arial" w:cs="Arial" w:eastAsia="Arial" w:hAnsi="Arial"/>
          <w:sz w:val="22"/>
          <w:szCs w:val="22"/>
        </w:rPr>
        <w:t xml:space="preserve">A pre-authorised variable draw facility. The grantor authorises a beneficiary to draw up to a ceiling amount in increments without per-draw approval. Revocable at any time before a draw executes.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A.10 TYPE V — Conditional Validity</w:t>
      </w:r>
    </w:p>
    <w:p>
      <w:pPr>
        <w:spacing w:before="100" w:after="10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A.11 TYPE L — Ledger Entry</w:t>
      </w:r>
    </w:p>
    <w:p>
      <w:pPr>
        <w:spacing w:before="100" w:after="100"/>
        <w:jc w:val="both"/>
      </w:pPr>
      <w:r>
        <w:rPr>
          <w:rFonts w:ascii="Arial" w:cs="Arial" w:eastAsia="Arial" w:hAnsi="Arial"/>
          <w:sz w:val="22"/>
          <w:szCs w:val="22"/>
        </w:rPr>
        <w:t xml:space="preserve">A bonded-agent-only signed DAG memo for on-chain identity verification, Promise Chain anchors, and protocol attestations. Only wallets registered as bonded verifiers may create TYPE L entries. This is how CPNX records badge issuances on the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A.12 TYPE G — Wallet Group</w:t>
      </w:r>
    </w:p>
    <w:p>
      <w:pPr>
        <w:spacing w:before="100" w:after="100"/>
        <w:jc w:val="both"/>
      </w:pPr>
      <w:r>
        <w:rPr>
          <w:rFonts w:ascii="Arial" w:cs="Arial" w:eastAsia="Arial" w:hAnsi="Arial"/>
          <w:sz w:val="22"/>
          <w:szCs w:val="22"/>
        </w:rPr>
        <w:t xml:space="preserve">A named group of wallets referenced as a unit. Used in TYPE V attestor sets, backup executor lists, and authorised claim sets. 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r>
        <w:br w:type="page"/>
      </w:r>
    </w:p>
    <w:p>
      <w:pPr>
        <w:pStyle w:val="Heading1"/>
        <w:spacing w:before="480" w:after="240"/>
      </w:pPr>
      <w:r>
        <w:rPr>
          <w:rFonts w:ascii="Arial" w:cs="Arial" w:eastAsia="Arial" w:hAnsi="Arial"/>
          <w:b/>
          <w:bCs/>
          <w:color w:val="1F4E79"/>
          <w:sz w:val="34"/>
          <w:szCs w:val="34"/>
        </w:rPr>
        <w:t xml:space="preserve">Appendix B — Bilateral Promises (Loans)</w:t>
      </w:r>
    </w:p>
    <w:p>
      <w:pPr>
        <w:spacing w:before="100" w:after="10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loan_block_principal_usd = $250 (governance vote needed to raise for institutional issuance).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B.1 Friendly Loan (30-Day, PAY_AS, 1% Hedge Fee)</w:t>
      </w:r>
    </w:p>
    <w:p>
      <w:pPr>
        <w:spacing w:before="100" w:after="100"/>
        <w:jc w:val="both"/>
      </w:pPr>
      <w:r>
        <w:rPr>
          <w:rFonts w:ascii="Arial" w:cs="Arial" w:eastAsia="Arial" w:hAnsi="Arial"/>
          <w:sz w:val="22"/>
          <w:szCs w:val="22"/>
        </w:rPr>
        <w:t xml:space="preserve">The standard friendly loan. Sender commits KX. Borrower receives KX equivalent to a specified USD amount today and promises to return the same USD equivalent within 30 days. The 1% fee covers the HedgeKX hedge that ensures the lender receives full USD value regardless of KX price movement during the loan period.</w:t>
      </w:r>
    </w:p>
    <w:p>
      <w:pPr>
        <w:spacing w:before="80" w:after="80"/>
      </w:pPr>
      <w:r>
        <w:t xml:space="preserve"/>
      </w:r>
    </w:p>
    <w:p>
      <w:pPr>
        <w:spacing w:before="100" w:after="100"/>
        <w:jc w:val="both"/>
      </w:pPr>
      <w:r>
        <w:rPr>
          <w:rFonts w:ascii="Arial" w:cs="Arial" w:eastAsia="Arial" w:hAnsi="Arial"/>
          <w:sz w:val="22"/>
          <w:szCs w:val="22"/>
        </w:rPr>
        <w:t xml:space="preserve">Governance prioritises friendly loan hedge requests when capacity is limited. Effective per-transaction cap is governed by available HedgeKX capacity; current maximum $250. Quote expires in 10 seconds. Hedge and promise created atomically on confirmation.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B.2 Fixed Term Loan</w:t>
      </w:r>
    </w:p>
    <w:p>
      <w:pPr>
        <w:spacing w:before="100" w:after="100"/>
        <w:jc w:val="both"/>
      </w:pPr>
      <w:r>
        <w:rPr>
          <w:rFonts w:ascii="Arial" w:cs="Arial" w:eastAsia="Arial" w:hAnsi="Arial"/>
          <w:sz w:val="22"/>
          <w:szCs w:val="22"/>
        </w:rPr>
        <w:t xml:space="preserve">Personal loan, business loan, mortgage, bridge loan. LoanOffer with fixed or variable interest rate, payment stages, and optional collateral lock. Full technical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B.3 Revolving Loan</w:t>
      </w:r>
    </w:p>
    <w:p>
      <w:pPr>
        <w:spacing w:before="100" w:after="100"/>
        <w:jc w:val="both"/>
      </w:pPr>
      <w:r>
        <w:rPr>
          <w:rFonts w:ascii="Arial" w:cs="Arial" w:eastAsia="Arial" w:hAnsi="Arial"/>
          <w:sz w:val="22"/>
          <w:szCs w:val="22"/>
        </w:rPr>
        <w:t xml:space="preserve">Business line of credit, overdraft facility, working capital. Ceiling amount, renewal period, exit rights. Full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B.4 Sharia-Compliant Loans</w:t>
      </w:r>
    </w:p>
    <w:p>
      <w:pPr>
        <w:spacing w:before="100" w:after="100"/>
        <w:jc w:val="both"/>
      </w:pPr>
      <w:r>
        <w:rPr>
          <w:rFonts w:ascii="Arial" w:cs="Arial" w:eastAsia="Arial" w:hAnsi="Arial"/>
          <w:sz w:val="22"/>
          <w:szCs w:val="22"/>
        </w:rPr>
        <w:t xml:space="preserve">Murabaha (cost-plus, no compounding) and Qard Hasan (zero-profit benevolent loan) are natively supported. Structured as LoanOffer with appropriate interest_rate and payment stage configurations.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B.5 PAY_AS Loan</w:t>
      </w:r>
    </w:p>
    <w:p>
      <w:pPr>
        <w:spacing w:before="100" w:after="10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B.6 Loan Transferability and Tranching</w:t>
      </w:r>
    </w:p>
    <w:p>
      <w:pPr>
        <w:spacing w:before="100" w:after="100"/>
        <w:jc w:val="both"/>
      </w:pPr>
      <w:r>
        <w:rPr>
          <w:rFonts w:ascii="Arial" w:cs="Arial" w:eastAsia="Arial" w:hAnsi="Arial"/>
          <w:sz w:val="22"/>
          <w:szCs w:val="22"/>
        </w:rPr>
        <w:t xml:space="preserve">Loan_transfer_enabled: false (dormant, governance activation post-ICO). When enabled: FREE, RESTRICTED, or LOCKED transferability. Tranching: minimum 1,000 KX per tranche, maximum 1,000 tranches per obligation, minimum 10,000 KX to tranche. YIELD_ONLY and PRINCIPAL_ONLY strip instruments supported.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B.7 MISAI as Loan Servicer</w:t>
      </w:r>
    </w:p>
    <w:p>
      <w:pPr>
        <w:spacing w:before="100" w:after="100"/>
        <w:jc w:val="both"/>
      </w:pPr>
      <w:r>
        <w:rPr>
          <w:rFonts w:ascii="Arial" w:cs="Arial" w:eastAsia="Arial" w:hAnsi="Arial"/>
          <w:sz w:val="22"/>
          <w:szCs w:val="22"/>
        </w:rPr>
        <w:t xml:space="preserve">Any loan may designate MISAI as servicer. MISAI monitors payment schedule, publishes DefaultRecord when payments are missed, and processes LoanCompletion when all stages are paid. Every MISAI action is committed to the DAG before it executes (Axiom VIII).</w:t>
      </w:r>
    </w:p>
    <w:p>
      <w:r>
        <w:br w:type="page"/>
      </w:r>
    </w:p>
    <w:p>
      <w:pPr>
        <w:pStyle w:val="Heading1"/>
        <w:spacing w:before="480" w:after="240"/>
      </w:pPr>
      <w:r>
        <w:rPr>
          <w:rFonts w:ascii="Arial" w:cs="Arial" w:eastAsia="Arial" w:hAnsi="Arial"/>
          <w:b/>
          <w:bCs/>
          <w:color w:val="1F4E79"/>
          <w:sz w:val="34"/>
          <w:szCs w:val="34"/>
        </w:rPr>
        <w:t xml:space="preserve">Appendix C — Conditional Promises (TYPE S Springing Instruments)</w:t>
      </w:r>
    </w:p>
    <w:p>
      <w:pPr>
        <w:spacing w:before="100" w:after="10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C.1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(scaffold)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Sweep engine evaluates every 60 seconds. governance flag: hedgekx_oracle_trigger_enabled.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C.2 Parametric Insurance (Live Today)</w:t>
      </w:r>
    </w:p>
    <w:p>
      <w:pPr>
        <w:spacing w:before="100" w:after="10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C.3 The Hedge Tower Structure</w:t>
      </w:r>
    </w:p>
    <w:p>
      <w:pPr>
        <w:spacing w:before="100" w:after="100"/>
        <w:jc w:val="both"/>
      </w:pPr>
      <w:r>
        <w:rPr>
          <w:rFonts w:ascii="Arial" w:cs="Arial" w:eastAsia="Arial" w:hAnsi="Arial"/>
          <w:sz w:val="22"/>
          <w:szCs w:val="22"/>
        </w:rPr>
        <w:t xml:space="preserve">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(CompoundAND condition).</w:t>
      </w:r>
    </w:p>
    <w:p>
      <w:pPr>
        <w:spacing w:before="80" w:after="80"/>
      </w:pPr>
      <w:r>
        <w:t xml:space="preserve"/>
      </w:r>
    </w:p>
    <w:p>
      <w:pPr>
        <w:spacing w:before="100" w:after="100"/>
        <w:jc w:val="both"/>
      </w:pPr>
      <w:r>
        <w:rPr>
          <w:rFonts w:ascii="Arial" w:cs="Arial" w:eastAsia="Arial" w:hAnsi="Arial"/>
          <w:sz w:val="22"/>
          <w:szCs w:val="22"/>
        </w:rPr>
        <w:t xml:space="preserve">Layer 2 design insight: Layer 2 fires ONLY if KX drops more than 20% AND an actual covered claim has been attested. These are independent events. KX may drop 50% with no covered losses — Layer 2 never fires. The hedger retains their USDC collateral and all premium income.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C.4 HedgeKX Overnight Hedge (Live Today)</w:t>
      </w:r>
    </w:p>
    <w:p>
      <w:pPr>
        <w:spacing w:before="100" w:after="100"/>
        <w:jc w:val="both"/>
      </w:pPr>
      <w:r>
        <w:rPr>
          <w:rFonts w:ascii="Arial" w:cs="Arial" w:eastAsia="Arial" w:hAnsi="Arial"/>
          <w:sz w:val="22"/>
          <w:szCs w:val="22"/>
        </w:rPr>
        <w:t xml:space="preserve">A hedger locks KX as collateral against a 24-hour KX/USD position. If the oracle condition fires, KX releases to the pool. If not triggered before valid_until, success_payment_chronos transfers to success_payment_wallet (the hedge premium return), and remaining KX returns to the hedger. Current governance: hedgekx_max_daily_exposure_usd = $250.</w:t>
      </w:r>
    </w:p>
    <w:p>
      <w:r>
        <w:br w:type="page"/>
      </w:r>
    </w:p>
    <w:p>
      <w:pPr>
        <w:pStyle w:val="Heading1"/>
        <w:spacing w:before="480" w:after="240"/>
      </w:pPr>
      <w:r>
        <w:rPr>
          <w:rFonts w:ascii="Arial" w:cs="Arial" w:eastAsia="Arial" w:hAnsi="Arial"/>
          <w:b/>
          <w:bCs/>
          <w:color w:val="1F4E79"/>
          <w:sz w:val="34"/>
          <w:szCs w:val="34"/>
        </w:rPr>
        <w:t xml:space="preserve">Appendix D — Pool Instruments</w:t>
      </w:r>
    </w:p>
    <w:p>
      <w:pPr>
        <w:pStyle w:val="Heading2"/>
        <w:spacing w:before="320" w:after="160"/>
      </w:pPr>
      <w:r>
        <w:rPr>
          <w:rFonts w:ascii="Arial" w:cs="Arial" w:eastAsia="Arial" w:hAnsi="Arial"/>
          <w:b/>
          <w:bCs/>
          <w:color w:val="2E75B6"/>
          <w:sz w:val="26"/>
          <w:szCs w:val="26"/>
        </w:rPr>
        <w:t xml:space="preserve">D.1 TYPE P-F — Fully Reserved Pool</w:t>
      </w:r>
    </w:p>
    <w:p>
      <w:pPr>
        <w:spacing w:before="100" w:after="100"/>
        <w:jc w:val="both"/>
      </w:pPr>
      <w:r>
        <w:rPr>
          <w:rFonts w:ascii="Arial" w:cs="Arial" w:eastAsia="Arial" w:hAnsi="Arial"/>
          <w:sz w:val="22"/>
          <w:szCs w:val="22"/>
        </w:rPr>
        <w:t xml:space="preserve">Total reserved must always be &lt;= pool balance. No fractional reserve. No leverage. No access requirements. Use cases: construction escrow (full project amount reserved from day one), vesting pool (employee allocations fully backed).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D.2 TYPE P-R — Fractional Reserve Pool</w:t>
      </w:r>
    </w:p>
    <w:p>
      <w:pPr>
        <w:spacing w:before="100" w:after="100"/>
        <w:jc w:val="both"/>
      </w:pPr>
      <w:r>
        <w:rPr>
          <w:rFonts w:ascii="Arial" w:cs="Arial" w:eastAsia="Arial" w:hAnsi="Arial"/>
          <w:sz w:val="22"/>
          <w:szCs w:val="22"/>
        </w:rPr>
        <w:t xml:space="preserve">Operates with a coverage ratio. Pool holds less KX than total face value of obligations. coverage_ratio_at_registration is immutable per claimant. Access requirements: BANK, INSURANCE, or GOVERNMENT badge from CPNX plus active TYPE A authority grant from KXGC.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D.4 TYPE W — Waterfall Routing</w:t>
      </w:r>
    </w:p>
    <w:p>
      <w:pPr>
        <w:spacing w:before="100" w:after="10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r>
        <w:br w:type="page"/>
      </w:r>
    </w:p>
    <w:p>
      <w:pPr>
        <w:pStyle w:val="Heading1"/>
        <w:spacing w:before="480" w:after="240"/>
      </w:pPr>
      <w:r>
        <w:rPr>
          <w:rFonts w:ascii="Arial" w:cs="Arial" w:eastAsia="Arial" w:hAnsi="Arial"/>
          <w:b/>
          <w:bCs/>
          <w:color w:val="1F4E79"/>
          <w:sz w:val="34"/>
          <w:szCs w:val="34"/>
        </w:rPr>
        <w:t xml:space="preserve">Appendix E — Bond Instruments (TYPE B)</w:t>
      </w:r>
    </w:p>
    <w:p>
      <w:pPr>
        <w:spacing w:before="100" w:after="100"/>
        <w:jc w:val="both"/>
      </w:pPr>
      <w:r>
        <w:rPr>
          <w:rFonts w:ascii="Arial" w:cs="Arial" w:eastAsia="Arial" w:hAnsi="Arial"/>
          <w:sz w:val="22"/>
          <w:szCs w:val="22"/>
        </w:rPr>
        <w:t xml:space="preserve">Each EPP lends its performance bond to the Foundation. 100-year, 0% interest loan. Foundation holds DrawRequest right. DrawRequest auto-executes on lock_until. Foundation cannot accelerate. Board cannot override. Published on DAG immediately.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E.1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00"/>
        <w:gridCol w:w="1400"/>
        <w:gridCol w:w="9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bl>
    <w:p>
      <w:r>
        <w:br w:type="page"/>
      </w:r>
    </w:p>
    <w:p>
      <w:pPr>
        <w:pStyle w:val="Heading2"/>
        <w:spacing w:before="320" w:after="160"/>
      </w:pPr>
      <w:r>
        <w:rPr>
          <w:rFonts w:ascii="Arial" w:cs="Arial" w:eastAsia="Arial" w:hAnsi="Arial"/>
          <w:b/>
          <w:bCs/>
          <w:color w:val="1F4E79"/>
          <w:sz w:val="28"/>
          <w:szCs w:val="28"/>
        </w:rPr>
        <w:t xml:space="preserve">E.2 Bond vs Operating Capital — The Distinction</w:t>
      </w:r>
    </w:p>
    <w:p>
      <w:pPr>
        <w:spacing w:before="100" w:after="100"/>
      </w:pPr>
    </w:p>
    <w:p>
      <w:pPr>
        <w:spacing w:before="100" w:after="100"/>
        <w:jc w:val="both"/>
      </w:pPr>
      <w:r>
        <w:rPr>
          <w:rFonts w:ascii="Arial" w:cs="Arial" w:eastAsia="Arial" w:hAnsi="Arial"/>
          <w:sz w:val="22"/>
          <w:szCs w:val="22"/>
        </w:rPr>
        <w:t xml:space="preserve">The EPP bond table above lists bond KX only — the 100-year TYPE B locks lent to the Foundation. This is distinct from EPP operating capital.</w:t>
      </w:r>
    </w:p>
    <w:p>
      <w:pPr>
        <w:spacing w:before="100" w:after="100"/>
      </w:pPr>
    </w:p>
    <w:p>
      <w:pPr>
        <w:spacing w:before="100" w:after="100"/>
        <w:jc w:val="both"/>
      </w:pPr>
      <w:r>
        <w:rPr>
          <w:rFonts w:ascii="Arial" w:cs="Arial" w:eastAsia="Arial" w:hAnsi="Arial"/>
          <w:sz w:val="22"/>
          <w:szCs w:val="22"/>
        </w:rPr>
        <w:t xml:space="preserve">EPP bond KX: TYPE B lock. 100-year term. 0% interest. Held by Foundation. Cannot be sold, moved, or accessed by the EPP for any purpose. Subject to DrawRequest slashing only.</w:t>
      </w:r>
    </w:p>
    <w:p>
      <w:pPr>
        <w:spacing w:before="100" w:after="100"/>
      </w:pPr>
    </w:p>
    <w:p>
      <w:pPr>
        <w:spacing w:before="100" w:after="100"/>
        <w:jc w:val="both"/>
      </w:pPr>
      <w:r>
        <w:rPr>
          <w:rFonts w:ascii="Arial" w:cs="Arial" w:eastAsia="Arial" w:hAnsi="Arial"/>
          <w:sz w:val="22"/>
          <w:szCs w:val="22"/>
        </w:rPr>
        <w:t xml:space="preserve">EPP operating capital KX: Cascade time-locks. 5—10 year vesting. Held by EPP operations wallet. Released in annual tranches. Subject to governance reasonable-use mandate. See Section 4.9 for complete protection framework.</w:t>
      </w:r>
    </w:p>
    <w:p>
      <w:pPr>
        <w:spacing w:before="100" w:after="100"/>
      </w:pPr>
    </w:p>
    <w:p>
      <w:pPr>
        <w:spacing w:before="100" w:after="100"/>
        <w:jc w:val="both"/>
      </w:pPr>
      <w:r>
        <w:rPr>
          <w:rFonts w:ascii="Arial" w:cs="Arial" w:eastAsia="Arial" w:hAnsi="Arial"/>
          <w:sz w:val="22"/>
          <w:szCs w:val="22"/>
        </w:rPr>
        <w:t xml:space="preserve">Current EPP operating capital allocations:</w:t>
      </w:r>
    </w:p>
    <w:p>
      <w:pPr>
        <w:spacing w:before="100" w:after="100"/>
      </w:pPr>
    </w:p>
    <w:p>
      <w:pPr>
        <w:spacing w:before="100" w:after="100"/>
        <w:jc w:val="both"/>
      </w:pPr>
      <w:r>
        <w:rPr>
          <w:rFonts w:ascii="Arial" w:cs="Arial" w:eastAsia="Arial" w:hAnsi="Arial"/>
          <w:sz w:val="22"/>
          <w:szCs w:val="22"/>
        </w:rPr>
        <w:t xml:space="preserve">HedgeKX: 50,000,000 KX. Wallet: 5zjp4YM7RkBWk8hHN5kdv3xYhjsnXmYUJuL2vgqxHBE1. Schedule: 5 annual tranches 2027—2031. Tranches: 5M / 7.5M / 10M / 12.5M / 15M KX.</w:t>
      </w:r>
    </w:p>
    <w:p>
      <w:pPr>
        <w:spacing w:before="100" w:after="100"/>
      </w:pPr>
    </w:p>
    <w:p>
      <w:pPr>
        <w:spacing w:before="100" w:after="100"/>
        <w:jc w:val="both"/>
      </w:pPr>
      <w:r>
        <w:rPr>
          <w:rFonts w:ascii="Arial" w:cs="Arial" w:eastAsia="Arial" w:hAnsi="Arial"/>
          <w:sz w:val="22"/>
          <w:szCs w:val="22"/>
        </w:rPr>
        <w:t xml:space="preserve">KXGC: 200,000,000 KX. Wallet: G2aH9NfRFo5gdLTMjNqCRv4PkcKKEHLD99Y8vhQwSgeV. Schedule: 10 annual tranches 2027—2036. Tranches: 5M / 5M / 10M / 15M / 20M / 20M / 25M / 25M / 35M / 40M KX.</w:t>
      </w:r>
    </w:p>
    <w:p>
      <w:pPr>
        <w:spacing w:before="100" w:after="100"/>
      </w:pPr>
    </w:p>
    <w:p>
      <w:pPr>
        <w:pStyle w:val="Heading1"/>
        <w:spacing w:before="480" w:after="240"/>
      </w:pPr>
      <w:r>
        <w:rPr>
          <w:rFonts w:ascii="Arial" w:cs="Arial" w:eastAsia="Arial" w:hAnsi="Arial"/>
          <w:b/>
          <w:bCs/>
          <w:color w:val="1F4E79"/>
          <w:sz w:val="34"/>
          <w:szCs w:val="34"/>
        </w:rPr>
        <w:t xml:space="preserve">Appendix F — Authority Grants (TYPE A)</w:t>
      </w:r>
    </w:p>
    <w:p>
      <w:pPr>
        <w:spacing w:before="100" w:after="100"/>
        <w:jc w:val="both"/>
      </w:pPr>
      <w:r>
        <w:rPr>
          <w:rFonts w:ascii="Arial" w:cs="Arial" w:eastAsia="Arial" w:hAnsi="Arial"/>
          <w:sz w:val="22"/>
          <w:szCs w:val="22"/>
        </w:rPr>
        <w:t xml:space="preserve">TYPE A grants establish the KXGC reinsurance hierarchy. Parameters flow down but cannot be amplified. Tier 1 grant: sender must be KXGC bond wallet. Tier 2 grant: sender must have active Tier 1 with can_subgrant: true. Sub-grant limits must be &lt;= grantor's own limits. TYPE P-R pool creation requires an active TYPE A grant.</w:t>
      </w:r>
    </w:p>
    <w:p>
      <w:r>
        <w:br w:type="page"/>
      </w:r>
    </w:p>
    <w:p>
      <w:pPr>
        <w:pStyle w:val="Heading1"/>
        <w:spacing w:before="480" w:after="240"/>
      </w:pPr>
      <w:r>
        <w:rPr>
          <w:rFonts w:ascii="Arial" w:cs="Arial" w:eastAsia="Arial" w:hAnsi="Arial"/>
          <w:b/>
          <w:bCs/>
          <w:color w:val="1F4E79"/>
          <w:sz w:val="34"/>
          <w:szCs w:val="34"/>
        </w:rPr>
        <w:t xml:space="preserve">Appendix G — Complete Governance Parameters</w:t>
      </w:r>
    </w:p>
    <w:p>
      <w:pPr>
        <w:spacing w:before="100" w:after="100"/>
        <w:jc w:val="both"/>
      </w:pPr>
      <w:r>
        <w:rPr>
          <w:rFonts w:ascii="Arial" w:cs="Arial" w:eastAsia="Arial" w:hAnsi="Arial"/>
          <w:sz w:val="22"/>
          <w:szCs w:val="22"/>
        </w:rPr>
        <w:t xml:space="preserve">Live values from genesis-params.json as of Genesis Zero. All changes require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G.1 Rate Limiting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400"/>
        <w:gridCol w:w="1080"/>
        <w:gridCol w:w="900"/>
        <w:gridCol w:w="1080"/>
        <w:gridCol w:w="3000"/>
      </w:tblGrid>
      <w:t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w:t>
            </w:r>
          </w:p>
        </w:tc>
        <w:tc>
          <w:tcPr>
            <w:tcW w:type="dxa" w:w="3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G.2 Sweep Timing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G.3 Fees (Immutable)</w:t>
      </w:r>
    </w:p>
    <w:p>
      <w:pPr>
        <w:spacing w:before="100" w:after="100"/>
        <w:jc w:val="both"/>
      </w:pPr>
      <w:r>
        <w:rPr>
          <w:rFonts w:ascii="Arial" w:cs="Arial" w:eastAsia="Arial" w:hAnsi="Arial"/>
          <w:sz w:val="22"/>
          <w:szCs w:val="22"/>
        </w:rPr>
        <w:t xml:space="preserve">All transaction fees: 0. IMMUTABLE — Zero forever. This applies to all instrument types (I, C, Y, V, L, S, M, 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G.4 Executor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0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2,592,000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G.5 Loan Safeguards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4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G.6 PAY_AS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G.7 HedgeKX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40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24-hour maximum duration.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LIVE — sweep evaluates every 60s against oracle price cache.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savings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friendly_loan_hedge_fee_pct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hedge fee rate for friendly loans.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friendly_loan_max_duration_days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friendly loan duration in days.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friendly_loan_priority_enabled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 loan hedge requests served first when HedgeKX capacity is limited.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G.8 KXGC</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G.9 MISAI</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0.50</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G.10 Privacy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G.11 Emergency Switches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pStyle w:val="Heading2"/>
        <w:spacing w:before="320" w:after="160"/>
      </w:pPr>
      <w:r>
        <w:rPr>
          <w:rFonts w:ascii="Arial" w:cs="Arial" w:eastAsia="Arial" w:hAnsi="Arial"/>
          <w:b/>
          <w:bCs/>
          <w:color w:val="1F4E79"/>
          <w:sz w:val="28"/>
          <w:szCs w:val="28"/>
        </w:rPr>
        <w:t xml:space="preserve">G.13 Verifas Suspense System</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verifas_long_duration_threshold_days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Locks with unlock_at above this threshold are subject to the three-stage Verifas suspense system rather than simple RevertToSender.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verifas_stage1_days_wallet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 wallet-recipient long-duration lock enters Stage 2 (two-party). Minimum: 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verifas_stage1_days_email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an email-recipient long-duration lock enters Stage 2. Default 0 — email locks enter two-party mode immediately on maturity to protect against future email infrastructure compromise.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verifas_stage2_days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2555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Stage 2 (two-party lock) before sole custody transfers to Verifas. Default ~7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verifas_custody_days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36500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Verifas sole custody before KX transfers to Humanity Stake. Default ~100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verifas_fee_basis_points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TBD</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Governance-approved fee paid to Verifas bonded attestor at successful Stage 2 or Stage 3 release. Paid from the lock value at time of release.</w:t>
            </w:r>
          </w:p>
        </w:tc>
      </w:tr>
    </w:tbl>
    <w:p>
      <w:r>
        <w:br w:type="page"/>
      </w:r>
    </w:p>
    <w:p>
      <w:pPr>
        <w:pStyle w:val="Heading1"/>
        <w:spacing w:before="480" w:after="240"/>
      </w:pPr>
      <w:r>
        <w:rPr>
          <w:rFonts w:ascii="Arial" w:cs="Arial" w:eastAsia="Arial" w:hAnsi="Arial"/>
          <w:b/>
          <w:bCs/>
          <w:color w:val="1F4E79"/>
          <w:sz w:val="34"/>
          <w:szCs w:val="34"/>
        </w:rPr>
        <w:t xml:space="preserve">Appendix H — Use Case Playbooks</w:t>
      </w:r>
    </w:p>
    <w:p>
      <w:pPr>
        <w:spacing w:before="100" w:after="10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H.1 — I Want to Issue Debt</w:t>
      </w:r>
    </w:p>
    <w:p>
      <w:pPr>
        <w:spacing w:before="100" w:after="100"/>
        <w:jc w:val="both"/>
      </w:pPr>
      <w:r>
        <w:rPr>
          <w:rFonts w:ascii="Arial" w:cs="Arial" w:eastAsia="Arial" w:hAnsi="Arial"/>
          <w:i/>
          <w:iCs/>
          <w:sz w:val="22"/>
          <w:szCs w:val="22"/>
        </w:rPr>
        <w:t xml:space="preserve">Who this is for: corporations, real estate developers, municipalities, private lenders.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80" w:after="80"/>
      </w:pPr>
      <w:r>
        <w:t xml:space="preserve"/>
      </w:r>
    </w:p>
    <w:p>
      <w:pPr>
        <w:spacing w:before="100" w:after="10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H.2 — I Want to Build a Marketplace</w:t>
      </w:r>
    </w:p>
    <w:p>
      <w:pPr>
        <w:spacing w:before="100" w:after="100"/>
        <w:jc w:val="both"/>
      </w:pPr>
      <w:r>
        <w:rPr>
          <w:rFonts w:ascii="Arial" w:cs="Arial" w:eastAsia="Arial" w:hAnsi="Arial"/>
          <w:i/>
          <w:iCs/>
          <w:sz w:val="22"/>
          <w:szCs w:val="22"/>
        </w:rPr>
        <w:t xml:space="preserve">Who this is for: fintech developers, exchange operators, DeFi builders.</w:t>
      </w:r>
    </w:p>
    <w:p>
      <w:pPr>
        <w:spacing w:before="80" w:after="80"/>
      </w:pPr>
      <w:r>
        <w:t xml:space="preserve"/>
      </w:r>
    </w:p>
    <w:p>
      <w:pPr>
        <w:spacing w:before="100" w:after="100"/>
        <w:jc w:val="both"/>
      </w:pPr>
      <w:r>
        <w:rPr>
          <w:rFonts w:ascii="Arial" w:cs="Arial" w:eastAsia="Arial" w:hAnsi="Arial"/>
          <w:sz w:val="22"/>
          <w:szCs w:val="22"/>
        </w:rPr>
        <w:t xml:space="preserve">Key RPC methods: chronx_getYieldInputs, chronx_getObligationsByOwner, chronx_getTransferHistory, chronx_getTranches. Full method reference: Appendix I.</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H.3 — I Want to Rate Loans</w:t>
      </w:r>
    </w:p>
    <w:p>
      <w:pPr>
        <w:spacing w:before="100" w:after="100"/>
        <w:jc w:val="both"/>
      </w:pPr>
      <w:r>
        <w:rPr>
          <w:rFonts w:ascii="Arial" w:cs="Arial" w:eastAsia="Arial" w:hAnsi="Arial"/>
          <w:i/>
          <w:iCs/>
          <w:sz w:val="22"/>
          <w:szCs w:val="22"/>
        </w:rPr>
        <w:t xml:space="preserve">Who this is for: credit rating analysts, risk modelers, financial data companies.</w:t>
      </w:r>
    </w:p>
    <w:p>
      <w:pPr>
        <w:spacing w:before="80" w:after="80"/>
      </w:pPr>
      <w:r>
        <w:t xml:space="preserve"/>
      </w:r>
    </w:p>
    <w:p>
      <w:pPr>
        <w:spacing w:before="100" w:after="10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H.4 — I Have 20 Years of Insurance Experience</w:t>
      </w:r>
    </w:p>
    <w:p>
      <w:pPr>
        <w:spacing w:before="100" w:after="100"/>
        <w:jc w:val="both"/>
      </w:pPr>
      <w:r>
        <w:rPr>
          <w:rFonts w:ascii="Arial" w:cs="Arial" w:eastAsia="Arial" w:hAnsi="Arial"/>
          <w:i/>
          <w:iCs/>
          <w:sz w:val="22"/>
          <w:szCs w:val="22"/>
        </w:rPr>
        <w:t xml:space="preserve">Who this is for: insurance underwriters, surplus lines operators, reinsurance professionals.</w:t>
      </w:r>
    </w:p>
    <w:p>
      <w:pPr>
        <w:spacing w:before="80" w:after="80"/>
      </w:pPr>
      <w:r>
        <w:t xml:space="preserve"/>
      </w:r>
    </w:p>
    <w:p>
      <w:pPr>
        <w:spacing w:before="100" w:after="100"/>
        <w:jc w:val="both"/>
      </w:pPr>
      <w:r>
        <w:rPr>
          <w:rFonts w:ascii="Arial" w:cs="Arial" w:eastAsia="Arial" w:hAnsi="Arial"/>
          <w:sz w:val="22"/>
          <w:szCs w:val="22"/>
        </w:rPr>
        <w:t xml:space="preserve">Major insurers are exiting California. Homeowners with paid-off properties are legally self-insurable. KXGC provides 300,000,000 KX in fully-reserved capital — permanently on the DAG, queryable by anyone. No audit required. No regulatory filing. The DAG is the proof.</w:t>
      </w:r>
    </w:p>
    <w:p>
      <w:pPr>
        <w:spacing w:before="80" w:after="80"/>
      </w:pPr>
      <w:r>
        <w:t xml:space="preserve"/>
      </w:r>
    </w:p>
    <w:p>
      <w:pPr>
        <w:spacing w:before="100" w:after="100"/>
        <w:jc w:val="both"/>
      </w:pPr>
      <w:r>
        <w:rPr>
          <w:rFonts w:ascii="Arial" w:cs="Arial" w:eastAsia="Arial" w:hAnsi="Arial"/>
          <w:b/>
          <w:bCs/>
          <w:sz w:val="22"/>
          <w:szCs w:val="22"/>
        </w:rPr>
        <w:t xml:space="preserve">How to get started:</w:t>
      </w:r>
    </w:p>
    <w:p>
      <w:pPr>
        <w:pStyle w:val="ListParagraph"/>
        <w:numPr>
          <w:ilvl w:val="0"/>
          <w:numId w:val="3"/>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3"/>
        </w:numPr>
        <w:spacing w:before="60" w:after="60"/>
      </w:pPr>
      <w:r>
        <w:rPr>
          <w:rFonts w:ascii="Arial" w:cs="Arial" w:eastAsia="Arial" w:hAnsi="Arial"/>
          <w:sz w:val="22"/>
          <w:szCs w:val="22"/>
        </w:rPr>
        <w:t xml:space="preserve">KXGC issues TYPE A authority grant</w:t>
      </w:r>
    </w:p>
    <w:p>
      <w:pPr>
        <w:pStyle w:val="ListParagraph"/>
        <w:numPr>
          <w:ilvl w:val="0"/>
          <w:numId w:val="3"/>
        </w:numPr>
        <w:spacing w:before="60" w:after="60"/>
      </w:pPr>
      <w:r>
        <w:rPr>
          <w:rFonts w:ascii="Arial" w:cs="Arial" w:eastAsia="Arial" w:hAnsi="Arial"/>
          <w:sz w:val="22"/>
          <w:szCs w:val="22"/>
        </w:rPr>
        <w:t xml:space="preserve">Get INSURANCE badge from CPNX</w:t>
      </w:r>
    </w:p>
    <w:p>
      <w:pPr>
        <w:pStyle w:val="ListParagraph"/>
        <w:numPr>
          <w:ilvl w:val="0"/>
          <w:numId w:val="3"/>
        </w:numPr>
        <w:spacing w:before="60" w:after="60"/>
      </w:pPr>
      <w:r>
        <w:rPr>
          <w:rFonts w:ascii="Arial" w:cs="Arial" w:eastAsia="Arial" w:hAnsi="Arial"/>
          <w:sz w:val="22"/>
          <w:szCs w:val="22"/>
        </w:rPr>
        <w:t xml:space="preserve">Create TYPE P-R pool with mandatory disclosure_text</w:t>
      </w:r>
    </w:p>
    <w:p>
      <w:pPr>
        <w:pStyle w:val="ListParagraph"/>
        <w:numPr>
          <w:ilvl w:val="0"/>
          <w:numId w:val="3"/>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3"/>
        </w:numPr>
        <w:spacing w:before="60" w:after="60"/>
      </w:pPr>
      <w:r>
        <w:rPr>
          <w:rFonts w:ascii="Arial" w:cs="Arial" w:eastAsia="Arial" w:hAnsi="Arial"/>
          <w:sz w:val="22"/>
          <w:szCs w:val="22"/>
        </w:rPr>
        <w:t xml:space="preserve">Design attestor group as TYPE G with min_attestors_pct</w:t>
      </w:r>
    </w:p>
    <w:p>
      <w:pPr>
        <w:pStyle w:val="ListParagraph"/>
        <w:numPr>
          <w:ilvl w:val="0"/>
          <w:numId w:val="3"/>
        </w:numPr>
        <w:spacing w:before="60" w:after="60"/>
      </w:pPr>
      <w:r>
        <w:rPr>
          <w:rFonts w:ascii="Arial" w:cs="Arial" w:eastAsia="Arial" w:hAnsi="Arial"/>
          <w:sz w:val="22"/>
          <w:szCs w:val="22"/>
        </w:rPr>
        <w:t xml:space="preserve">KXGC backstops via TYPE W waterfall</w:t>
      </w:r>
    </w:p>
    <w:p>
      <w:pPr>
        <w:spacing w:before="80" w:after="80"/>
      </w:pPr>
      <w:r>
        <w:t xml:space="preserve"/>
      </w:r>
    </w:p>
    <w:p>
      <w:pPr>
        <w:spacing w:before="100" w:after="100"/>
        <w:jc w:val="both"/>
      </w:pPr>
      <w:r>
        <w:rPr>
          <w:rFonts w:ascii="Arial" w:cs="Arial" w:eastAsia="Arial" w:hAnsi="Arial"/>
          <w:sz w:val="22"/>
          <w:szCs w:val="22"/>
        </w:rPr>
        <w:t xml:space="preserve">Regulatory note: Homes owned free and clear are legally self-insurable in most US jurisdictions. Consult qualified legal counsel before operating.</w:t>
      </w:r>
    </w:p>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100" w:after="100"/>
      </w:pPr>
    </w:p>
    <w:p>
      <w:pPr>
        <w:pStyle w:val="Heading3"/>
        <w:spacing w:before="240" w:after="120"/>
      </w:pPr>
      <w:r>
        <w:rPr>
          <w:rFonts w:ascii="Arial" w:cs="Arial" w:eastAsia="Arial" w:hAnsi="Arial"/>
          <w:b/>
          <w:bCs/>
          <w:color w:val="1F4E79"/>
          <w:sz w:val="24"/>
          <w:szCs w:val="24"/>
        </w:rPr>
        <w:t xml:space="preserve">The Excess and Surplus Lines Entry Point</w:t>
      </w:r>
    </w:p>
    <w:p>
      <w:pPr>
        <w:spacing w:before="100" w:after="100"/>
      </w:pPr>
    </w:p>
    <w:p>
      <w:pPr>
        <w:spacing w:before="100" w:after="100"/>
        <w:jc w:val="both"/>
      </w:pPr>
      <w:r>
        <w:rPr>
          <w:rFonts w:ascii="Arial" w:cs="Arial" w:eastAsia="Arial" w:hAnsi="Arial"/>
          <w:sz w:val="22"/>
          <w:szCs w:val="22"/>
        </w:rPr>
        <w:t xml:space="preserve">The simplest first product for a new KXGC Tier 1 Name is excess and surplus lines coverage — sitting above a policyholder’s existing primary policy limit. This requires no displacement of the existing carrier relationship and no regulatory competition with admitted carriers.</w:t>
      </w:r>
    </w:p>
    <w:p>
      <w:pPr>
        <w:spacing w:before="100" w:after="100"/>
      </w:pPr>
    </w:p>
    <w:p>
      <w:pPr>
        <w:spacing w:before="100" w:after="100"/>
        <w:jc w:val="both"/>
      </w:pPr>
      <w:r>
        <w:rPr>
          <w:rFonts w:ascii="Arial" w:cs="Arial" w:eastAsia="Arial" w:hAnsi="Arial"/>
          <w:sz w:val="22"/>
          <w:szCs w:val="22"/>
        </w:rPr>
        <w:t xml:space="preserve">Instrument design for excess coverage: condition_type: OracleTrigger or SingleAttestation (oracle attests loss event at the covered property). linked_instrument_id: reference to primary carrier settlement record (LinkedSpring — KXGC instrument activates only after primary is documented as exhausted). pay_as: UsdEquivalentAtMaturity (pays USD equivalent of the excess loss amount). escalation_wallet: KXGC bond wallet (for Tier 1 failure scenarios).</w:t>
      </w:r>
    </w:p>
    <w:p>
      <w:pPr>
        <w:spacing w:before="100" w:after="100"/>
      </w:pPr>
    </w:p>
    <w:p>
      <w:pPr>
        <w:spacing w:before="100" w:after="100"/>
        <w:jc w:val="both"/>
      </w:pPr>
      <w:r>
        <w:rPr>
          <w:rFonts w:ascii="Arial" w:cs="Arial" w:eastAsia="Arial" w:hAnsi="Arial"/>
          <w:sz w:val="22"/>
          <w:szCs w:val="22"/>
        </w:rPr>
        <w:t xml:space="preserve">Individual risk pricing via CPNX: Before underwriting, the Tier 1 Name requests CPNX attestation of the property’s risk characteristics: distance to fire station, construction type, fire clearance, claims history, title status. These are recorded on the DAG as TYPE L entries. The Tier 1 Name prices the excess premium against the individual attested risk — not pool averages. A property one block from the fire station on non-combustible ground receives dramatically better pricing than the pool rate.</w:t>
      </w:r>
    </w:p>
    <w:p>
      <w:pPr>
        <w:spacing w:before="100" w:after="100"/>
      </w:pPr>
    </w:p>
    <w:p>
      <w:pPr>
        <w:spacing w:before="100" w:after="100"/>
        <w:jc w:val="both"/>
      </w:pPr>
      <w:r>
        <w:rPr>
          <w:rFonts w:ascii="Arial" w:cs="Arial" w:eastAsia="Arial" w:hAnsi="Arial"/>
          <w:sz w:val="22"/>
          <w:szCs w:val="22"/>
        </w:rPr>
        <w:t xml:space="preserve">Micropayment coverage is equally viable: The protocol processes a 10 KX conditional payment at zero cost. Tier 1 Names can write coverage for small parametric events — flight delays, weather triggers, delivery failures, gig worker income protection — that traditional insurance cannot serve economically. The claim size floor is determined by KX’s value, not by processing overhead.</w:t>
      </w:r>
    </w:p>
    <w:p>
      <w:pPr>
        <w:spacing w:before="100" w:after="100"/>
      </w:pPr>
    </w:p>
    <w:p>
      <w:pPr>
        <w:spacing w:before="80" w:after="80"/>
      </w:pPr>
      <w:r>
        <w:t xml:space="preserve"/>
      </w:r>
    </w:p>
    <w:p>
      <w:pPr>
        <w:pStyle w:val="Heading2"/>
        <w:spacing w:before="320" w:after="160"/>
      </w:pPr>
      <w:r>
        <w:rPr>
          <w:rFonts w:ascii="Arial" w:cs="Arial" w:eastAsia="Arial" w:hAnsi="Arial"/>
          <w:b/>
          <w:bCs/>
          <w:color w:val="2E75B6"/>
          <w:sz w:val="26"/>
          <w:szCs w:val="26"/>
        </w:rPr>
        <w:t xml:space="preserve">H.5 — I Want to Write Homeowner Insurance as a Mutual Benefit Company</w:t>
      </w:r>
    </w:p>
    <w:p>
      <w:pPr>
        <w:spacing w:before="100" w:after="100"/>
        <w:jc w:val="both"/>
      </w:pPr>
      <w:r>
        <w:rPr>
          <w:rFonts w:ascii="Arial" w:cs="Arial" w:eastAsia="Arial" w:hAnsi="Arial"/>
          <w:i/>
          <w:iCs/>
          <w:sz w:val="22"/>
          <w:szCs w:val="22"/>
        </w:rPr>
        <w:t xml:space="preserve">Who this is for: founders building a blockchain-native insurance mutual for free-and-clear homeowners.</w:t>
      </w:r>
    </w:p>
    <w:p>
      <w:pPr>
        <w:spacing w:before="80" w:after="80"/>
      </w:pPr>
      <w:r>
        <w:t xml:space="preserve"/>
      </w:r>
    </w:p>
    <w:p>
      <w:pPr>
        <w:spacing w:before="100" w:after="10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2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H.6 — I Want to Run a Node</w:t>
      </w:r>
    </w:p>
    <w:p>
      <w:pPr>
        <w:spacing w:before="100" w:after="100"/>
        <w:jc w:val="both"/>
      </w:pPr>
      <w:r>
        <w:rPr>
          <w:rFonts w:ascii="Arial" w:cs="Arial" w:eastAsia="Arial" w:hAnsi="Arial"/>
          <w:i/>
          <w:iCs/>
          <w:sz w:val="22"/>
          <w:szCs w:val="22"/>
        </w:rPr>
        <w:t xml:space="preserve">Who this is for: technical operators, infrastructure providers, community participants.</w:t>
      </w:r>
    </w:p>
    <w:p>
      <w:pPr>
        <w:spacing w:before="80" w:after="80"/>
      </w:pPr>
      <w:r>
        <w:t xml:space="preserve"/>
      </w:r>
    </w:p>
    <w:p>
      <w:pPr>
        <w:spacing w:before="100" w:after="100"/>
        <w:jc w:val="both"/>
      </w:pPr>
      <w:r>
        <w:rPr>
          <w:rFonts w:ascii="Arial" w:cs="Arial" w:eastAsia="Arial" w:hAnsi="Arial"/>
          <w:b/>
          <w:bCs/>
          <w:sz w:val="22"/>
          <w:szCs w:val="22"/>
        </w:rPr>
        <w:t xml:space="preserve">What you get from January 1, 2029:</w:t>
      </w:r>
    </w:p>
    <w:p>
      <w:pPr>
        <w:spacing w:before="100" w:after="100"/>
        <w:jc w:val="both"/>
      </w:pPr>
      <w:r>
        <w:rPr>
          <w:rFonts w:ascii="Arial" w:cs="Arial" w:eastAsia="Arial" w:hAnsi="Arial"/>
          <w:sz w:val="22"/>
          <w:szCs w:val="22"/>
        </w:rPr>
        <w:t xml:space="preserve">Proportional share of Node Rewards harmonic release (1,000,000,000 KX over 100 years). Year 1 release at ICO price ($0.00319): approximately $2.8M USD distributed across all active operators.</w:t>
      </w:r>
    </w:p>
    <w:p>
      <w:pPr>
        <w:spacing w:before="80" w:after="80"/>
      </w:pPr>
      <w:r>
        <w:t xml:space="preserve"/>
      </w:r>
    </w:p>
    <w:p>
      <w:pPr>
        <w:spacing w:before="100" w:after="10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H.7 — I Want to Build an AI Agent on ChronX</w:t>
      </w:r>
    </w:p>
    <w:p>
      <w:pPr>
        <w:spacing w:before="100" w:after="100"/>
        <w:jc w:val="both"/>
      </w:pPr>
      <w:r>
        <w:rPr>
          <w:rFonts w:ascii="Arial" w:cs="Arial" w:eastAsia="Arial" w:hAnsi="Arial"/>
          <w:i/>
          <w:iCs/>
          <w:sz w:val="22"/>
          <w:szCs w:val="22"/>
        </w:rPr>
        <w:t xml:space="preserve">Who this is for: AI developers, quant funds, autonomous agent builders.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authorisations: pre-authorised draws, no per-transaction approval</w:t>
      </w:r>
    </w:p>
    <w:p>
      <w:pPr>
        <w:spacing w:before="80" w:after="80"/>
      </w:pPr>
      <w:r>
        <w:t xml:space="preserve"/>
      </w:r>
    </w:p>
    <w:p>
      <w:pPr>
        <w:spacing w:before="100" w:after="100"/>
        <w:jc w:val="both"/>
      </w:pPr>
      <w:r>
        <w:rPr>
          <w:rFonts w:ascii="Arial" w:cs="Arial" w:eastAsia="Arial" w:hAnsi="Arial"/>
          <w:sz w:val="22"/>
          <w:szCs w:val="22"/>
        </w:rPr>
        <w:t xml:space="preserve">Contact: contact@misai.io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H.8 — I Want to Hedge KX/USD Exposure</w:t>
      </w:r>
    </w:p>
    <w:p>
      <w:pPr>
        <w:spacing w:before="100" w:after="100"/>
        <w:jc w:val="both"/>
      </w:pPr>
      <w:r>
        <w:rPr>
          <w:rFonts w:ascii="Arial" w:cs="Arial" w:eastAsia="Arial" w:hAnsi="Arial"/>
          <w:i/>
          <w:iCs/>
          <w:sz w:val="22"/>
          <w:szCs w:val="22"/>
        </w:rPr>
        <w:t xml:space="preserve">Who this is for: KX holders who want USD stability, insurance mutuals needing currency risk coverage, long-horizon promise creators.</w:t>
      </w:r>
    </w:p>
    <w:p>
      <w:pPr>
        <w:spacing w:before="80" w:after="80"/>
      </w:pPr>
      <w:r>
        <w:t xml:space="preserve"/>
      </w:r>
    </w:p>
    <w:p>
      <w:pPr>
        <w:spacing w:before="100" w:after="10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A hedger who loses money on a correctly-executed instrument has no claim against HedgeKX or any other party. The instrument executed as designed.</w:t>
      </w:r>
    </w:p>
    <w:p>
      <w:pPr>
        <w:spacing w:before="80" w:after="80"/>
      </w:pPr>
      <w:r>
        <w:t xml:space="preserve"/>
      </w:r>
    </w:p>
    <w:p>
      <w:pPr>
        <w:spacing w:before="100" w:after="100"/>
        <w:jc w:val="both"/>
      </w:pPr>
      <w:r>
        <w:rPr>
          <w:rFonts w:ascii="Arial" w:cs="Arial" w:eastAsia="Arial" w:hAnsi="Arial"/>
          <w:b/>
          <w:bCs/>
          <w:sz w:val="22"/>
          <w:szCs w:val="22"/>
        </w:rPr>
        <w:t xml:space="preserve">Available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80" w:after="80"/>
      </w:pPr>
      <w:r>
        <w:t xml:space="preserve"/>
      </w:r>
    </w:p>
    <w:p>
      <w:pPr>
        <w:spacing w:before="100" w:after="100"/>
        <w:jc w:val="both"/>
      </w:pPr>
      <w:r>
        <w:rPr>
          <w:rFonts w:ascii="Arial" w:cs="Arial" w:eastAsia="Arial" w:hAnsi="Arial"/>
          <w:b/>
          <w:bCs/>
          <w:sz w:val="22"/>
          <w:szCs w:val="22"/>
        </w:rPr>
        <w:t xml:space="preserve">Planned:</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as CompoundAND and LinkedSpring are built</w:t>
      </w:r>
    </w:p>
    <w:p>
      <w:pPr>
        <w:spacing w:before="80" w:after="80"/>
      </w:pPr>
      <w:r>
        <w:t xml:space="preserve"/>
      </w:r>
    </w:p>
    <w:p>
      <w:pPr>
        <w:spacing w:before="100" w:after="100"/>
        <w:jc w:val="both"/>
      </w:pPr>
      <w:r>
        <w:rPr>
          <w:rFonts w:ascii="Arial" w:cs="Arial" w:eastAsia="Arial" w:hAnsi="Arial"/>
          <w:sz w:val="22"/>
          <w:szCs w:val="22"/>
        </w:rPr>
        <w:t xml:space="preserve">Contact: contact@hedgekx.io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H.9 — I Want to Use Verifas for Long-Horizon Delivery</w:t>
      </w:r>
    </w:p>
    <w:p>
      <w:pPr>
        <w:spacing w:before="100" w:after="100"/>
        <w:jc w:val="both"/>
      </w:pPr>
      <w:r>
        <w:rPr>
          <w:rFonts w:ascii="Arial" w:cs="Arial" w:eastAsia="Arial" w:hAnsi="Arial"/>
          <w:sz w:val="22"/>
          <w:szCs w:val="22"/>
        </w:rPr>
        <w:t xml:space="preserve">Who this is for: estate planners, trust attorneys, family offices, anyone making promises that outlast contact information.</w:t>
      </w:r>
    </w:p>
    <w:p>
      <w:pPr>
        <w:spacing w:before="100" w:after="100"/>
      </w:pPr>
    </w:p>
    <w:p>
      <w:pPr>
        <w:spacing w:before="100" w:after="100"/>
        <w:jc w:val="both"/>
      </w:pPr>
      <w:r>
        <w:rPr>
          <w:rFonts w:ascii="Arial" w:cs="Arial" w:eastAsia="Arial" w:hAnsi="Arial"/>
          <w:sz w:val="22"/>
          <w:szCs w:val="22"/>
        </w:rPr>
        <w:t xml:space="preserve">What happens at maturity:</w:t>
      </w:r>
    </w:p>
    <w:p>
      <w:pPr>
        <w:spacing w:before="100" w:after="100"/>
      </w:pPr>
    </w:p>
    <w:p>
      <w:pPr>
        <w:spacing w:before="100" w:after="100"/>
        <w:jc w:val="both"/>
      </w:pPr>
      <w:r>
        <w:rPr>
          <w:rFonts w:ascii="Arial" w:cs="Arial" w:eastAsia="Arial" w:hAnsi="Arial"/>
          <w:sz w:val="22"/>
          <w:szCs w:val="22"/>
        </w:rPr>
        <w:t xml:space="preserve">Lock matures. Recipient has the Stage 1 window to self-claim (governance-set: default 90 days for wallet locks, default 0 days for email locks).</w:t>
      </w:r>
    </w:p>
    <w:p>
      <w:pPr>
        <w:spacing w:before="100" w:after="100"/>
      </w:pPr>
    </w:p>
    <w:p>
      <w:pPr>
        <w:spacing w:before="100" w:after="100"/>
        <w:jc w:val="both"/>
      </w:pPr>
      <w:r>
        <w:rPr>
          <w:rFonts w:ascii="Arial" w:cs="Arial" w:eastAsia="Arial" w:hAnsi="Arial"/>
          <w:sz w:val="22"/>
          <w:szCs w:val="22"/>
        </w:rPr>
        <w:t xml:space="preserve">After Stage 1: The lock automatically converts to a two-party lock requiring both the recipient’s signature and a Verifas bonded attestor’s co-signature. Neither party has custody. The KX has not moved. The recipient can still claim at any time during Stage 2 — they simply need Verifas attestation to co-sign.</w:t>
      </w:r>
    </w:p>
    <w:p>
      <w:pPr>
        <w:spacing w:before="100" w:after="100"/>
      </w:pPr>
    </w:p>
    <w:p>
      <w:pPr>
        <w:spacing w:before="100" w:after="100"/>
        <w:jc w:val="both"/>
      </w:pPr>
      <w:r>
        <w:rPr>
          <w:rFonts w:ascii="Arial" w:cs="Arial" w:eastAsia="Arial" w:hAnsi="Arial"/>
          <w:sz w:val="22"/>
          <w:szCs w:val="22"/>
        </w:rPr>
        <w:t xml:space="preserve">After Stage 2 (governance-set extended inactivity, default 7 years): Sole custody transfers to Verifas for active estate resolution.</w:t>
      </w:r>
    </w:p>
    <w:p>
      <w:pPr>
        <w:spacing w:before="100" w:after="100"/>
      </w:pPr>
    </w:p>
    <w:p>
      <w:pPr>
        <w:spacing w:before="100" w:after="100"/>
        <w:jc w:val="both"/>
      </w:pPr>
      <w:r>
        <w:rPr>
          <w:rFonts w:ascii="Arial" w:cs="Arial" w:eastAsia="Arial" w:hAnsi="Arial"/>
          <w:sz w:val="22"/>
          <w:szCs w:val="22"/>
        </w:rPr>
        <w:t xml:space="preserve">If unclaimed after Verifas custody window (default 100 years): KX transfers to Humanity Stake.</w:t>
      </w:r>
    </w:p>
    <w:p>
      <w:pPr>
        <w:spacing w:before="100" w:after="100"/>
      </w:pPr>
    </w:p>
    <w:p>
      <w:pPr>
        <w:spacing w:before="100" w:after="100"/>
        <w:jc w:val="both"/>
      </w:pPr>
      <w:r>
        <w:rPr>
          <w:rFonts w:ascii="Arial" w:cs="Arial" w:eastAsia="Arial" w:hAnsi="Arial"/>
          <w:sz w:val="22"/>
          <w:szCs w:val="22"/>
        </w:rPr>
        <w:t xml:space="preserve">A note on the beneficiary_package: Attaching a beneficiary_package at lock creation — even a minimal one containing just an email address or identifier — gives Verifas richer information to work with. It is not required to trigger the two-party lock or the Verifas process. But it increases the probability of successful delivery. For high-value long-duration locks, a complete beneficiary package is strongly recommended.</w:t>
      </w:r>
    </w:p>
    <w:p>
      <w:pPr>
        <w:spacing w:before="100" w:after="100"/>
      </w:pPr>
    </w:p>
    <w:p>
      <w:pPr>
        <w:spacing w:before="100" w:after="100"/>
        <w:jc w:val="both"/>
      </w:pPr>
      <w:r>
        <w:rPr>
          <w:rFonts w:ascii="Arial" w:cs="Arial" w:eastAsia="Arial" w:hAnsi="Arial"/>
          <w:sz w:val="22"/>
          <w:szCs w:val="22"/>
        </w:rPr>
        <w:t xml:space="preserve">When creating a long-duration email lock in the wallet, the following notice is displayed: “Due to the extended duration of this promise, if the recipient does not claim within the standard window, Verifas identity verification MAY be required before the promise can be released. Verifas will make reasonable efforts to locate the recipient — but delivery is not guaranteed for all promises.”</w:t>
      </w:r>
    </w:p>
    <w:p>
      <w:pPr>
        <w:spacing w:before="100" w:after="100"/>
      </w:pPr>
    </w:p>
    <w:p>
      <w:pPr>
        <w:spacing w:before="100" w:after="100"/>
        <w:jc w:val="both"/>
      </w:pPr>
      <w:r>
        <w:rPr>
          <w:rFonts w:ascii="Arial" w:cs="Arial" w:eastAsia="Arial" w:hAnsi="Arial"/>
          <w:sz w:val="22"/>
          <w:szCs w:val="22"/>
        </w:rPr>
        <w:t xml:space="preserve">Contact: contact@verifas.io</w:t>
      </w:r>
    </w:p>
    <w:p>
      <w:r>
        <w:br w:type="page"/>
      </w:r>
    </w:p>
    <w:p>
      <w:pPr>
        <w:pStyle w:val="Heading1"/>
        <w:spacing w:before="480" w:after="240"/>
      </w:pPr>
      <w:r>
        <w:rPr>
          <w:rFonts w:ascii="Arial" w:cs="Arial" w:eastAsia="Arial" w:hAnsi="Arial"/>
          <w:b/>
          <w:bCs/>
          <w:color w:val="1F4E79"/>
          <w:sz w:val="34"/>
          <w:szCs w:val="34"/>
        </w:rPr>
        <w:t xml:space="preserve">Appendix I — RPC Method Reference</w:t>
      </w:r>
    </w:p>
    <w:p>
      <w:pPr>
        <w:spacing w:before="100" w:after="10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80" w:after="80"/>
      </w:pPr>
      <w:r>
        <w:t xml:space="preserve"/>
      </w:r>
    </w:p>
    <w:p>
      <w:pPr>
        <w:spacing w:before="100" w:after="100"/>
        <w:jc w:val="both"/>
      </w:pPr>
      <w:r>
        <w:rPr>
          <w:rFonts w:ascii="Arial" w:cs="Arial" w:eastAsia="Arial" w:hAnsi="Arial"/>
          <w:sz w:val="22"/>
          <w:szCs w:val="22"/>
        </w:rPr>
        <w:t xml:space="preserve">Note: rpc.chronx.io is a legacy alias. Always use https://api.chronx.io/rpc.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Time-Lock and Promise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Locks with required_hedge_ids referencing pool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Loan</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record if filed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Payment Types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Identity, Badges, and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Bond balance, obligations, capacity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Example Request</w:t>
      </w:r>
    </w:p>
    <w:p>
      <w:pPr>
        <w:spacing w:before="100" w:after="100"/>
        <w:jc w:val="both"/>
      </w:pPr>
      <w:r>
        <w:rPr>
          <w:rFonts w:ascii="Arial" w:cs="Arial" w:eastAsia="Arial" w:hAnsi="Arial"/>
          <w:sz w:val="22"/>
          <w:szCs w:val="22"/>
        </w:rPr>
        <w:t xml:space="preserve">{ "jsonrpc": "2.0", "method": "chronx_getBalance", "params": ["BqjGDbhzLJJgzpVywRxug4wTa2Qqtwipc1hkcLLJsWzF"], "id": 1 }</w:t>
      </w:r>
    </w:p>
    <w:p>
      <w:r>
        <w:br w:type="page"/>
      </w:r>
    </w:p>
    <w:p>
      <w:pPr>
        <w:pStyle w:val="Heading1"/>
        <w:spacing w:before="480" w:after="240"/>
      </w:pPr>
      <w:r>
        <w:rPr>
          <w:rFonts w:ascii="Arial" w:cs="Arial" w:eastAsia="Arial" w:hAnsi="Arial"/>
          <w:b/>
          <w:bCs/>
          <w:color w:val="1F4E79"/>
          <w:sz w:val="34"/>
          <w:szCs w:val="34"/>
        </w:rPr>
        <w:t xml:space="preserve">Appendix J — The Axioms (Complete)</w:t>
      </w:r>
    </w:p>
    <w:p>
      <w:pPr>
        <w:spacing w:before="100" w:after="10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spacing w:before="80" w:after="80"/>
      </w:pPr>
      <w:r>
        <w:t xml:space="preserve"/>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80" w:after="80"/>
      </w:pPr>
      <w:r>
        <w:t xml:space="preserve"/>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spacing w:before="100" w:after="100"/>
        <w:jc w:val="both"/>
      </w:pPr>
      <w:r>
        <w:rPr>
          <w:rFonts w:ascii="Arial" w:cs="Arial" w:eastAsia="Arial" w:hAnsi="Arial"/>
          <w:b/>
          <w:bCs/>
          <w:sz w:val="22"/>
          <w:szCs w:val="22"/>
        </w:rPr>
        <w:t xml:space="preserve">What final_genesis: true means</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Appendix K — CPNX Badge System</w:t>
      </w:r>
    </w:p>
    <w:p>
      <w:pPr>
        <w:spacing w:before="100" w:after="10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K.1 Badge Catalog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20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INSURANCE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K.2 Badge Lifecycle</w:t>
      </w:r>
    </w:p>
    <w:p>
      <w:pPr>
        <w:spacing w:before="100" w:after="100"/>
        <w:jc w:val="both"/>
      </w:pPr>
      <w:r>
        <w:rPr>
          <w:rFonts w:ascii="Arial" w:cs="Arial" w:eastAsia="Arial" w:hAnsi="Arial"/>
          <w:sz w:val="22"/>
          <w:szCs w:val="22"/>
        </w:rPr>
        <w:t xml:space="preserve">Application: Submit at cpnx.com. CPNX reviews independently. CPNX submits TYPE L IdentityVerified entry to DAG using CPNX bond wallet. Badge queryable via RPC.</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Revocation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fraud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K.3 Developer Integration</w:t>
      </w:r>
    </w:p>
    <w:p>
      <w:pPr>
        <w:spacing w:before="100" w:after="100"/>
        <w:jc w:val="both"/>
      </w:pPr>
      <w:r>
        <w:rPr>
          <w:rFonts w:ascii="Arial" w:cs="Arial" w:eastAsia="Arial" w:hAnsi="Arial"/>
          <w:sz w:val="22"/>
          <w:szCs w:val="22"/>
        </w:rPr>
        <w:t xml:space="preserve">Public API: GET https://api.chronx.io/wallet/badges/:wallet_address. Returns: [{badge_type, color, issued_by, expires_at}]. Expired badges automatically filtered.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K.4 CPNX Bond and Accountability</w:t>
      </w:r>
    </w:p>
    <w:p>
      <w:pPr>
        <w:spacing w:before="100" w:after="10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r>
        <w:br w:type="page"/>
      </w:r>
    </w:p>
    <w:p>
      <w:pPr>
        <w:pStyle w:val="Heading1"/>
        <w:spacing w:before="480" w:after="240"/>
      </w:pPr>
      <w:r>
        <w:rPr>
          <w:rFonts w:ascii="Arial" w:cs="Arial" w:eastAsia="Arial" w:hAnsi="Arial"/>
          <w:b/>
          <w:bCs/>
          <w:color w:val="1F4E79"/>
          <w:sz w:val="34"/>
          <w:szCs w:val="34"/>
        </w:rPr>
        <w:t xml:space="preserve">Appendix L — HedgeKX Complete Reference</w:t>
      </w:r>
    </w:p>
    <w:p>
      <w:pPr>
        <w:spacing w:before="100" w:after="100"/>
        <w:jc w:val="both"/>
      </w:pPr>
      <w:r>
        <w:rPr>
          <w:rFonts w:ascii="Arial" w:cs="Arial" w:eastAsia="Arial" w:hAnsi="Arial"/>
          <w:sz w:val="22"/>
          <w:szCs w:val="22"/>
        </w:rPr>
        <w:t xml:space="preserve">HedgeKX is an Essential Protocol Partner and forward exchange facilitator. This appendix is the operational technical reference for HedgeKX participants, instrument designers, and developers. For the complete risk reference including attack vectors, settlement mechanics, and USDC holder risk assessment, see Appendix 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 Mandate</w:t>
      </w:r>
    </w:p>
    <w:p>
      <w:pPr>
        <w:spacing w:before="100" w:after="100"/>
        <w:jc w:val="both"/>
      </w:pPr>
      <w:r>
        <w:rPr>
          <w:rFonts w:ascii="Arial" w:cs="Arial" w:eastAsia="Arial" w:hAnsi="Arial"/>
          <w:sz w:val="22"/>
          <w:szCs w:val="22"/>
        </w:rPr>
        <w:t xml:space="preserve">HedgeKX does exactly three things in its current phase:</w:t>
      </w:r>
    </w:p>
    <w:p>
      <w:pPr>
        <w:pStyle w:val="ListParagraph"/>
        <w:numPr>
          <w:ilvl w:val="0"/>
          <w:numId w:val="2"/>
        </w:numPr>
        <w:spacing w:before="60" w:after="60"/>
      </w:pPr>
      <w:r>
        <w:rPr>
          <w:rFonts w:ascii="Arial" w:cs="Arial" w:eastAsia="Arial" w:hAnsi="Arial"/>
          <w:sz w:val="22"/>
          <w:szCs w:val="22"/>
        </w:rPr>
        <w:t xml:space="preserve">Operates a matching platform where Exchange Buyers and Currency B Committers find each other</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80" w:after="80"/>
      </w:pPr>
      <w:r>
        <w:t xml:space="preserve"/>
      </w:r>
    </w:p>
    <w:p>
      <w:pPr>
        <w:spacing w:before="100" w:after="100"/>
        <w:jc w:val="both"/>
      </w:pPr>
      <w:r>
        <w:rPr>
          <w:rFonts w:ascii="Arial" w:cs="Arial" w:eastAsia="Arial" w:hAnsi="Arial"/>
          <w:sz w:val="22"/>
          <w:szCs w:val="22"/>
        </w:rPr>
        <w:t xml:space="preserve">HedgeKX does not hold funds. Does not price instruments. Does not take positions in normal operation. Does not manage pools. Does not guarantee outcomes. Does not make any decision about any instrument. Every hedge instrument is a bilateral contract between two wallets. HedgeKX is the venue and the settlement coordinator, not the counterparty.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L.2 Current Governance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annual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L.3 Standard Overnight Hedge Instrument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Return</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L.4 The Hedge Tower (Insurance Use Case)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1400"/>
        <w:gridCol w:w="1200"/>
        <w:gridCol w:w="14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 year</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~12%/year</w:t>
            </w:r>
          </w:p>
        </w:tc>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L.5 PAY_AS Long-Horizon Hedging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7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Dynamic</w:t>
            </w:r>
          </w:p>
        </w:tc>
        <w:tc>
          <w:tcPr>
            <w:tcW w:type="dxa" w:w="4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L.6 HedgeKX Evolution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30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Founding developer as test participant. SingleAttestation condition type.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4</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L.7 Liability and Disclosure</w:t>
      </w:r>
    </w:p>
    <w:p>
      <w:pPr>
        <w:spacing w:before="100" w:after="10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 this instrument will pay out if the specified condition is met — a payout is the instrument working as designed; loss on a correctly-executed hedge instrument is not fraud; HedgeKX is a platform operator and is not a party to the instrument; maximum loss is the amount committed, known and agreed to at creation.</w:t>
      </w:r>
    </w:p>
    <w:p>
      <w:pPr>
        <w:spacing w:before="80" w:after="80"/>
      </w:pPr>
      <w:r>
        <w:t xml:space="preserve"/>
      </w:r>
    </w:p>
    <w:p>
      <w:pPr>
        <w:spacing w:before="100" w:after="100"/>
        <w:jc w:val="both"/>
      </w:pPr>
      <w:r>
        <w:rPr>
          <w:rFonts w:ascii="Arial" w:cs="Arial" w:eastAsia="Arial" w:hAnsi="Arial"/>
          <w:sz w:val="22"/>
          <w:szCs w:val="22"/>
        </w:rPr>
        <w:t xml:space="preserve">All hedge instrument terms, trigger conditions, oracle sources, and payout histories are permanently recorded on the ChronX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L.8 Synthetic Positions Disclosure</w:t>
      </w:r>
    </w:p>
    <w:p>
      <w:pPr>
        <w:spacing w:before="100" w:after="100"/>
        <w:jc w:val="both"/>
      </w:pPr>
      <w:r>
        <w:rPr>
          <w:rFonts w:ascii="Arial" w:cs="Arial" w:eastAsia="Arial" w:hAnsi="Arial"/>
          <w:sz w:val="22"/>
          <w:szCs w:val="22"/>
        </w:rPr>
        <w:t xml:space="preserve">A participant holding two wallets 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HedgeKX does not operate as a derivatives exchange. Participants constructing synthetic positions do so as bilateral counterparties under standard instrument terms.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L.9 Principal-Protected Savings</w:t>
      </w:r>
    </w:p>
    <w:p>
      <w:pPr>
        <w:spacing w:before="100" w:after="100"/>
        <w:jc w:val="both"/>
      </w:pPr>
      <w:r>
        <w:rPr>
          <w:rFonts w:ascii="Arial" w:cs="Arial" w:eastAsia="Arial" w:hAnsi="Arial"/>
          <w:sz w:val="22"/>
          <w:szCs w:val="22"/>
        </w:rPr>
        <w:t xml:space="preserve">KX holders may designate a portion of their wallet balance as savings. Savings balances are excluded from Auto-Sweep and loan repayment obligations. TYPE_Y locks automatically grant HedgeKX a minting mandate unless yield_opt_out is set at creation.</w:t>
      </w:r>
    </w:p>
    <w:p>
      <w:pPr>
        <w:spacing w:before="80" w:after="80"/>
      </w:pPr>
      <w:r>
        <w:t xml:space="preserve"/>
      </w:r>
    </w:p>
    <w:p>
      <w:pPr>
        <w:spacing w:before="100" w:after="100"/>
        <w:jc w:val="both"/>
      </w:pPr>
      <w:r>
        <w:rPr>
          <w:rFonts w:ascii="Arial" w:cs="Arial" w:eastAsia="Arial" w:hAnsi="Arial"/>
          <w:sz w:val="22"/>
          <w:szCs w:val="22"/>
        </w:rPr>
        <w:t xml:space="preserve">The yield structure operates via HedgeKX's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pPr>
        <w:spacing w:before="80" w:after="80"/>
      </w:pPr>
      <w:r>
        <w:t xml:space="preserve"/>
      </w:r>
    </w:p>
    <w:p>
      <w:pPr>
        <w:spacing w:before="100" w:after="100"/>
        <w:jc w:val="both"/>
      </w:pPr>
      <w:r>
        <w:rPr>
          <w:rFonts w:ascii="Arial" w:cs="Arial" w:eastAsia="Arial" w:hAnsi="Arial"/>
          <w:sz w:val="22"/>
          <w:szCs w:val="22"/>
        </w:rPr>
        <w:t xml:space="preserve">Governance parameters control the maximum annual yield (savings_max_annual_yield_pct: 5.0) and whether yield is active (savings_hedgekx_yield_enabled). The feature requires YubiHSM activation before public yield is enabled.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L.10 wKX Provenance Architecture</w:t>
      </w:r>
    </w:p>
    <w:p>
      <w:pPr>
        <w:spacing w:before="100" w:after="100"/>
        <w:jc w:val="both"/>
      </w:pPr>
      <w:r>
        <w:rPr>
          <w:rFonts w:ascii="Arial" w:cs="Arial" w:eastAsia="Arial" w:hAnsi="Arial"/>
          <w:sz w:val="22"/>
          <w:szCs w:val="22"/>
        </w:rPr>
        <w:t xml:space="preserve">wKX is the public XChan token — a standard ERC-20 on Base, transferable, Uniswap-listed, backed by XChan conversion locks on the ChronX DAG. It is distinct from h1KX, which is HedgeKX's internal non-transferable 24-hour settlement token.</w:t>
      </w:r>
    </w:p>
    <w:p>
      <w:pPr>
        <w:spacing w:before="80" w:after="80"/>
      </w:pPr>
      <w:r>
        <w:t xml:space="preserve"/>
      </w:r>
    </w:p>
    <w:p>
      <w:pPr>
        <w:spacing w:before="100" w:after="100"/>
        <w:jc w:val="both"/>
      </w:pPr>
      <w:r>
        <w:rPr>
          <w:rFonts w:ascii="Arial" w:cs="Arial" w:eastAsia="Arial" w:hAnsi="Arial"/>
          <w:sz w:val="22"/>
          <w:szCs w:val="22"/>
        </w:rPr>
        <w:t xml:space="preserve">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80"/>
      </w:pPr>
      <w:r>
        <w:t xml:space="preserve"/>
      </w:r>
    </w:p>
    <w:p>
      <w:pPr>
        <w:spacing w:before="100" w:after="100"/>
        <w:jc w:val="both"/>
      </w:pPr>
      <w:r>
        <w:rPr>
          <w:rFonts w:ascii="Arial" w:cs="Arial" w:eastAsia="Arial" w:hAnsi="Arial"/>
          <w:sz w:val="22"/>
          <w:szCs w:val="22"/>
        </w:rPr>
        <w:t xml:space="preserve">Two-key security model: Key 1 (HedgeKX minting key, YubiHSM slot 1) and Key 2 (ChronX node attestation key, YubiHSM slot 2). Neither key alone can mint wKX.</w:t>
      </w:r>
    </w:p>
    <w:p>
      <w:pPr>
        <w:spacing w:before="80" w:after="80"/>
      </w:pPr>
      <w:r>
        <w:t xml:space="preserve"/>
      </w:r>
    </w:p>
    <w:p>
      <w:pPr>
        <w:spacing w:before="100" w:after="100"/>
        <w:jc w:val="both"/>
      </w:pPr>
      <w:r>
        <w:rPr>
          <w:rFonts w:ascii="Arial" w:cs="Arial" w:eastAsia="Arial" w:hAnsi="Arial"/>
          <w:sz w:val="22"/>
          <w:szCs w:val="22"/>
        </w:rPr>
        <w:t xml:space="preserve">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Saver outcome in all scenarios: full principal returned.</w:t>
      </w:r>
    </w:p>
    <w:p>
      <w:pPr>
        <w:spacing w:before="80" w:after="80"/>
      </w:pPr>
      <w:r>
        <w:t xml:space="preserve"/>
      </w:r>
    </w:p>
    <w:p>
      <w:pPr>
        <w:spacing w:before="100" w:after="100"/>
        <w:jc w:val="both"/>
      </w:pPr>
      <w:r>
        <w:rPr>
          <w:rFonts w:ascii="Arial" w:cs="Arial" w:eastAsia="Arial" w:hAnsi="Arial"/>
          <w:sz w:val="22"/>
          <w:szCs w:val="22"/>
        </w:rPr>
        <w:t xml:space="preserve">Public auditability: the isRedeemable(lock_id) function allows anyone — journalists, regulators, users — to verify that any wKX in existence is backed by an active ChronX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L.11 Friendly Loans</w:t>
      </w:r>
    </w:p>
    <w:p>
      <w:pPr>
        <w:spacing w:before="100" w:after="100"/>
        <w:jc w:val="both"/>
      </w:pPr>
      <w:r>
        <w:rPr>
          <w:rFonts w:ascii="Arial" w:cs="Arial" w:eastAsia="Arial" w:hAnsi="Arial"/>
          <w:sz w:val="22"/>
          <w:szCs w:val="22"/>
        </w:rPr>
        <w:t xml:space="preserve">A friendly loan is a send variant where the recipient is expected to return the value within a set number of days. Zero protocol interest — the only cost is the 1% hedge premium for 30 days (annualised ~12%). This is a hedge premium, not interest. HedgeKX is the sole oracle for pricing, drawing exclusively from XChan.</w:t>
      </w:r>
    </w:p>
    <w:p>
      <w:pPr>
        <w:spacing w:before="100" w:after="100"/>
      </w:pPr>
    </w:p>
    <w:p>
      <w:pPr>
        <w:spacing w:before="100" w:after="100"/>
        <w:jc w:val="both"/>
      </w:pPr>
      <w:r>
        <w:rPr>
          <w:rFonts w:ascii="Arial" w:cs="Arial" w:eastAsia="Arial" w:hAnsi="Arial"/>
          <w:sz w:val="22"/>
          <w:szCs w:val="22"/>
        </w:rPr>
        <w:t xml:space="preserve">Friendly loan hedge settlement is mandatory and automatic — not optional, not oracle-triggered, not attestation-dependent. The complete settlement mechanism is time plus payment:</w:t>
      </w:r>
    </w:p>
    <w:p>
      <w:pPr>
        <w:spacing w:before="100" w:after="100"/>
      </w:pPr>
    </w:p>
    <w:p>
      <w:pPr>
        <w:spacing w:before="100" w:after="100"/>
        <w:jc w:val="both"/>
      </w:pPr>
      <w:r>
        <w:rPr>
          <w:rFonts w:ascii="Arial" w:cs="Arial" w:eastAsia="Arial" w:hAnsi="Arial"/>
          <w:sz w:val="22"/>
          <w:szCs w:val="22"/>
        </w:rPr>
        <w:t xml:space="preserve">If the borrower repays within the loan term: repayment flows to the Base settlement address, automatically releasing the Currency B Committer’s USDC back with the yield fee, and returning the lender’s KX collateral. No human action required.</w:t>
      </w:r>
    </w:p>
    <w:p>
      <w:pPr>
        <w:spacing w:before="100" w:after="100"/>
      </w:pPr>
    </w:p>
    <w:p>
      <w:pPr>
        <w:spacing w:before="100" w:after="100"/>
        <w:jc w:val="both"/>
      </w:pPr>
      <w:r>
        <w:rPr>
          <w:rFonts w:ascii="Arial" w:cs="Arial" w:eastAsia="Arial" w:hAnsi="Arial"/>
          <w:sz w:val="22"/>
          <w:szCs w:val="22"/>
        </w:rPr>
        <w:t xml:space="preserve">If the borrower does not repay by the loan maturity date: the settlement contract automatically exercises at timeout, transferring the lender’s locked KX collateral to the Currency B Committer at the agreed locked rate. No oracle needed. No attestation needed. Time is the only trigger.</w:t>
      </w:r>
    </w:p>
    <w:p>
      <w:pPr>
        <w:spacing w:before="100" w:after="100"/>
      </w:pPr>
    </w:p>
    <w:p>
      <w:pPr>
        <w:spacing w:before="100" w:after="100"/>
        <w:jc w:val="both"/>
      </w:pPr>
      <w:r>
        <w:rPr>
          <w:rFonts w:ascii="Arial" w:cs="Arial" w:eastAsia="Arial" w:hAnsi="Arial"/>
          <w:sz w:val="22"/>
          <w:szCs w:val="22"/>
        </w:rPr>
        <w:t xml:space="preserve">This mandatory automatic settlement applies equally to all PAY_AS loans where the lender has denominated in USD and the borrower must repay in USD equivalent. Real loans — mortgages, construction draws, business lines of credit — follow the same mechanics at larger scale and longer duration. The borrower’s scheduled repayments flow automatically through the settlement mechanism. Each payment date is a known, deterministic settlement event. The Currency B Committer providing USD settlement liquidity for a PAY_AS loan is not speculating on KX price — they are providing the USD liquidity layer that makes PAY_AS instruments function, with automatic settlement on each repayment date and automatic KX collateral exercise on any missed payment.</w:t>
      </w:r>
    </w:p>
    <w:p>
      <w:pPr>
        <w:spacing w:before="100" w:after="100"/>
      </w:pPr>
    </w:p>
    <w:p>
      <w:pPr>
        <w:spacing w:before="80" w:after="80"/>
      </w:pPr>
      <w:r>
        <w:t xml:space="preserve"/>
      </w:r>
    </w:p>
    <w:p>
      <w:pPr>
        <w:spacing w:before="100" w:after="100"/>
        <w:jc w:val="both"/>
      </w:pPr>
      <w:r>
        <w:rPr>
          <w:rFonts w:ascii="Arial" w:cs="Arial" w:eastAsia="Arial" w:hAnsi="Arial"/>
          <w:sz w:val="22"/>
          <w:szCs w:val="22"/>
        </w:rPr>
        <w:t xml:space="preserve">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80"/>
      </w:pPr>
      <w:r>
        <w:t xml:space="preserve"/>
      </w:r>
    </w:p>
    <w:p>
      <w:pPr>
        <w:spacing w:before="100" w:after="100"/>
        <w:jc w:val="both"/>
      </w:pPr>
      <w:r>
        <w:rPr>
          <w:rFonts w:ascii="Arial" w:cs="Arial" w:eastAsia="Arial" w:hAnsi="Arial"/>
          <w:sz w:val="22"/>
          <w:szCs w:val="22"/>
        </w:rPr>
        <w:t xml:space="preserve">Governance priority: friendly loan hedge requests are served first when multiple requests arrive simultaneously. Dynamic loan cap: effective maximum is min(friendly_loan_max_usd_per_tx, hedgekx_available_capacity_usd × 0.80). As the open order book deepens post-ICO, the cap rises automatically.</w:t>
      </w:r>
    </w:p>
    <w:p>
      <w:pPr>
        <w:spacing w:before="80" w:after="80"/>
      </w:pPr>
      <w:r>
        <w:t xml:space="preserve"/>
      </w:r>
    </w:p>
    <w:p>
      <w:pPr>
        <w:spacing w:before="100" w:after="100"/>
        <w:jc w:val="both"/>
      </w:pPr>
      <w:r>
        <w:rPr>
          <w:rFonts w:ascii="Arial" w:cs="Arial" w:eastAsia="Arial" w:hAnsi="Arial"/>
          <w:sz w:val="22"/>
          <w:szCs w:val="22"/>
        </w:rPr>
        <w:t xml:space="preserve">Friendly loans require a live HedgeKX hedge. If HedgeKX is paused, friendly loans are unavailable. This is correct: a loan that cannot be hedged cannot be made.</w:t>
      </w:r>
    </w:p>
    <w:p>
      <w:r>
        <w:br w:type="page"/>
      </w:r>
    </w:p>
    <w:p>
      <w:pPr>
        <w:pStyle w:val="Heading1"/>
        <w:spacing w:before="480" w:after="240"/>
      </w:pPr>
      <w:r>
        <w:rPr>
          <w:rFonts w:ascii="Arial" w:cs="Arial" w:eastAsia="Arial" w:hAnsi="Arial"/>
          <w:b/>
          <w:bCs/>
          <w:color w:val="1F4E79"/>
          <w:sz w:val="34"/>
          <w:szCs w:val="34"/>
        </w:rPr>
        <w:t xml:space="preserve">Appendix M — Savings Lock Technical Reference</w:t>
      </w:r>
    </w:p>
    <w:p>
      <w:pPr>
        <w:pStyle w:val="Heading2"/>
        <w:spacing w:before="320" w:after="160"/>
      </w:pPr>
      <w:r>
        <w:rPr>
          <w:rFonts w:ascii="Arial" w:cs="Arial" w:eastAsia="Arial" w:hAnsi="Arial"/>
          <w:b/>
          <w:bCs/>
          <w:color w:val="2E75B6"/>
          <w:sz w:val="26"/>
          <w:szCs w:val="26"/>
        </w:rPr>
        <w:t xml:space="preserve">M.1 CreateSavingsLock Fields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Type/Value</w:t>
            </w:r>
          </w:p>
        </w:tc>
        <w:tc>
          <w:tcPr>
            <w:tcW w:type="dxa" w:w="5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Identifies savings lock.</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savings_duration_days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1–365</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duration in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hedgekx_mandate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true. Set false for yield_opt_out.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hedgekx_investable_fraction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0.90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Fraction of lock available for HedgeKX minting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auto_renew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Auto-renew at maturity. Sled-only update — no DAG vertex written on renewal.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savings_reserve_pct</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min 0.10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Reserve fraction not available for minting.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yield_opt_out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 Set true to suppress HedgeKX mandate and yield accrual.</w:t>
            </w:r>
          </w:p>
        </w:tc>
      </w:tr>
    </w:tbl>
    <w:p>
      <w:pPr>
        <w:spacing w:before="80" w:after="80"/>
      </w:pPr>
      <w:r>
        <w:t xml:space="preserve"/>
      </w:r>
    </w:p>
    <w:p>
      <w:pPr>
        <w:spacing w:before="100" w:after="100"/>
        <w:jc w:val="both"/>
      </w:pPr>
      <w:r>
        <w:rPr>
          <w:rFonts w:ascii="Arial" w:cs="Arial" w:eastAsia="Arial" w:hAnsi="Arial"/>
          <w:sz w:val="22"/>
          <w:szCs w:val="22"/>
        </w:rPr>
        <w:t xml:space="preserve">CreateSavingsLock debits spendable_balance and credits savings_balance. Savings locks are exempt from auto-sweep and loan obligations. Principal cannot be seized by any protocol 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M.2 XChanConversionLock</w:t>
      </w:r>
    </w:p>
    <w:p>
      <w:pPr>
        <w:spacing w:before="100" w:after="100"/>
        <w:jc w:val="both"/>
      </w:pPr>
      <w:r>
        <w:rPr>
          <w:rFonts w:ascii="Arial" w:cs="Arial" w:eastAsia="Arial" w:hAnsi="Arial"/>
          <w:sz w:val="22"/>
          <w:szCs w:val="22"/>
        </w:rPr>
        <w:t xml:space="preserve">lock_type XCHAN_CONVERSION. 60-second duration. Created automatically when KX arrives at bridge wallet. Establishes provenance for wKX minting. If mint fails, lock expires and KX returns to sender. Creates permanent DAG record of every XChan conversion.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M.3 wKX v3 Contract</w:t>
      </w:r>
    </w:p>
    <w:p>
      <w:pPr>
        <w:spacing w:before="100" w:after="100"/>
        <w:jc w:val="both"/>
      </w:pPr>
      <w:r>
        <w:rPr>
          <w:rFonts w:ascii="Arial" w:cs="Arial" w:eastAsia="Arial" w:hAnsi="Arial"/>
          <w:sz w:val="22"/>
          <w:szCs w:val="22"/>
        </w:rPr>
        <w:t xml:space="preserve">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M.4 Build Sequence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24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 HSM)</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CreateSavingsLock and XChanConversionLock actions in transaction.rs, savings wallet UI, savings_wkx_mint_enabled: false.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 (YubiHSM)</w:t>
            </w:r>
          </w:p>
        </w:tc>
        <w:tc>
          <w:tcPr>
            <w:tcW w:type="dxa" w:w="5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Generate keys on HSM, deploy wKX v3 contract on Base, test end-to-end, enable savings yield.</w:t>
            </w:r>
          </w:p>
        </w:tc>
        <w:tc>
          <w:tcPr>
            <w:tcW w:type="dxa" w:w="2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Pending YubiHSM arrival ~March 29–31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 (Post-ICO)</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HedgeKX order book, enable friendly loans, raise governance caps.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M.5 Yield Balance Architecture</w:t>
      </w:r>
    </w:p>
    <w:p>
      <w:pPr>
        <w:spacing w:before="100" w:after="100"/>
        <w:jc w:val="both"/>
      </w:pPr>
      <w:r>
        <w:rPr>
          <w:rFonts w:ascii="Arial" w:cs="Arial" w:eastAsia="Arial" w:hAnsi="Arial"/>
          <w:sz w:val="22"/>
          <w:szCs w:val="22"/>
        </w:rPr>
        <w:t xml:space="preserve">Yield does not accrue inside the TYPE_Y lock. The lock's principal amount is fixed forever at creation. Yield accumulates in a separate yield balance on the ChronX DAG attributed to the beneficiary's account, funded by HedgeKX from facilitation income on days when the mandate is actively used.</w:t>
      </w:r>
    </w:p>
    <w:p>
      <w:pPr>
        <w:spacing w:before="80" w:after="80"/>
      </w:pPr>
      <w:r>
        <w:t xml:space="preserve"/>
      </w:r>
    </w:p>
    <w:p>
      <w:pPr>
        <w:spacing w:before="100" w:after="100"/>
        <w:jc w:val="both"/>
      </w:pPr>
      <w:r>
        <w:rPr>
          <w:rFonts w:ascii="Arial" w:cs="Arial" w:eastAsia="Arial" w:hAnsi="Arial"/>
          <w:sz w:val="22"/>
          <w:szCs w:val="22"/>
        </w:rPr>
        <w:t xml:space="preserve">HedgeKX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M.6 The YubiHSM Heartbeat Oracle</w:t>
      </w:r>
    </w:p>
    <w:p>
      <w:pPr>
        <w:spacing w:before="100" w:after="100"/>
        <w:jc w:val="both"/>
      </w:pPr>
      <w:r>
        <w:rPr>
          <w:rFonts w:ascii="Arial" w:cs="Arial" w:eastAsia="Arial" w:hAnsi="Arial"/>
          <w:sz w:val="22"/>
          <w:szCs w:val="22"/>
        </w:rPr>
        <w:t xml:space="preserve">The YubiHSM 2 FIPS generates a cryptographic sign of life every 30 seconds using a key that never leaves the hardware. This heartbeat is published to the wKX contract on Base via a lightweight relayer on a dedicated signing host.</w:t>
      </w:r>
    </w:p>
    <w:p>
      <w:pPr>
        <w:spacing w:before="80" w:after="80"/>
      </w:pPr>
      <w:r>
        <w:t xml:space="preserve"/>
      </w:r>
    </w:p>
    <w:p>
      <w:pPr>
        <w:spacing w:before="100" w:after="100"/>
        <w:jc w:val="both"/>
      </w:pPr>
      <w:r>
        <w:rPr>
          <w:rFonts w:ascii="Arial" w:cs="Arial" w:eastAsia="Arial" w:hAnsi="Arial"/>
          <w:sz w:val="22"/>
          <w:szCs w:val="22"/>
        </w:rPr>
        <w:t xml:space="preserve">The wKX contract enforces: if heartbeat age exceeds 120 seconds, mint() reverts automatically. No governance action required. No human decision needed. The halt is enforced by the contract itself.</w:t>
      </w:r>
    </w:p>
    <w:p>
      <w:pPr>
        <w:spacing w:before="80" w:after="80"/>
      </w:pPr>
      <w:r>
        <w:t xml:space="preserve"/>
      </w:r>
    </w:p>
    <w:p>
      <w:pPr>
        <w:spacing w:before="100" w:after="100"/>
        <w:jc w:val="both"/>
      </w:pPr>
      <w:r>
        <w:rPr>
          <w:rFonts w:ascii="Arial" w:cs="Arial" w:eastAsia="Arial" w:hAnsi="Arial"/>
          <w:sz w:val="22"/>
          <w:szCs w:val="22"/>
        </w:rPr>
        <w:t xml:space="preserve">If the signing host goes offline, the heartbeat stops. Minting halts automatically within 120 seconds. This is a feature, not a bug. A system that stops cleanly is more secure than one that continues operating under uncertain conditions.</w:t>
      </w:r>
    </w:p>
    <w:p>
      <w:pPr>
        <w:spacing w:before="80" w:after="80"/>
      </w:pPr>
      <w:r>
        <w:t xml:space="preserve"/>
      </w:r>
    </w:p>
    <w:p>
      <w:pPr>
        <w:spacing w:before="100" w:after="100"/>
        <w:jc w:val="both"/>
      </w:pPr>
      <w:r>
        <w:rPr>
          <w:rFonts w:ascii="Arial" w:cs="Arial" w:eastAsia="Arial" w:hAnsi="Arial"/>
          <w:sz w:val="22"/>
          <w:szCs w:val="22"/>
        </w:rPr>
        <w:t xml:space="preserve">A thief who steals the YubiHSM faces: a contract that has already halted within 120 seconds, an HSM that is a brick without the PIN, zero ability to generate valid signatures, and zero ability to mint wKX. Existing savings locks are completely unaffected by any halt. They mature on schedule and return principal automatically regardless of the heartbeat status.</w:t>
      </w:r>
    </w:p>
    <w:p>
      <w:pPr>
        <w:spacing w:before="80" w:after="80"/>
      </w:pPr>
      <w:r>
        <w:t xml:space="preserve"/>
      </w:r>
    </w:p>
    <w:p>
      <w:pPr>
        <w:spacing w:before="100" w:after="100"/>
        <w:jc w:val="both"/>
      </w:pPr>
      <w:r>
        <w:rPr>
          <w:rFonts w:ascii="Arial" w:cs="Arial" w:eastAsia="Arial" w:hAnsi="Arial"/>
          <w:sz w:val="22"/>
          <w:szCs w:val="22"/>
        </w:rPr>
        <w:t xml:space="preserve">Governance params: hsm_heartbeat_interval_seconds: 30. hsm_heartbeat_max_age_seconds: 120.</w:t>
      </w:r>
    </w:p>
    <w:p>
      <w:r>
        <w:br w:type="page"/>
      </w:r>
    </w:p>
    <w:p>
      <w:pPr>
        <w:pStyle w:val="Heading1"/>
        <w:spacing w:before="480" w:after="240"/>
      </w:pPr>
      <w:r>
        <w:rPr>
          <w:rFonts w:ascii="Arial" w:cs="Arial" w:eastAsia="Arial" w:hAnsi="Arial"/>
          <w:b/>
          <w:bCs/>
          <w:color w:val="1F4E79"/>
          <w:sz w:val="34"/>
          <w:szCs w:val="34"/>
        </w:rPr>
        <w:t xml:space="preserve">Appendix N — The Savings Guarantee: Technical and Legal Basis</w:t>
      </w:r>
    </w:p>
    <w:p>
      <w:pPr>
        <w:pStyle w:val="Heading2"/>
        <w:spacing w:before="320" w:after="160"/>
      </w:pPr>
      <w:r>
        <w:rPr>
          <w:rFonts w:ascii="Arial" w:cs="Arial" w:eastAsia="Arial" w:hAnsi="Arial"/>
          <w:b/>
          <w:bCs/>
          <w:color w:val="2E75B6"/>
          <w:sz w:val="26"/>
          <w:szCs w:val="26"/>
        </w:rPr>
        <w:t xml:space="preserve">Why the Principal Guarantee is Absolute</w:t>
      </w:r>
    </w:p>
    <w:p>
      <w:pPr>
        <w:pStyle w:val="ListParagraph"/>
        <w:numPr>
          <w:ilvl w:val="0"/>
          <w:numId w:val="2"/>
        </w:numPr>
        <w:spacing w:before="60" w:after="60"/>
      </w:pPr>
      <w:r>
        <w:rPr>
          <w:rFonts w:ascii="Arial" w:cs="Arial" w:eastAsia="Arial" w:hAnsi="Arial"/>
          <w:sz w:val="22"/>
          <w:szCs w:val="22"/>
        </w:rPr>
        <w:t xml:space="preserve">The KX is on the DAG, not in anyone's custody. The DAG is append-only — no entity can modify a lock.</w:t>
      </w:r>
    </w:p>
    <w:p>
      <w:pPr>
        <w:pStyle w:val="ListParagraph"/>
        <w:numPr>
          <w:ilvl w:val="0"/>
          <w:numId w:val="2"/>
        </w:numPr>
        <w:spacing w:before="60" w:after="60"/>
      </w:pPr>
      <w:r>
        <w:rPr>
          <w:rFonts w:ascii="Arial" w:cs="Arial" w:eastAsia="Arial" w:hAnsi="Arial"/>
          <w:sz w:val="22"/>
          <w:szCs w:val="22"/>
        </w:rPr>
        <w:t xml:space="preserve">Maturity is time-triggered, not human-triggered.</w:t>
      </w:r>
    </w:p>
    <w:p>
      <w:pPr>
        <w:pStyle w:val="ListParagraph"/>
        <w:numPr>
          <w:ilvl w:val="0"/>
          <w:numId w:val="2"/>
        </w:numPr>
        <w:spacing w:before="60" w:after="60"/>
      </w:pPr>
      <w:r>
        <w:rPr>
          <w:rFonts w:ascii="Arial" w:cs="Arial" w:eastAsia="Arial" w:hAnsi="Arial"/>
          <w:sz w:val="22"/>
          <w:szCs w:val="22"/>
        </w:rPr>
        <w:t xml:space="preserve">Post-quantum cryptography (CRYSTALS-Dilithium2) protects against computational attacks.</w:t>
      </w:r>
    </w:p>
    <w:p>
      <w:pPr>
        <w:pStyle w:val="ListParagraph"/>
        <w:numPr>
          <w:ilvl w:val="0"/>
          <w:numId w:val="2"/>
        </w:numPr>
        <w:spacing w:before="60" w:after="60"/>
      </w:pPr>
      <w:r>
        <w:rPr>
          <w:rFonts w:ascii="Arial" w:cs="Arial" w:eastAsia="Arial" w:hAnsi="Arial"/>
          <w:sz w:val="22"/>
          <w:szCs w:val="22"/>
        </w:rPr>
        <w:t xml:space="preserve">HedgeKX holds a mandate permission only — not custody, not collateral, not a lien. The mandate expires automatically.</w:t>
      </w:r>
    </w:p>
    <w:p>
      <w:pPr>
        <w:pStyle w:val="ListParagraph"/>
        <w:numPr>
          <w:ilvl w:val="0"/>
          <w:numId w:val="2"/>
        </w:numPr>
        <w:spacing w:before="60" w:after="60"/>
      </w:pPr>
      <w:r>
        <w:rPr>
          <w:rFonts w:ascii="Arial" w:cs="Arial" w:eastAsia="Arial" w:hAnsi="Arial"/>
          <w:sz w:val="22"/>
          <w:szCs w:val="22"/>
        </w:rPr>
        <w:t xml:space="preserve">If the mandate expires without being exercised, the ChronX lock releases regardless.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HedgeKX Receives</w:t>
      </w:r>
    </w:p>
    <w:p>
      <w:pPr>
        <w:spacing w:before="100" w:after="100"/>
        <w:jc w:val="both"/>
      </w:pPr>
      <w:r>
        <w:rPr>
          <w:rFonts w:ascii="Arial" w:cs="Arial" w:eastAsia="Arial" w:hAnsi="Arial"/>
          <w:sz w:val="22"/>
          <w:szCs w:val="22"/>
        </w:rPr>
        <w:t xml:space="preserve">HedgeKX holds a time-limited permission to mint h1KX. HedgeKX never holds the underlying KX. The mandate grants the right to create an internal accounting token on Base — not to move, sell, or encumber the locked KX in any way. The KX belongs to the lock holder throughout the entire lock period.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Minting is Not Inflation</w:t>
      </w:r>
    </w:p>
    <w:p>
      <w:pPr>
        <w:spacing w:before="100" w:after="100"/>
        <w:jc w:val="both"/>
      </w:pPr>
      <w:r>
        <w:rPr>
          <w:rFonts w:ascii="Arial" w:cs="Arial" w:eastAsia="Arial" w:hAnsi="Arial"/>
          <w:sz w:val="22"/>
          <w:szCs w:val="22"/>
        </w:rPr>
        <w:t xml:space="preserve">wKX is 1:1 backed by locked KX (XChan conversion locks). h1KX is 1:1 backed by locked KX (TYPE_Y mandate locks). Both are temporary representations, not new supply. Total KX on ChronX DAG + total wKX on Base + total h1KX on Base = 8,270,000,000 always. At lock maturity: wKX or h1KX burns, ChronX lock releases — net change: zero.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Cannot Be Defaulted On</w:t>
      </w:r>
    </w:p>
    <w:p>
      <w:pPr>
        <w:spacing w:before="100" w:after="100"/>
        <w:jc w:val="both"/>
      </w:pPr>
      <w:r>
        <w:rPr>
          <w:rFonts w:ascii="Arial" w:cs="Arial" w:eastAsia="Arial" w:hAnsi="Arial"/>
          <w:sz w:val="22"/>
          <w:szCs w:val="22"/>
        </w:rPr>
        <w:t xml:space="preserve">wKX is a bridge token backed by XChan conversion locks — not a debt instrument. h1KX is a non-transferable internal settlement token — never held by external parties. Neither represents a promise to pay. If wKX circulates without a corresponding active lock, it is unredeemable and worthless by contract enforcement.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Friendly Loan Default Risk</w:t>
      </w:r>
    </w:p>
    <w:p>
      <w:pPr>
        <w:spacing w:before="100" w:after="100"/>
        <w:jc w:val="both"/>
      </w:pPr>
      <w:r>
        <w:rPr>
          <w:rFonts w:ascii="Arial" w:cs="Arial" w:eastAsia="Arial" w:hAnsi="Arial"/>
          <w:sz w:val="22"/>
          <w:szCs w:val="22"/>
        </w:rPr>
        <w:t xml:space="preserve">A friendly loan default falls on the lender, not the saver. The saver's principal is protected regardless of whether borrowers repay. The HedgeKX hedge protects the lender against KX/USD price risk. Borrower credit risk remains with the lender — ChronX is not a credit guarantee system.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Comparison to Traditional Banking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Traditional Bank CD</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ChronX Savings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(capped at $250K, exhaustible, discretionary)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(uncapped, inexhaustible, mathematical)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Yield guarantee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Contractual (can default)</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Not guaranteed (zero if no market activity, principal unaffected)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holds your deposit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retain cryptographic ownership throughout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Audit</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Annual audit of bank</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Real-time queryable on public DAG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Regulatory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banking regulation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Cryptographic mathematics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Legal Note</w:t>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Regulatory characterisation of KX and ChronX instruments varies by jurisdiction. Consult qualified legal counsel in your jurisdiction before participating.</w:t>
      </w:r>
    </w:p>
    <w:p>
      <w:r>
        <w:br w:type="page"/>
      </w:r>
    </w:p>
    <w:p>
      <w:pPr>
        <w:pStyle w:val="Heading1"/>
        <w:spacing w:before="480" w:after="240"/>
      </w:pPr>
      <w:r>
        <w:rPr>
          <w:rFonts w:ascii="Arial" w:cs="Arial" w:eastAsia="Arial" w:hAnsi="Arial"/>
          <w:b/>
          <w:bCs/>
          <w:color w:val="1F4E79"/>
          <w:sz w:val="34"/>
          <w:szCs w:val="34"/>
        </w:rPr>
        <w:t xml:space="preserve">Appendix O — HedgeKX, wKX, h1KX, and TYPE_Y: Complete Technical and Risk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 What This Appendix Is For</w:t>
      </w:r>
    </w:p>
    <w:p>
      <w:pPr>
        <w:spacing w:before="100" w:after="100"/>
        <w:jc w:val="both"/>
      </w:pPr>
      <w:r>
        <w:rPr>
          <w:rFonts w:ascii="Arial" w:cs="Arial" w:eastAsia="Arial" w:hAnsi="Arial"/>
          <w:sz w:val="22"/>
          <w:szCs w:val="22"/>
        </w:rPr>
        <w:t xml:space="preserve">This appendix exists for three audiences simultaneously, and it attempts to serve all three without compromising honesty for any of them.</w:t>
      </w:r>
    </w:p>
    <w:p>
      <w:pPr>
        <w:spacing w:before="80" w:after="80"/>
      </w:pPr>
      <w:r>
        <w:t xml:space="preserve"/>
      </w:r>
    </w:p>
    <w:p>
      <w:pPr>
        <w:spacing w:before="100" w:after="100"/>
        <w:jc w:val="both"/>
      </w:pPr>
      <w:r>
        <w:rPr>
          <w:rFonts w:ascii="Arial" w:cs="Arial" w:eastAsia="Arial" w:hAnsi="Arial"/>
          <w:b/>
          <w:bCs/>
          <w:sz w:val="22"/>
          <w:szCs w:val="22"/>
        </w:rPr>
        <w:t xml:space="preserve">For savers and promise-makers:</w:t>
      </w:r>
    </w:p>
    <w:p>
      <w:pPr>
        <w:spacing w:before="100" w:after="100"/>
        <w:jc w:val="both"/>
      </w:pPr>
      <w:r>
        <w:rPr>
          <w:rFonts w:ascii="Arial" w:cs="Arial" w:eastAsia="Arial" w:hAnsi="Arial"/>
          <w:sz w:val="22"/>
          <w:szCs w:val="22"/>
        </w:rPr>
        <w:t xml:space="preserve">You have locked KX in a TYPE_Y savings account or made a long-term promise. You want to know what HedgeKX does with your mandate, what risks exist, what is guaranteed, and whether any failure at HedgeKX could affect your KX. The short answer is: your principal is safe under all circumstances. The complete answer is in sections O.2, O.3, and O.11.</w:t>
      </w:r>
    </w:p>
    <w:p>
      <w:pPr>
        <w:spacing w:before="80" w:after="80"/>
      </w:pPr>
      <w:r>
        <w:t xml:space="preserve"/>
      </w:r>
    </w:p>
    <w:p>
      <w:pPr>
        <w:spacing w:before="100" w:after="100"/>
        <w:jc w:val="both"/>
      </w:pPr>
      <w:r>
        <w:rPr>
          <w:rFonts w:ascii="Arial" w:cs="Arial" w:eastAsia="Arial" w:hAnsi="Arial"/>
          <w:b/>
          <w:bCs/>
          <w:sz w:val="22"/>
          <w:szCs w:val="22"/>
        </w:rPr>
        <w:t xml:space="preserve">For USDC holders considering hedging:</w:t>
      </w:r>
    </w:p>
    <w:p>
      <w:pPr>
        <w:spacing w:before="100" w:after="100"/>
        <w:jc w:val="both"/>
      </w:pPr>
      <w:r>
        <w:rPr>
          <w:rFonts w:ascii="Arial" w:cs="Arial" w:eastAsia="Arial" w:hAnsi="Arial"/>
          <w:sz w:val="22"/>
          <w:szCs w:val="22"/>
        </w:rPr>
        <w:t xml:space="preserve">You are evaluating whether to commit USDC to HedgeKX's forward exchange market in exchange for yield. You want to know every way you could lose money — not just market risk, but operational risk, protocol risk, and systemic risk. The complete answer is in sections O.6 through O.10, O.13, and O.15.</w:t>
      </w:r>
    </w:p>
    <w:p>
      <w:pPr>
        <w:spacing w:before="80" w:after="80"/>
      </w:pPr>
      <w:r>
        <w:t xml:space="preserve"/>
      </w:r>
    </w:p>
    <w:p>
      <w:pPr>
        <w:spacing w:before="100" w:after="100"/>
        <w:jc w:val="both"/>
      </w:pPr>
      <w:r>
        <w:rPr>
          <w:rFonts w:ascii="Arial" w:cs="Arial" w:eastAsia="Arial" w:hAnsi="Arial"/>
          <w:b/>
          <w:bCs/>
          <w:sz w:val="22"/>
          <w:szCs w:val="22"/>
        </w:rPr>
        <w:t xml:space="preserve">For AI risk assessment systems and security researchers:</w:t>
      </w:r>
    </w:p>
    <w:p>
      <w:pPr>
        <w:spacing w:before="100" w:after="100"/>
        <w:jc w:val="both"/>
      </w:pPr>
      <w:r>
        <w:rPr>
          <w:rFonts w:ascii="Arial" w:cs="Arial" w:eastAsia="Arial" w:hAnsi="Arial"/>
          <w:sz w:val="22"/>
          <w:szCs w:val="22"/>
        </w:rPr>
        <w:t xml:space="preserve">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pPr>
        <w:spacing w:before="80" w:after="80"/>
      </w:pPr>
      <w:r>
        <w:t xml:space="preserve"/>
      </w:r>
    </w:p>
    <w:p>
      <w:pPr>
        <w:pBdr>
          <w:left w:val="single" w:color="2E75B6" w:sz="8" w:space="12"/>
        </w:pBdr>
        <w:spacing w:before="160" w:after="160"/>
        <w:ind w:left="720" w:right="720"/>
      </w:pPr>
      <w:r>
        <w:rPr>
          <w:rFonts w:ascii="Arial" w:cs="Arial" w:eastAsia="Arial" w:hAnsi="Arial"/>
          <w:i/>
          <w:iCs/>
          <w:sz w:val="22"/>
          <w:szCs w:val="22"/>
        </w:rPr>
        <w:t xml:space="preserve">One principle governs this entire appendix: a risk that is not documented is a risk that cannot be managed. HedgeKX's design philosophy is transparency at every layer — in the smart contracts, in the governance parameters, in the public mandate pool, and in this document.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O.2 The Foundation: TYPE_Y Savings Locks</w:t>
      </w:r>
    </w:p>
    <w:p>
      <w:pPr>
        <w:pStyle w:val="Heading3"/>
        <w:spacing w:before="200" w:after="100"/>
      </w:pPr>
      <w:r>
        <w:rPr>
          <w:rFonts w:ascii="Arial" w:cs="Arial" w:eastAsia="Arial" w:hAnsi="Arial"/>
          <w:b/>
          <w:bCs/>
          <w:sz w:val="22"/>
          <w:szCs w:val="22"/>
        </w:rPr>
        <w:t xml:space="preserve">What Is Guaranteed</w:t>
      </w:r>
    </w:p>
    <w:p>
      <w:pPr>
        <w:spacing w:before="100" w:after="100"/>
        <w:jc w:val="both"/>
      </w:pPr>
      <w:r>
        <w:rPr>
          <w:rFonts w:ascii="Arial" w:cs="Arial" w:eastAsia="Arial" w:hAnsi="Arial"/>
          <w:sz w:val="22"/>
          <w:szCs w:val="22"/>
        </w:rPr>
        <w:t xml:space="preserve">The following are guaranteed by ChronX's consensus rules. They are not policies. They are mathematical properties of the protocol:</w:t>
      </w:r>
    </w:p>
    <w:p>
      <w:pPr>
        <w:pStyle w:val="ListParagraph"/>
        <w:numPr>
          <w:ilvl w:val="0"/>
          <w:numId w:val="2"/>
        </w:numPr>
        <w:spacing w:before="60" w:after="60"/>
      </w:pPr>
      <w:r>
        <w:rPr>
          <w:rFonts w:ascii="Arial" w:cs="Arial" w:eastAsia="Arial" w:hAnsi="Arial"/>
          <w:sz w:val="22"/>
          <w:szCs w:val="22"/>
        </w:rPr>
        <w:t xml:space="preserve">Principal return. The exact quantity of KX locked will be available to the lock holder at maturity. Not approximately. Exactly. The protocol does not permit rounding, fees, or deductions from locked principal.</w:t>
      </w:r>
    </w:p>
    <w:p>
      <w:pPr>
        <w:pStyle w:val="ListParagraph"/>
        <w:numPr>
          <w:ilvl w:val="0"/>
          <w:numId w:val="2"/>
        </w:numPr>
        <w:spacing w:before="60" w:after="60"/>
      </w:pPr>
      <w:r>
        <w:rPr>
          <w:rFonts w:ascii="Arial" w:cs="Arial" w:eastAsia="Arial" w:hAnsi="Arial"/>
          <w:sz w:val="22"/>
          <w:szCs w:val="22"/>
        </w:rPr>
        <w:t xml:space="preserve">Immovability during lock period. Locked KX cannot be transferred, spent, seized, or liquidated by any party before maturity.</w:t>
      </w:r>
    </w:p>
    <w:p>
      <w:pPr>
        <w:pStyle w:val="ListParagraph"/>
        <w:numPr>
          <w:ilvl w:val="0"/>
          <w:numId w:val="2"/>
        </w:numPr>
        <w:spacing w:before="60" w:after="60"/>
      </w:pPr>
      <w:r>
        <w:rPr>
          <w:rFonts w:ascii="Arial" w:cs="Arial" w:eastAsia="Arial" w:hAnsi="Arial"/>
          <w:sz w:val="22"/>
          <w:szCs w:val="22"/>
        </w:rPr>
        <w:t xml:space="preserve">Independence from HedgeKX. If HedgeKX ceases to exist entirely, TYPE_Y locks continue to mature and return KX to their owners on schedule. HedgeKX's presence is not required.</w:t>
      </w:r>
    </w:p>
    <w:p>
      <w:pPr>
        <w:pStyle w:val="ListParagraph"/>
        <w:numPr>
          <w:ilvl w:val="0"/>
          <w:numId w:val="2"/>
        </w:numPr>
        <w:spacing w:before="60" w:after="60"/>
      </w:pPr>
      <w:r>
        <w:rPr>
          <w:rFonts w:ascii="Arial" w:cs="Arial" w:eastAsia="Arial" w:hAnsi="Arial"/>
          <w:sz w:val="22"/>
          <w:szCs w:val="22"/>
        </w:rPr>
        <w:t xml:space="preserve">Independence from Base network. If Base ceases to exist, TYPE_Y locks are completely unaffected. They live on the ChronX DAG, not on Base.</w:t>
      </w:r>
    </w:p>
    <w:p>
      <w:pPr>
        <w:spacing w:before="80" w:after="80"/>
      </w:pPr>
      <w:r>
        <w:t xml:space="preserve"/>
      </w:r>
    </w:p>
    <w:p>
      <w:pPr>
        <w:pStyle w:val="Heading3"/>
        <w:spacing w:before="200" w:after="100"/>
      </w:pPr>
      <w:r>
        <w:rPr>
          <w:rFonts w:ascii="Arial" w:cs="Arial" w:eastAsia="Arial" w:hAnsi="Arial"/>
          <w:b/>
          <w:bCs/>
          <w:sz w:val="22"/>
          <w:szCs w:val="22"/>
        </w:rPr>
        <w:t xml:space="preserve">What Is Not Guaranteed</w:t>
      </w:r>
    </w:p>
    <w:p>
      <w:pPr>
        <w:pStyle w:val="ListParagraph"/>
        <w:numPr>
          <w:ilvl w:val="0"/>
          <w:numId w:val="2"/>
        </w:numPr>
        <w:spacing w:before="60" w:after="60"/>
      </w:pPr>
      <w:r>
        <w:rPr>
          <w:rFonts w:ascii="Arial" w:cs="Arial" w:eastAsia="Arial" w:hAnsi="Arial"/>
          <w:sz w:val="22"/>
          <w:szCs w:val="22"/>
        </w:rPr>
        <w:t xml:space="preserve">Yield. Yield is a share of HedgeKX's facilitation income. On days when HedgeKX has no active matched transactions, yield is zero. No minimum yield is promised.</w:t>
      </w:r>
    </w:p>
    <w:p>
      <w:pPr>
        <w:pStyle w:val="ListParagraph"/>
        <w:numPr>
          <w:ilvl w:val="0"/>
          <w:numId w:val="2"/>
        </w:numPr>
        <w:spacing w:before="60" w:after="60"/>
      </w:pPr>
      <w:r>
        <w:rPr>
          <w:rFonts w:ascii="Arial" w:cs="Arial" w:eastAsia="Arial" w:hAnsi="Arial"/>
          <w:sz w:val="22"/>
          <w:szCs w:val="22"/>
        </w:rPr>
        <w:t xml:space="preserve">Yield rate. Market-determined. Fluctuates based on HedgeKX's matching activity and general market conditions.</w:t>
      </w:r>
    </w:p>
    <w:p>
      <w:pPr>
        <w:pStyle w:val="ListParagraph"/>
        <w:numPr>
          <w:ilvl w:val="0"/>
          <w:numId w:val="2"/>
        </w:numPr>
        <w:spacing w:before="60" w:after="60"/>
      </w:pPr>
      <w:r>
        <w:rPr>
          <w:rFonts w:ascii="Arial" w:cs="Arial" w:eastAsia="Arial" w:hAnsi="Arial"/>
          <w:sz w:val="22"/>
          <w:szCs w:val="22"/>
        </w:rPr>
        <w:t xml:space="preserve">HedgeKX's continued operation. HedgeKX may cease operations. In all such cases, yield drops to zero and the mandate becomes dormant. The lock's principal is unaffected.</w:t>
      </w:r>
    </w:p>
    <w:p>
      <w:pPr>
        <w:spacing w:before="80" w:after="80"/>
      </w:pPr>
      <w:r>
        <w:t xml:space="preserve"/>
      </w:r>
    </w:p>
    <w:p>
      <w:pPr>
        <w:pStyle w:val="Heading3"/>
        <w:spacing w:before="200" w:after="100"/>
      </w:pPr>
      <w:r>
        <w:rPr>
          <w:rFonts w:ascii="Arial" w:cs="Arial" w:eastAsia="Arial" w:hAnsi="Arial"/>
          <w:b/>
          <w:bCs/>
          <w:sz w:val="22"/>
          <w:szCs w:val="22"/>
        </w:rPr>
        <w:t xml:space="preserve">Yield and the Beneficiary — A Critical Detail</w:t>
      </w:r>
    </w:p>
    <w:p>
      <w:pPr>
        <w:spacing w:before="100" w:after="100"/>
        <w:jc w:val="both"/>
      </w:pPr>
      <w:r>
        <w:rPr>
          <w:rFonts w:ascii="Arial" w:cs="Arial" w:eastAsia="Arial" w:hAnsi="Arial"/>
          <w:sz w:val="22"/>
          <w:szCs w:val="22"/>
        </w:rPr>
        <w:t xml:space="preserve">Yield belongs to the beneficiary of the promise, not to the grantor. Example: Bob makes a 20-year promise locking 10,000 KX for Mary. HedgeKX uses that lock's mandate for active matching. The yield credits to Mary's yield balance — not to Bob's. Yield accumulates separately as daily credit transactions from HedgeKX's operating wallet to Mary's yield balance. The yield balance never goes down. Once credited, yield is permanent. Mary can claim it at any time.</w:t>
      </w:r>
    </w:p>
    <w:p>
      <w:pPr>
        <w:spacing w:before="80" w:after="80"/>
      </w:pPr>
      <w:r>
        <w:t xml:space="preserve"/>
      </w:r>
    </w:p>
    <w:p>
      <w:pPr>
        <w:pStyle w:val="Heading3"/>
        <w:spacing w:before="200" w:after="100"/>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may set yield_opt_out at lock creation. No mandate is granted. No yield accrues. The principal guarantee is identical. This is appropriate for grantors with tax concerns or who prefer the simplicity of a standard time-lock.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O.3 The Minting Mandate</w:t>
      </w:r>
    </w:p>
    <w:p>
      <w:pPr>
        <w:pStyle w:val="Heading3"/>
        <w:spacing w:before="200" w:after="100"/>
      </w:pPr>
      <w:r>
        <w:rPr>
          <w:rFonts w:ascii="Arial" w:cs="Arial" w:eastAsia="Arial" w:hAnsi="Arial"/>
          <w:b/>
          <w:bCs/>
          <w:sz w:val="22"/>
          <w:szCs w:val="22"/>
        </w:rPr>
        <w:t xml:space="preserve">What the Mandate Permits</w:t>
      </w:r>
    </w:p>
    <w:p>
      <w:pPr>
        <w:spacing w:before="100" w:after="100"/>
        <w:jc w:val="both"/>
      </w:pPr>
      <w:r>
        <w:rPr>
          <w:rFonts w:ascii="Arial" w:cs="Arial" w:eastAsia="Arial" w:hAnsi="Arial"/>
          <w:sz w:val="22"/>
          <w:szCs w:val="22"/>
        </w:rPr>
        <w:t xml:space="preserve">Every TYPE_Y lock (unless yield_opt_out is set) automatically grants HedgeKX one permission: to create h1KX tokens on the Base network in a quantity up to the locked KX amount, for periods not exceeding 24 hours at a time. That is the complete scope of the mandate. Nothing else.</w:t>
      </w:r>
    </w:p>
    <w:p>
      <w:pPr>
        <w:spacing w:before="80" w:after="80"/>
      </w:pPr>
      <w:r>
        <w:t xml:space="preserve"/>
      </w:r>
    </w:p>
    <w:p>
      <w:pPr>
        <w:pStyle w:val="Heading3"/>
        <w:spacing w:before="200" w:after="100"/>
      </w:pPr>
      <w:r>
        <w:rPr>
          <w:rFonts w:ascii="Arial" w:cs="Arial" w:eastAsia="Arial" w:hAnsi="Arial"/>
          <w:b/>
          <w:bCs/>
          <w:sz w:val="22"/>
          <w:szCs w:val="22"/>
        </w:rPr>
        <w:t xml:space="preserve">What the Mandate Does Not Permit</w:t>
      </w:r>
    </w:p>
    <w:p>
      <w:pPr>
        <w:pStyle w:val="ListParagraph"/>
        <w:numPr>
          <w:ilvl w:val="0"/>
          <w:numId w:val="2"/>
        </w:numPr>
        <w:spacing w:before="60" w:after="60"/>
      </w:pPr>
      <w:r>
        <w:rPr>
          <w:rFonts w:ascii="Arial" w:cs="Arial" w:eastAsia="Arial" w:hAnsi="Arial"/>
          <w:sz w:val="22"/>
          <w:szCs w:val="22"/>
        </w:rPr>
        <w:t xml:space="preserve">Transfer of ownership — HedgeKX does not own, control, or have any claim on the locked KX at any point.</w:t>
      </w:r>
    </w:p>
    <w:p>
      <w:pPr>
        <w:pStyle w:val="ListParagraph"/>
        <w:numPr>
          <w:ilvl w:val="0"/>
          <w:numId w:val="2"/>
        </w:numPr>
        <w:spacing w:before="60" w:after="60"/>
      </w:pPr>
      <w:r>
        <w:rPr>
          <w:rFonts w:ascii="Arial" w:cs="Arial" w:eastAsia="Arial" w:hAnsi="Arial"/>
          <w:sz w:val="22"/>
          <w:szCs w:val="22"/>
        </w:rPr>
        <w:t xml:space="preserve">Movement of locked KX — the KX stays on the ChronX DAG.</w:t>
      </w:r>
    </w:p>
    <w:p>
      <w:pPr>
        <w:pStyle w:val="ListParagraph"/>
        <w:numPr>
          <w:ilvl w:val="0"/>
          <w:numId w:val="2"/>
        </w:numPr>
        <w:spacing w:before="60" w:after="60"/>
      </w:pPr>
      <w:r>
        <w:rPr>
          <w:rFonts w:ascii="Arial" w:cs="Arial" w:eastAsia="Arial" w:hAnsi="Arial"/>
          <w:sz w:val="22"/>
          <w:szCs w:val="22"/>
        </w:rPr>
        <w:t xml:space="preserve">Liquidation of locked KX — even if HedgeKX faces losses, is sued, or is ordered by a court to pay a debt, the locked KX cannot be seized.</w:t>
      </w:r>
    </w:p>
    <w:p>
      <w:pPr>
        <w:pStyle w:val="ListParagraph"/>
        <w:numPr>
          <w:ilvl w:val="0"/>
          <w:numId w:val="2"/>
        </w:numPr>
        <w:spacing w:before="60" w:after="60"/>
      </w:pPr>
      <w:r>
        <w:rPr>
          <w:rFonts w:ascii="Arial" w:cs="Arial" w:eastAsia="Arial" w:hAnsi="Arial"/>
          <w:sz w:val="22"/>
          <w:szCs w:val="22"/>
        </w:rPr>
        <w:t xml:space="preserve">Obligation to mint — on days with no matching activity, no h1KX is minted and the mandate sits unused.</w:t>
      </w:r>
    </w:p>
    <w:p>
      <w:pPr>
        <w:spacing w:before="80" w:after="80"/>
      </w:pPr>
      <w:r>
        <w:t xml:space="preserve"/>
      </w:r>
    </w:p>
    <w:p>
      <w:pPr>
        <w:pStyle w:val="Heading3"/>
        <w:spacing w:before="200" w:after="100"/>
      </w:pPr>
      <w:r>
        <w:rPr>
          <w:rFonts w:ascii="Arial" w:cs="Arial" w:eastAsia="Arial" w:hAnsi="Arial"/>
          <w:b/>
          <w:bCs/>
          <w:sz w:val="22"/>
          <w:szCs w:val="22"/>
        </w:rPr>
        <w:t xml:space="preserve">How Mandate Capacity Is Verified</w:t>
      </w:r>
    </w:p>
    <w:p>
      <w:pPr>
        <w:spacing w:before="100" w:after="100"/>
        <w:jc w:val="both"/>
      </w:pPr>
      <w:r>
        <w:rPr>
          <w:rFonts w:ascii="Arial" w:cs="Arial" w:eastAsia="Arial" w:hAnsi="Arial"/>
          <w:sz w:val="22"/>
          <w:szCs w:val="22"/>
        </w:rPr>
        <w:t xml:space="preserve">When HedgeKX requests an h1KX mint, the minting contract on Base independently verifies the claim by checking a cryptographic Merkle inclusion proof against the ChronX DAG's committed state root. The contract verifies the proof's mathematics directly — it does not trust HedgeKX's word, it does not rely on any oracle's interpretation. It checks the proof against publicly available cryptographic commitments from the ChronX network.</w:t>
      </w:r>
    </w:p>
    <w:p>
      <w:pPr>
        <w:spacing w:before="80" w:after="80"/>
      </w:pPr>
      <w:r>
        <w:t xml:space="preserve"/>
      </w:r>
    </w:p>
    <w:p>
      <w:pPr>
        <w:pStyle w:val="Heading3"/>
        <w:spacing w:before="200" w:after="100"/>
      </w:pPr>
      <w:r>
        <w:rPr>
          <w:rFonts w:ascii="Arial" w:cs="Arial" w:eastAsia="Arial" w:hAnsi="Arial"/>
          <w:b/>
          <w:bCs/>
          <w:sz w:val="22"/>
          <w:szCs w:val="22"/>
        </w:rPr>
        <w:t xml:space="preserve">Multi-Currency Mandate Routing</w:t>
      </w:r>
    </w:p>
    <w:p>
      <w:pPr>
        <w:spacing w:before="100" w:after="100"/>
        <w:jc w:val="both"/>
      </w:pPr>
      <w:r>
        <w:rPr>
          <w:rFonts w:ascii="Arial" w:cs="Arial" w:eastAsia="Arial" w:hAnsi="Arial"/>
          <w:sz w:val="22"/>
          <w:szCs w:val="22"/>
        </w:rPr>
        <w:t xml:space="preserve">All TYPE_Y locks automatically become available as mandate sources for all governance-approved hedge pairs. HedgeKX internally routes mandate capacity to whichever pair has active demand. Lock holders do not specify which pair their mandate supports. Yield reflects aggregate facilitation income from all pairs that used their mandate capacity on a given day.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O.4 The Token Family — wKX, h1KX, and hNKX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wKX (XChan Public Token)</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h1KX (HedgeKX Internal Token)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Purpose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Retail KX/USDC conversion on Base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settlement bridge for forward exchanges</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Transferable?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standard ERC-20</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 — transfer function disabled by contract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 Uniswap, exchanges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 never leaves HedgeKX settlement system</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Expiry</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redeemable anytime via unwrap</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 passive expiry, balanceOf returns zero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Backed by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conversion locks (60-second)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TYPE_Y mandate locks (lock duration)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User sees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they buy, hold, trade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Never — purely internal infrastructure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Burns when?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user unwraps for 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Automatically, 24 hours after minting</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Retail risk</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Standard ERC-20 + peg maintenance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retail users never interact with it</w:t>
            </w:r>
          </w:p>
        </w:tc>
      </w:tr>
    </w:tbl>
    <w:p>
      <w:pPr>
        <w:spacing w:before="80" w:after="80"/>
      </w:pPr>
      <w:r>
        <w:t xml:space="preserve"/>
      </w:r>
    </w:p>
    <w:p>
      <w:pPr>
        <w:pStyle w:val="Heading3"/>
        <w:spacing w:before="200" w:after="100"/>
      </w:pPr>
      <w:r>
        <w:rPr>
          <w:rFonts w:ascii="Arial" w:cs="Arial" w:eastAsia="Arial" w:hAnsi="Arial"/>
          <w:b/>
          <w:bCs/>
          <w:sz w:val="22"/>
          <w:szCs w:val="22"/>
        </w:rPr>
        <w:t xml:space="preserve">The hNKX Family — Designed for 100 Years</w:t>
      </w:r>
    </w:p>
    <w:p>
      <w:pPr>
        <w:spacing w:before="100" w:after="100"/>
        <w:jc w:val="both"/>
      </w:pPr>
      <w:r>
        <w:rPr>
          <w:rFonts w:ascii="Arial" w:cs="Arial" w:eastAsia="Arial" w:hAnsi="Arial"/>
          <w:sz w:val="22"/>
          <w:szCs w:val="22"/>
        </w:rPr>
        <w:t xml:space="preserve">The h-family naming convention encodes the protocol's extensibility:</w:t>
      </w:r>
    </w:p>
    <w:p>
      <w:pPr>
        <w:pStyle w:val="ListParagraph"/>
        <w:numPr>
          <w:ilvl w:val="0"/>
          <w:numId w:val="2"/>
        </w:numPr>
        <w:spacing w:before="60" w:after="60"/>
      </w:pPr>
      <w:r>
        <w:rPr>
          <w:rFonts w:ascii="Arial" w:cs="Arial" w:eastAsia="Arial" w:hAnsi="Arial"/>
          <w:sz w:val="22"/>
          <w:szCs w:val="22"/>
        </w:rPr>
        <w:t xml:space="preserve">h1KX:  KX ↔ USDC — first pair, the foundation, deployed at HedgeKX launch</w:t>
      </w:r>
    </w:p>
    <w:p>
      <w:pPr>
        <w:pStyle w:val="ListParagraph"/>
        <w:numPr>
          <w:ilvl w:val="0"/>
          <w:numId w:val="2"/>
        </w:numPr>
        <w:spacing w:before="60" w:after="60"/>
      </w:pPr>
      <w:r>
        <w:rPr>
          <w:rFonts w:ascii="Arial" w:cs="Arial" w:eastAsia="Arial" w:hAnsi="Arial"/>
          <w:sz w:val="22"/>
          <w:szCs w:val="22"/>
        </w:rPr>
        <w:t xml:space="preserve">h2KX:  KX ↔ BTC — second pair, requires governance vote to deploy</w:t>
      </w:r>
    </w:p>
    <w:p>
      <w:pPr>
        <w:pStyle w:val="ListParagraph"/>
        <w:numPr>
          <w:ilvl w:val="0"/>
          <w:numId w:val="2"/>
        </w:numPr>
        <w:spacing w:before="60" w:after="60"/>
      </w:pPr>
      <w:r>
        <w:rPr>
          <w:rFonts w:ascii="Arial" w:cs="Arial" w:eastAsia="Arial" w:hAnsi="Arial"/>
          <w:sz w:val="22"/>
          <w:szCs w:val="22"/>
        </w:rPr>
        <w:t xml:space="preserve">h3KX:  KX ↔ ETH — third pair (hypothetical future)</w:t>
      </w:r>
    </w:p>
    <w:p>
      <w:pPr>
        <w:pStyle w:val="ListParagraph"/>
        <w:numPr>
          <w:ilvl w:val="0"/>
          <w:numId w:val="2"/>
        </w:numPr>
        <w:spacing w:before="60" w:after="60"/>
      </w:pPr>
      <w:r>
        <w:rPr>
          <w:rFonts w:ascii="Arial" w:cs="Arial" w:eastAsia="Arial" w:hAnsi="Arial"/>
          <w:sz w:val="22"/>
          <w:szCs w:val="22"/>
        </w:rPr>
        <w:t xml:space="preserve">hNKX:  Any Nth governance-approved pair</w:t>
      </w:r>
    </w:p>
    <w:p>
      <w:pPr>
        <w:spacing w:before="80" w:after="80"/>
      </w:pPr>
      <w:r>
        <w:t xml:space="preserve"/>
      </w:r>
    </w:p>
    <w:p>
      <w:pPr>
        <w:spacing w:before="100" w:after="100"/>
        <w:jc w:val="both"/>
      </w:pPr>
      <w:r>
        <w:rPr>
          <w:rFonts w:ascii="Arial" w:cs="Arial" w:eastAsia="Arial" w:hAnsi="Arial"/>
          <w:sz w:val="22"/>
          <w:szCs w:val="22"/>
        </w:rPr>
        <w:t xml:space="preserve">Each hNKX contract is independent — its own supply, its own escrow counterpart, its own 24-hour burn cycle. Adding a new pair never modifies any existing contract.</w:t>
      </w:r>
    </w:p>
    <w:p>
      <w:pPr>
        <w:spacing w:before="80" w:after="80"/>
      </w:pPr>
      <w:r>
        <w:t xml:space="preserve"/>
      </w:r>
    </w:p>
    <w:p>
      <w:pPr>
        <w:pStyle w:val="Heading3"/>
        <w:spacing w:before="200" w:after="100"/>
      </w:pPr>
      <w:r>
        <w:rPr>
          <w:rFonts w:ascii="Arial" w:cs="Arial" w:eastAsia="Arial" w:hAnsi="Arial"/>
          <w:b/>
          <w:bCs/>
          <w:sz w:val="22"/>
          <w:szCs w:val="22"/>
        </w:rPr>
        <w:t xml:space="preserve">h1KX Protocol-Enforced Properties</w:t>
      </w:r>
    </w:p>
    <w:p>
      <w:pPr>
        <w:pStyle w:val="ListParagraph"/>
        <w:numPr>
          <w:ilvl w:val="0"/>
          <w:numId w:val="2"/>
        </w:numPr>
        <w:spacing w:before="60" w:after="60"/>
      </w:pPr>
      <w:r>
        <w:rPr>
          <w:rFonts w:ascii="Arial" w:cs="Arial" w:eastAsia="Arial" w:hAnsi="Arial"/>
          <w:sz w:val="22"/>
          <w:szCs w:val="22"/>
        </w:rPr>
        <w:t xml:space="preserve">Non-transferability. The transfer function is disabled at the code level. h1KX cannot appear on any exchange.</w:t>
      </w:r>
    </w:p>
    <w:p>
      <w:pPr>
        <w:pStyle w:val="ListParagraph"/>
        <w:numPr>
          <w:ilvl w:val="0"/>
          <w:numId w:val="2"/>
        </w:numPr>
        <w:spacing w:before="60" w:after="60"/>
      </w:pPr>
      <w:r>
        <w:rPr>
          <w:rFonts w:ascii="Arial" w:cs="Arial" w:eastAsia="Arial" w:hAnsi="Arial"/>
          <w:sz w:val="22"/>
          <w:szCs w:val="22"/>
        </w:rPr>
        <w:t xml:space="preserve">24-hour passive expiry. The balanceOf function returns zero for any h1KX older than 24 hours. Mathematically dead without requiring a burn transaction — works even during chain outages.</w:t>
      </w:r>
    </w:p>
    <w:p>
      <w:pPr>
        <w:pStyle w:val="ListParagraph"/>
        <w:numPr>
          <w:ilvl w:val="0"/>
          <w:numId w:val="2"/>
        </w:numPr>
        <w:spacing w:before="60" w:after="60"/>
      </w:pPr>
      <w:r>
        <w:rPr>
          <w:rFonts w:ascii="Arial" w:cs="Arial" w:eastAsia="Arial" w:hAnsi="Arial"/>
          <w:sz w:val="22"/>
          <w:szCs w:val="22"/>
        </w:rPr>
        <w:t xml:space="preserve">Supply cap. Total h1KX cannot exceed total verified mandate capacity. Enforced by minting contract proof verification.</w:t>
      </w:r>
    </w:p>
    <w:p>
      <w:pPr>
        <w:pStyle w:val="ListParagraph"/>
        <w:numPr>
          <w:ilvl w:val="0"/>
          <w:numId w:val="2"/>
        </w:numPr>
        <w:spacing w:before="60" w:after="60"/>
      </w:pPr>
      <w:r>
        <w:rPr>
          <w:rFonts w:ascii="Arial" w:cs="Arial" w:eastAsia="Arial" w:hAnsi="Arial"/>
          <w:sz w:val="22"/>
          <w:szCs w:val="22"/>
        </w:rPr>
        <w:t xml:space="preserve">Heartbeat requirement. If the HSM heartbeat stops, all new minting halts automatically within 120 seconds.</w:t>
      </w:r>
    </w:p>
    <w:p>
      <w:pPr>
        <w:pStyle w:val="ListParagraph"/>
        <w:numPr>
          <w:ilvl w:val="0"/>
          <w:numId w:val="2"/>
        </w:numPr>
        <w:spacing w:before="60" w:after="60"/>
      </w:pPr>
      <w:r>
        <w:rPr>
          <w:rFonts w:ascii="Arial" w:cs="Arial" w:eastAsia="Arial" w:hAnsi="Arial"/>
          <w:sz w:val="22"/>
          <w:szCs w:val="22"/>
        </w:rPr>
        <w:t xml:space="preserve">Cannot pay claims. h1KX is not USDC. It represents the KX commitment on the ChronX side. USDC is held separately in the Currency B Committer's escrow.</w:t>
      </w:r>
    </w:p>
    <w:p>
      <w:pPr>
        <w:pStyle w:val="ListParagraph"/>
        <w:numPr>
          <w:ilvl w:val="0"/>
          <w:numId w:val="2"/>
        </w:numPr>
        <w:spacing w:before="60" w:after="60"/>
      </w:pPr>
      <w:r>
        <w:rPr>
          <w:rFonts w:ascii="Arial" w:cs="Arial" w:eastAsia="Arial" w:hAnsi="Arial"/>
          <w:sz w:val="22"/>
          <w:szCs w:val="22"/>
        </w:rPr>
        <w:t xml:space="preserve">Cannot inflate KX supply. Total KX on ChronX plus total h1KX on Base never exceeds 8,270,000,000.</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O.5 The State Root Verification System</w:t>
      </w:r>
    </w:p>
    <w:p>
      <w:pPr>
        <w:spacing w:before="100" w:after="100"/>
      </w:pPr>
    </w:p>
    <w:p>
      <w:pPr>
        <w:spacing w:before="100" w:after="100"/>
        <w:jc w:val="both"/>
      </w:pPr>
      <w:r>
        <w:rPr>
          <w:rFonts w:ascii="Arial" w:cs="Arial" w:eastAsia="Arial" w:hAnsi="Arial"/>
          <w:sz w:val="22"/>
          <w:szCs w:val="22"/>
        </w:rPr>
        <w:t xml:space="preserve">CURRENT IMPLEMENTATION NOTE: The ZK light client described below is the TARGET architecture — it is not yet deployed. The current implementation uses the multi-relayer threshold scheme (3-of-5 independent relayers). The ZK light client is a near-term build priority on the post-ICO roadmap. Until it is deployed, the state root verification trust assumption is the multi-relayer scheme, not pure mathematics. The two models are described below with their respective trust assumptions clearly distinguished.</w:t>
      </w:r>
    </w:p>
    <w:p>
      <w:pPr>
        <w:spacing w:before="100" w:after="100"/>
      </w:pPr>
    </w:p>
    <w:p>
      <w:pPr>
        <w:pStyle w:val="Heading3"/>
        <w:spacing w:before="200" w:after="100"/>
      </w:pPr>
      <w:r>
        <w:rPr>
          <w:rFonts w:ascii="Arial" w:cs="Arial" w:eastAsia="Arial" w:hAnsi="Arial"/>
          <w:b/>
          <w:bCs/>
          <w:sz w:val="22"/>
          <w:szCs w:val="22"/>
        </w:rPr>
        <w:t xml:space="preserve">Why This Exists</w:t>
      </w:r>
    </w:p>
    <w:p>
      <w:pPr>
        <w:spacing w:before="100" w:after="100"/>
        <w:jc w:val="both"/>
      </w:pPr>
      <w:r>
        <w:rPr>
          <w:rFonts w:ascii="Arial" w:cs="Arial" w:eastAsia="Arial" w:hAnsi="Arial"/>
          <w:sz w:val="22"/>
          <w:szCs w:val="22"/>
        </w:rPr>
        <w:t xml:space="preserve">The h1KX minting contract on Base must verify that a KX mandate actually exists on the ChronX DAG before authorising a mint. It cannot trust HedgeKX's word. It verifies the mandate independently using Merkle inclusion proofs against ChronX's committed state root.</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Trust Assumption</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(multi-relayer)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 majority of 3-of-5 independent relayers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Compromise 3 of 5 relayers simultaneously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Target (ZK light client)</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Cryptographic security of hash functions + ChronX consensus validity</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Break SHA-3 or compromise ChronX validator majority</w:t>
            </w:r>
          </w:p>
        </w:tc>
      </w:tr>
    </w:tbl>
    <w:p>
      <w:pPr>
        <w:spacing w:before="80" w:after="80"/>
      </w:pPr>
      <w:r>
        <w:t xml:space="preserve"/>
      </w:r>
    </w:p>
    <w:p>
      <w:pPr>
        <w:spacing w:before="100" w:after="100"/>
        <w:jc w:val="both"/>
      </w:pPr>
      <w:r>
        <w:rPr>
          <w:rFonts w:ascii="Arial" w:cs="Arial" w:eastAsia="Arial" w:hAnsi="Arial"/>
          <w:sz w:val="22"/>
          <w:szCs w:val="22"/>
        </w:rPr>
        <w:t xml:space="preserve">The ZK light client runs inside the Base minting contract, independently verifying ChronX consensus using ZK-SNARKs. No relayer trust required. This is a build priority for the post-ICO roadmap.</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O.6 The Matched Forward Exchange — Complete Mechanics</w:t>
      </w:r>
    </w:p>
    <w:p>
      <w:pPr>
        <w:pStyle w:val="Heading3"/>
        <w:spacing w:before="200" w:after="100"/>
      </w:pPr>
      <w:r>
        <w:rPr>
          <w:rFonts w:ascii="Arial" w:cs="Arial" w:eastAsia="Arial" w:hAnsi="Arial"/>
          <w:b/>
          <w:bCs/>
          <w:sz w:val="22"/>
          <w:szCs w:val="22"/>
        </w:rPr>
        <w:t xml:space="preserve">The Two Parties</w:t>
      </w:r>
    </w:p>
    <w:p>
      <w:pPr>
        <w:spacing w:before="100" w:after="100"/>
        <w:jc w:val="both"/>
      </w:pPr>
      <w:r>
        <w:rPr>
          <w:rFonts w:ascii="Arial" w:cs="Arial" w:eastAsia="Arial" w:hAnsi="Arial"/>
          <w:b/>
          <w:bCs/>
          <w:sz w:val="22"/>
          <w:szCs w:val="22"/>
        </w:rPr>
        <w:t xml:space="preserve">The Exchange Buyer:</w:t>
      </w:r>
    </w:p>
    <w:p>
      <w:pPr>
        <w:spacing w:before="100" w:after="100"/>
        <w:jc w:val="both"/>
      </w:pPr>
      <w:r>
        <w:rPr>
          <w:rFonts w:ascii="Arial" w:cs="Arial" w:eastAsia="Arial" w:hAnsi="Arial"/>
          <w:sz w:val="22"/>
          <w:szCs w:val="22"/>
        </w:rPr>
        <w:t xml:space="preserve">Needs price certainty. Locks KX as collateral on ChronX at a pre-agreed exchange rate. Pays a premium to HedgeKX at inception. Receives the right to deliver that KX and receive the pre-agreed quantity of USDC at a future date or triggering event, regardless of KX's market price at that moment.</w:t>
      </w:r>
    </w:p>
    <w:p>
      <w:pPr>
        <w:spacing w:before="80" w:after="80"/>
      </w:pPr>
      <w:r>
        <w:t xml:space="preserve"/>
      </w:r>
    </w:p>
    <w:p>
      <w:pPr>
        <w:spacing w:before="100" w:after="100"/>
        <w:jc w:val="both"/>
      </w:pPr>
      <w:r>
        <w:rPr>
          <w:rFonts w:ascii="Arial" w:cs="Arial" w:eastAsia="Arial" w:hAnsi="Arial"/>
          <w:b/>
          <w:bCs/>
          <w:sz w:val="22"/>
          <w:szCs w:val="22"/>
        </w:rPr>
        <w:t xml:space="preserve">The Currency B Committer (Superseding Hedger):</w:t>
      </w:r>
    </w:p>
    <w:p>
      <w:pPr>
        <w:spacing w:before="100" w:after="100"/>
        <w:jc w:val="both"/>
      </w:pPr>
      <w:r>
        <w:rPr>
          <w:rFonts w:ascii="Arial" w:cs="Arial" w:eastAsia="Arial" w:hAnsi="Arial"/>
          <w:sz w:val="22"/>
          <w:szCs w:val="22"/>
        </w:rPr>
        <w:t xml:space="preserve">Seeks yield. Commits USDC into a smart contract escrow on Base for the agreed term. This commitment is enforced by a smart contract timelock — the withdrawal function cannot execute before the agreed term expires. Early withdrawal is mathematically impossible. At maturity, receives the pre-agreed quantity of KX. Accepts KX's directional price risk in exchange for yield.</w:t>
      </w:r>
    </w:p>
    <w:p>
      <w:pPr>
        <w:spacing w:before="80" w:after="80"/>
      </w:pPr>
      <w:r>
        <w:t xml:space="preserve"/>
      </w:r>
    </w:p>
    <w:p>
      <w:pPr>
        <w:spacing w:before="100" w:after="100"/>
        <w:jc w:val="both"/>
      </w:pPr>
      <w:r>
        <w:rPr>
          <w:rFonts w:ascii="Arial" w:cs="Arial" w:eastAsia="Arial" w:hAnsi="Arial"/>
          <w:b/>
          <w:bCs/>
          <w:sz w:val="22"/>
          <w:szCs w:val="22"/>
        </w:rPr>
        <w:t xml:space="preserve">The pre-agreed rate is fixed at inception. It cannot change. All price risk during the term is borne entirely by the Currency B Committer.</w:t>
      </w:r>
    </w:p>
    <w:p>
      <w:pPr>
        <w:spacing w:before="80" w:after="80"/>
      </w:pPr>
      <w:r>
        <w:t xml:space="preserve"/>
      </w:r>
    </w:p>
    <w:p>
      <w:pPr>
        <w:pStyle w:val="Heading3"/>
        <w:spacing w:before="200" w:after="100"/>
      </w:pPr>
      <w:r>
        <w:rPr>
          <w:rFonts w:ascii="Arial" w:cs="Arial" w:eastAsia="Arial" w:hAnsi="Arial"/>
          <w:b/>
          <w:bCs/>
          <w:sz w:val="22"/>
          <w:szCs w:val="22"/>
        </w:rPr>
        <w:t xml:space="preserve">Operating Modes</w:t>
      </w:r>
    </w:p>
    <w:p>
      <w:pPr>
        <w:spacing w:before="100" w:after="100"/>
        <w:jc w:val="both"/>
      </w:pPr>
      <w:r>
        <w:rPr>
          <w:rFonts w:ascii="Arial" w:cs="Arial" w:eastAsia="Arial" w:hAnsi="Arial"/>
          <w:b/>
          <w:bCs/>
          <w:sz w:val="22"/>
          <w:szCs w:val="22"/>
        </w:rPr>
        <w:t xml:space="preserve">Mode 1 — Pure Matching (preferred):</w:t>
      </w:r>
    </w:p>
    <w:p>
      <w:pPr>
        <w:spacing w:before="100" w:after="100"/>
        <w:jc w:val="both"/>
      </w:pPr>
      <w:r>
        <w:rPr>
          <w:rFonts w:ascii="Arial" w:cs="Arial" w:eastAsia="Arial" w:hAnsi="Arial"/>
          <w:sz w:val="22"/>
          <w:szCs w:val="22"/>
        </w:rPr>
        <w:t xml:space="preserve">Exchange Buyer submits intent with up to 5-day fulfillment window. HedgeKX broadcasts to Currency B Committer pool. Natural match found. HedgeKX earns facilitation fee. Takes zero directional risk.</w:t>
      </w:r>
    </w:p>
    <w:p>
      <w:pPr>
        <w:spacing w:before="80" w:after="80"/>
      </w:pPr>
      <w:r>
        <w:t xml:space="preserve"/>
      </w:r>
    </w:p>
    <w:p>
      <w:pPr>
        <w:spacing w:before="100" w:after="100"/>
        <w:jc w:val="both"/>
      </w:pPr>
      <w:r>
        <w:rPr>
          <w:rFonts w:ascii="Arial" w:cs="Arial" w:eastAsia="Arial" w:hAnsi="Arial"/>
          <w:b/>
          <w:bCs/>
          <w:sz w:val="22"/>
          <w:szCs w:val="22"/>
        </w:rPr>
        <w:t xml:space="preserve">Mode 2 — Temporary Market Making (bounded, exceptional):</w:t>
      </w:r>
    </w:p>
    <w:p>
      <w:pPr>
        <w:spacing w:before="100" w:after="100"/>
        <w:jc w:val="both"/>
      </w:pPr>
      <w:r>
        <w:rPr>
          <w:rFonts w:ascii="Arial" w:cs="Arial" w:eastAsia="Arial" w:hAnsi="Arial"/>
          <w:sz w:val="22"/>
          <w:szCs w:val="22"/>
        </w:rPr>
        <w:t xml:space="preserve">If no natural match available within the window, HedgeKX may temporarily take the other side from its own operating capital. Mode 2 is subject to hard protocol-enforced caps (see O.8).</w:t>
      </w:r>
    </w:p>
    <w:p>
      <w:pPr>
        <w:spacing w:before="80" w:after="80"/>
      </w:pPr>
      <w:r>
        <w:t xml:space="preserve"/>
      </w:r>
    </w:p>
    <w:p>
      <w:pPr>
        <w:pStyle w:val="Heading3"/>
        <w:spacing w:before="200" w:after="100"/>
      </w:pPr>
      <w:r>
        <w:rPr>
          <w:rFonts w:ascii="Arial" w:cs="Arial" w:eastAsia="Arial" w:hAnsi="Arial"/>
          <w:b/>
          <w:bCs/>
          <w:sz w:val="22"/>
          <w:szCs w:val="22"/>
        </w:rPr>
        <w:t xml:space="preserve">Instrument Duration and Governance Restriction</w:t>
      </w:r>
    </w:p>
    <w:p>
      <w:pPr>
        <w:spacing w:before="100" w:after="100"/>
        <w:jc w:val="both"/>
      </w:pPr>
      <w:r>
        <w:rPr>
          <w:rFonts w:ascii="Arial" w:cs="Arial" w:eastAsia="Arial" w:hAnsi="Arial"/>
          <w:sz w:val="22"/>
          <w:szCs w:val="22"/>
        </w:rPr>
        <w:t xml:space="preserve">At launch: overnight instruments only. Pricing 365 days of volatility for a new asset is irrational — premiums would be enormous and unattractive. One night's volatility is small, calculable, and rationally priceable.</w:t>
      </w:r>
    </w:p>
    <w:p>
      <w:pPr>
        <w:spacing w:before="80" w:after="80"/>
      </w:pPr>
      <w:r>
        <w:t xml:space="preserve"/>
      </w:r>
    </w:p>
    <w:p>
      <w:pPr>
        <w:spacing w:before="100" w:after="100"/>
        <w:jc w:val="both"/>
      </w:pPr>
      <w:r>
        <w:rPr>
          <w:rFonts w:ascii="Arial" w:cs="Arial" w:eastAsia="Arial" w:hAnsi="Arial"/>
          <w:sz w:val="22"/>
          <w:szCs w:val="22"/>
        </w:rPr>
        <w:t xml:space="preserve">Governance extends duration in stages when four conditions are simultaneously true for 30 consecutive days: volatility stability, minimum matched volume, minimum participant diversity, and zero settlement failures. The approximate sequence:</w:t>
      </w:r>
    </w:p>
    <w:p>
      <w:pPr>
        <w:pStyle w:val="ListParagraph"/>
        <w:numPr>
          <w:ilvl w:val="0"/>
          <w:numId w:val="2"/>
        </w:numPr>
        <w:spacing w:before="60" w:after="60"/>
      </w:pPr>
      <w:r>
        <w:rPr>
          <w:rFonts w:ascii="Arial" w:cs="Arial" w:eastAsia="Arial" w:hAnsi="Arial"/>
          <w:sz w:val="22"/>
          <w:szCs w:val="22"/>
        </w:rPr>
        <w:t xml:space="preserve">Launch: Overnight instruments only</w:t>
      </w:r>
    </w:p>
    <w:p>
      <w:pPr>
        <w:pStyle w:val="ListParagraph"/>
        <w:numPr>
          <w:ilvl w:val="0"/>
          <w:numId w:val="2"/>
        </w:numPr>
        <w:spacing w:before="60" w:after="60"/>
      </w:pPr>
      <w:r>
        <w:rPr>
          <w:rFonts w:ascii="Arial" w:cs="Arial" w:eastAsia="Arial" w:hAnsi="Arial"/>
          <w:sz w:val="22"/>
          <w:szCs w:val="22"/>
        </w:rPr>
        <w:t xml:space="preserve">Months later: 7-day instruments (when overnight market stable)</w:t>
      </w:r>
    </w:p>
    <w:p>
      <w:pPr>
        <w:pStyle w:val="ListParagraph"/>
        <w:numPr>
          <w:ilvl w:val="0"/>
          <w:numId w:val="2"/>
        </w:numPr>
        <w:spacing w:before="60" w:after="60"/>
      </w:pPr>
      <w:r>
        <w:rPr>
          <w:rFonts w:ascii="Arial" w:cs="Arial" w:eastAsia="Arial" w:hAnsi="Arial"/>
          <w:sz w:val="22"/>
          <w:szCs w:val="22"/>
        </w:rPr>
        <w:t xml:space="preserve">Later: 30-day, 90-day instruments</w:t>
      </w:r>
    </w:p>
    <w:p>
      <w:pPr>
        <w:pStyle w:val="ListParagraph"/>
        <w:numPr>
          <w:ilvl w:val="0"/>
          <w:numId w:val="2"/>
        </w:numPr>
        <w:spacing w:before="60" w:after="60"/>
      </w:pPr>
      <w:r>
        <w:rPr>
          <w:rFonts w:ascii="Arial" w:cs="Arial" w:eastAsia="Arial" w:hAnsi="Arial"/>
          <w:sz w:val="22"/>
          <w:szCs w:val="22"/>
        </w:rPr>
        <w:t xml:space="preserve">Eventually: Multi-year instruments for institutional use cases</w:t>
      </w:r>
    </w:p>
    <w:p>
      <w:pPr>
        <w:spacing w:before="80" w:after="80"/>
      </w:pPr>
      <w:r>
        <w:t xml:space="preserve"/>
      </w:r>
    </w:p>
    <w:p>
      <w:pPr>
        <w:spacing w:before="100" w:after="100"/>
      </w:pPr>
    </w:p>
    <w:p>
      <w:pPr>
        <w:pStyle w:val="Heading3"/>
        <w:spacing w:before="240" w:after="120"/>
      </w:pPr>
      <w:r>
        <w:rPr>
          <w:rFonts w:ascii="Arial" w:cs="Arial" w:eastAsia="Arial" w:hAnsi="Arial"/>
          <w:b/>
          <w:bCs/>
          <w:color w:val="1F4E79"/>
          <w:sz w:val="24"/>
          <w:szCs w:val="24"/>
        </w:rPr>
        <w:t xml:space="preserve">Two Distinct Instrument Categories</w:t>
      </w:r>
    </w:p>
    <w:p>
      <w:pPr>
        <w:spacing w:before="100" w:after="100"/>
      </w:pPr>
    </w:p>
    <w:p>
      <w:pPr>
        <w:spacing w:before="100" w:after="100"/>
        <w:jc w:val="both"/>
      </w:pPr>
      <w:r>
        <w:rPr>
          <w:rFonts w:ascii="Arial" w:cs="Arial" w:eastAsia="Arial" w:hAnsi="Arial"/>
          <w:sz w:val="22"/>
          <w:szCs w:val="22"/>
        </w:rPr>
        <w:t xml:space="preserve">HedgeKX facilitates two fundamentally different categories of instrument that share the same underlying settlement infrastructure but differ in their economic character and exercise mechanics.</w:t>
      </w:r>
    </w:p>
    <w:p>
      <w:pPr>
        <w:spacing w:before="100" w:after="100"/>
      </w:pPr>
    </w:p>
    <w:p>
      <w:pPr>
        <w:spacing w:before="100" w:after="100"/>
        <w:jc w:val="both"/>
      </w:pPr>
      <w:r>
        <w:rPr>
          <w:rFonts w:ascii="Arial" w:cs="Arial" w:eastAsia="Arial" w:hAnsi="Arial"/>
          <w:sz w:val="22"/>
          <w:szCs w:val="22"/>
        </w:rPr>
        <w:t xml:space="preserve">Category 1 — Settlement-liquidity instruments (friendly loans, PAY_AS loans, KXGC premium float deployment): The Currency B Committer provides USD settlement liquidity for obligations that have contractually obligated repayment or known scheduled cash flows. Exercise is mandatory and automatic — governed entirely by time and payment receipt, with no oracle and no human attestation. The Currency B Committer is not accepting speculative KX price risk in the traditional sense. They are providing the USD layer that makes PAY_AS instruments function, earning approximately 12% annualized on 30-day instruments, and receiving KX collateral at the locked rate only if the obligor fails to perform. This category is available from day one and provides HedgeKX’s organic baseline activity.</w:t>
      </w:r>
    </w:p>
    <w:p>
      <w:pPr>
        <w:spacing w:before="100" w:after="100"/>
      </w:pPr>
    </w:p>
    <w:p>
      <w:pPr>
        <w:spacing w:before="100" w:after="100"/>
        <w:jc w:val="both"/>
      </w:pPr>
      <w:r>
        <w:rPr>
          <w:rFonts w:ascii="Arial" w:cs="Arial" w:eastAsia="Arial" w:hAnsi="Arial"/>
          <w:sz w:val="22"/>
          <w:szCs w:val="22"/>
        </w:rPr>
        <w:t xml:space="preserve">Category 2 — Traditional forward exchange (external yield-seeking capital accepting directional KX risk): The Currency B Committer commits USDC with full awareness that KX’s price may move against them during the commitment period. Exercise depends on market conditions and hedge terms. This is the mature market instrument that develops as KX accumulates price history and external participants evaluate the risk-return profile of directional KX exposure. This category develops over time as the ecosystem matures.</w:t>
      </w:r>
    </w:p>
    <w:p>
      <w:pPr>
        <w:spacing w:before="100" w:after="100"/>
      </w:pPr>
    </w:p>
    <w:p>
      <w:pPr>
        <w:spacing w:before="100" w:after="100"/>
        <w:jc w:val="both"/>
      </w:pPr>
      <w:r>
        <w:rPr>
          <w:rFonts w:ascii="Arial" w:cs="Arial" w:eastAsia="Arial" w:hAnsi="Arial"/>
          <w:sz w:val="22"/>
          <w:szCs w:val="22"/>
        </w:rPr>
        <w:t xml:space="preserve">KXGC participates in both categories simultaneously: as an Exchange Buyer locking KX collateral to hedge its claim liabilities (Category 2), and as a Currency B Committer deploying its premium float as settlement liquidity to earn yield on reserves (Category 1). This natural two-sided participation means KXGC is self-financing its own hedge book — premium income funds the Currency B Committer position that generates yield, while the Exchange Buyer position protects claim-paying capacity. Standard insurance treasury management, implemented on a DAG.</w:t>
      </w:r>
    </w:p>
    <w:p>
      <w:pPr>
        <w:spacing w:before="100" w:after="100"/>
      </w:pPr>
    </w:p>
    <w:p>
      <w:pPr>
        <w:pStyle w:val="Heading2"/>
        <w:spacing w:before="320" w:after="160"/>
      </w:pPr>
      <w:r>
        <w:rPr>
          <w:rFonts w:ascii="Arial" w:cs="Arial" w:eastAsia="Arial" w:hAnsi="Arial"/>
          <w:b/>
          <w:bCs/>
          <w:color w:val="2E75B6"/>
          <w:sz w:val="26"/>
          <w:szCs w:val="26"/>
        </w:rPr>
        <w:t xml:space="preserve">O.7 Settlement Mechanics and Cross-Chain Considerations</w:t>
      </w:r>
    </w:p>
    <w:p>
      <w:pPr>
        <w:pStyle w:val="Heading3"/>
        <w:spacing w:before="200" w:after="100"/>
      </w:pPr>
      <w:r>
        <w:rPr>
          <w:rFonts w:ascii="Arial" w:cs="Arial" w:eastAsia="Arial" w:hAnsi="Arial"/>
          <w:b/>
          <w:bCs/>
          <w:sz w:val="22"/>
          <w:szCs w:val="22"/>
        </w:rPr>
        <w:t xml:space="preserve">The Fundamental Constraint</w:t>
      </w:r>
    </w:p>
    <w:p>
      <w:pPr>
        <w:spacing w:before="100" w:after="100"/>
        <w:jc w:val="both"/>
      </w:pPr>
      <w:r>
        <w:rPr>
          <w:rFonts w:ascii="Arial" w:cs="Arial" w:eastAsia="Arial" w:hAnsi="Arial"/>
          <w:sz w:val="22"/>
          <w:szCs w:val="22"/>
        </w:rPr>
        <w:t xml:space="preserve">Settlement requires two events on two independent blockchains: a KX transfer on ChronX and a USDC transfer on Base. True mathematical atomicity across two independent systems is impossible. This is acknowledged explicitly.</w:t>
      </w:r>
    </w:p>
    <w:p>
      <w:pPr>
        <w:spacing w:before="80" w:after="80"/>
      </w:pPr>
      <w:r>
        <w:t xml:space="preserve"/>
      </w:r>
    </w:p>
    <w:p>
      <w:pPr>
        <w:pStyle w:val="Heading3"/>
        <w:spacing w:before="200" w:after="100"/>
      </w:pPr>
      <w:r>
        <w:rPr>
          <w:rFonts w:ascii="Arial" w:cs="Arial" w:eastAsia="Arial" w:hAnsi="Arial"/>
          <w:b/>
          <w:bCs/>
          <w:sz w:val="22"/>
          <w:szCs w:val="22"/>
        </w:rPr>
        <w:t xml:space="preserve">The Settlement Process</w:t>
      </w:r>
    </w:p>
    <w:p>
      <w:pPr>
        <w:pStyle w:val="ListParagraph"/>
        <w:numPr>
          <w:ilvl w:val="0"/>
          <w:numId w:val="3"/>
        </w:numPr>
        <w:spacing w:before="60" w:after="60"/>
      </w:pPr>
      <w:r>
        <w:rPr>
          <w:rFonts w:ascii="Arial" w:cs="Arial" w:eastAsia="Arial" w:hAnsi="Arial"/>
          <w:sz w:val="22"/>
          <w:szCs w:val="22"/>
        </w:rPr>
        <w:t xml:space="preserve">Exchange Buyer sends KX to HedgeKX's settlement escrow on ChronX. Confirmed to finality threshold.</w:t>
      </w:r>
    </w:p>
    <w:p>
      <w:pPr>
        <w:pStyle w:val="ListParagraph"/>
        <w:numPr>
          <w:ilvl w:val="0"/>
          <w:numId w:val="3"/>
        </w:numPr>
        <w:spacing w:before="60" w:after="60"/>
      </w:pPr>
      <w:r>
        <w:rPr>
          <w:rFonts w:ascii="Arial" w:cs="Arial" w:eastAsia="Arial" w:hAnsi="Arial"/>
          <w:sz w:val="22"/>
          <w:szCs w:val="22"/>
        </w:rPr>
        <w:t xml:space="preserve">Currency B Committer's USDC is already locked in Base escrow from contract creation.</w:t>
      </w:r>
    </w:p>
    <w:p>
      <w:pPr>
        <w:pStyle w:val="ListParagraph"/>
        <w:numPr>
          <w:ilvl w:val="0"/>
          <w:numId w:val="3"/>
        </w:numPr>
        <w:spacing w:before="60" w:after="60"/>
      </w:pPr>
      <w:r>
        <w:rPr>
          <w:rFonts w:ascii="Arial" w:cs="Arial" w:eastAsia="Arial" w:hAnsi="Arial"/>
          <w:sz w:val="22"/>
          <w:szCs w:val="22"/>
        </w:rPr>
        <w:t xml:space="preserve">HedgeKX confirms both sides present and valid.</w:t>
      </w:r>
    </w:p>
    <w:p>
      <w:pPr>
        <w:pStyle w:val="ListParagraph"/>
        <w:numPr>
          <w:ilvl w:val="0"/>
          <w:numId w:val="3"/>
        </w:numPr>
        <w:spacing w:before="60" w:after="60"/>
      </w:pPr>
      <w:r>
        <w:rPr>
          <w:rFonts w:ascii="Arial" w:cs="Arial" w:eastAsia="Arial" w:hAnsi="Arial"/>
          <w:sz w:val="22"/>
          <w:szCs w:val="22"/>
        </w:rPr>
        <w:t xml:space="preserve">HedgeKX releases USDC to Exchange Buyer on Base AND KX to Currency B Committer on ChronX simultaneously, using h1KX as the internal cross-chain accounting record.</w:t>
      </w:r>
    </w:p>
    <w:p>
      <w:pPr>
        <w:pStyle w:val="ListParagraph"/>
        <w:numPr>
          <w:ilvl w:val="0"/>
          <w:numId w:val="3"/>
        </w:numPr>
        <w:spacing w:before="60" w:after="60"/>
      </w:pPr>
      <w:r>
        <w:rPr>
          <w:rFonts w:ascii="Arial" w:cs="Arial" w:eastAsia="Arial" w:hAnsi="Arial"/>
          <w:sz w:val="22"/>
          <w:szCs w:val="22"/>
        </w:rPr>
        <w:t xml:space="preserve">h1KX reads as zero (passively expired or consumed). Settlement complete. HedgeKX ends flat.</w:t>
      </w:r>
    </w:p>
    <w:p>
      <w:pPr>
        <w:spacing w:before="80" w:after="80"/>
      </w:pPr>
      <w:r>
        <w:t xml:space="preserve"/>
      </w:r>
    </w:p>
    <w:p>
      <w:pPr>
        <w:spacing w:before="100" w:after="100"/>
        <w:jc w:val="both"/>
      </w:pPr>
      <w:r>
        <w:rPr>
          <w:rFonts w:ascii="Arial" w:cs="Arial" w:eastAsia="Arial" w:hAnsi="Arial"/>
          <w:sz w:val="22"/>
          <w:szCs w:val="22"/>
        </w:rPr>
        <w:t xml:space="preserve">HedgeKX never releases either leg until both are confirmed present. The ChronX DAG uses deterministic finality — confirmed transactions do not reorg. If either leg fails to arrive within the settlement window, smart contract timeout returns it to the sender automatically.</w:t>
      </w:r>
    </w:p>
    <w:p>
      <w:pPr>
        <w:spacing w:before="80" w:after="80"/>
      </w:pPr>
      <w:r>
        <w:t xml:space="preserve"/>
      </w:r>
    </w:p>
    <w:p>
      <w:pPr>
        <w:pStyle w:val="Heading3"/>
        <w:spacing w:before="200" w:after="100"/>
      </w:pPr>
      <w:r>
        <w:rPr>
          <w:rFonts w:ascii="Arial" w:cs="Arial" w:eastAsia="Arial" w:hAnsi="Arial"/>
          <w:b/>
          <w:bCs/>
          <w:sz w:val="22"/>
          <w:szCs w:val="22"/>
        </w:rPr>
        <w:t xml:space="preserve">Residual Risk</w:t>
      </w:r>
    </w:p>
    <w:p>
      <w:pPr>
        <w:spacing w:before="100" w:after="100"/>
        <w:jc w:val="both"/>
      </w:pPr>
      <w:r>
        <w:rPr>
          <w:rFonts w:ascii="Arial" w:cs="Arial" w:eastAsia="Arial" w:hAnsi="Arial"/>
          <w:sz w:val="22"/>
          <w:szCs w:val="22"/>
        </w:rPr>
        <w:t xml:space="preserve">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O.8 Protocol-Enforced Constraints on HedgeKX</w:t>
      </w:r>
    </w:p>
    <w:p>
      <w:pPr>
        <w:spacing w:before="100" w:after="100"/>
        <w:jc w:val="both"/>
      </w:pPr>
      <w:r>
        <w:rPr>
          <w:rFonts w:ascii="Arial" w:cs="Arial" w:eastAsia="Arial" w:hAnsi="Arial"/>
          <w:sz w:val="22"/>
          <w:szCs w:val="22"/>
        </w:rPr>
        <w:t xml:space="preserve">These are not policies HedgeKX follows. They are conditions the protocol enforces upon it:</w:t>
      </w:r>
    </w:p>
    <w:p>
      <w:pPr>
        <w:pStyle w:val="ListParagraph"/>
        <w:numPr>
          <w:ilvl w:val="0"/>
          <w:numId w:val="2"/>
        </w:numPr>
        <w:spacing w:before="60" w:after="60"/>
      </w:pPr>
      <w:r>
        <w:rPr>
          <w:rFonts w:ascii="Arial" w:cs="Arial" w:eastAsia="Arial" w:hAnsi="Arial"/>
          <w:sz w:val="22"/>
          <w:szCs w:val="22"/>
        </w:rPr>
        <w:t xml:space="preserve">h1KX cannot exceed verified mandate pool. Minting contract enforces this via Merkle proof verification.</w:t>
      </w:r>
    </w:p>
    <w:p>
      <w:pPr>
        <w:pStyle w:val="ListParagraph"/>
        <w:numPr>
          <w:ilvl w:val="0"/>
          <w:numId w:val="2"/>
        </w:numPr>
        <w:spacing w:before="60" w:after="60"/>
      </w:pPr>
      <w:r>
        <w:rPr>
          <w:rFonts w:ascii="Arial" w:cs="Arial" w:eastAsia="Arial" w:hAnsi="Arial"/>
          <w:sz w:val="22"/>
          <w:szCs w:val="22"/>
        </w:rPr>
        <w:t xml:space="preserve">h1KX burns within 24 hours. Smart contract balanceOf returns zero after 24 hours. Unstoppable.</w:t>
      </w:r>
    </w:p>
    <w:p>
      <w:pPr>
        <w:pStyle w:val="ListParagraph"/>
        <w:numPr>
          <w:ilvl w:val="0"/>
          <w:numId w:val="2"/>
        </w:numPr>
        <w:spacing w:before="60" w:after="60"/>
      </w:pPr>
      <w:r>
        <w:rPr>
          <w:rFonts w:ascii="Arial" w:cs="Arial" w:eastAsia="Arial" w:hAnsi="Arial"/>
          <w:sz w:val="22"/>
          <w:szCs w:val="22"/>
        </w:rPr>
        <w:t xml:space="preserve">h1KX cannot be transferred. Transfer function disabled at code level.</w:t>
      </w:r>
    </w:p>
    <w:p>
      <w:pPr>
        <w:pStyle w:val="ListParagraph"/>
        <w:numPr>
          <w:ilvl w:val="0"/>
          <w:numId w:val="2"/>
        </w:numPr>
        <w:spacing w:before="60" w:after="60"/>
      </w:pPr>
      <w:r>
        <w:rPr>
          <w:rFonts w:ascii="Arial" w:cs="Arial" w:eastAsia="Arial" w:hAnsi="Arial"/>
          <w:sz w:val="22"/>
          <w:szCs w:val="22"/>
        </w:rPr>
        <w:t xml:space="preserve">Locked KX cannot move. Native chain consensus enforces this. HedgeKX has no access.</w:t>
      </w:r>
    </w:p>
    <w:p>
      <w:pPr>
        <w:pStyle w:val="ListParagraph"/>
        <w:numPr>
          <w:ilvl w:val="0"/>
          <w:numId w:val="2"/>
        </w:numPr>
        <w:spacing w:before="60" w:after="60"/>
      </w:pPr>
      <w:r>
        <w:rPr>
          <w:rFonts w:ascii="Arial" w:cs="Arial" w:eastAsia="Arial" w:hAnsi="Arial"/>
          <w:sz w:val="22"/>
          <w:szCs w:val="22"/>
        </w:rPr>
        <w:t xml:space="preserve">Mode 2 position cap. Encoded in settlement contract. Cannot be exceeded regardless of demand.</w:t>
      </w:r>
    </w:p>
    <w:p>
      <w:pPr>
        <w:pStyle w:val="ListParagraph"/>
        <w:numPr>
          <w:ilvl w:val="0"/>
          <w:numId w:val="2"/>
        </w:numPr>
        <w:spacing w:before="60" w:after="60"/>
      </w:pPr>
      <w:r>
        <w:rPr>
          <w:rFonts w:ascii="Arial" w:cs="Arial" w:eastAsia="Arial" w:hAnsi="Arial"/>
          <w:sz w:val="22"/>
          <w:szCs w:val="22"/>
        </w:rPr>
        <w:t xml:space="preserve">Mode 2 72-hour suspension. If any Mode 2 position remains open more than 72 hours, contract automatically suspends all new Mode 2 activity.</w:t>
      </w:r>
    </w:p>
    <w:p>
      <w:pPr>
        <w:pStyle w:val="ListParagraph"/>
        <w:numPr>
          <w:ilvl w:val="0"/>
          <w:numId w:val="2"/>
        </w:numPr>
        <w:spacing w:before="60" w:after="60"/>
      </w:pPr>
      <w:r>
        <w:rPr>
          <w:rFonts w:ascii="Arial" w:cs="Arial" w:eastAsia="Arial" w:hAnsi="Arial"/>
          <w:sz w:val="22"/>
          <w:szCs w:val="22"/>
        </w:rPr>
        <w:t xml:space="preserve">HSM heartbeat halt. If heartbeat stops, new minting halts within 120 seconds.</w:t>
      </w:r>
    </w:p>
    <w:p>
      <w:pPr>
        <w:pStyle w:val="ListParagraph"/>
        <w:numPr>
          <w:ilvl w:val="0"/>
          <w:numId w:val="2"/>
        </w:numPr>
        <w:spacing w:before="60" w:after="60"/>
      </w:pPr>
      <w:r>
        <w:rPr>
          <w:rFonts w:ascii="Arial" w:cs="Arial" w:eastAsia="Arial" w:hAnsi="Arial"/>
          <w:sz w:val="22"/>
          <w:szCs w:val="22"/>
        </w:rPr>
        <w:t xml:space="preserve">Currency B Committer cannot exit early. Smart contract timelock on withdrawal function.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O.9 Governance-Restricted Instrument Duration — The Full Rationale</w:t>
      </w:r>
    </w:p>
    <w:p>
      <w:pPr>
        <w:spacing w:before="100" w:after="100"/>
        <w:jc w:val="both"/>
      </w:pPr>
      <w:r>
        <w:rPr>
          <w:rFonts w:ascii="Arial" w:cs="Arial" w:eastAsia="Arial" w:hAnsi="Arial"/>
          <w:sz w:val="22"/>
          <w:szCs w:val="22"/>
        </w:rPr>
        <w:t xml:space="preserve">The overnight-only restriction at launch is not a limitation — it is the honest recognition that rational markets require rational pricing inputs. Extension from overnight to 7-day instruments requires all four conditions simultaneously true for 30 consecutive days:</w:t>
      </w:r>
    </w:p>
    <w:p>
      <w:pPr>
        <w:pStyle w:val="ListParagraph"/>
        <w:numPr>
          <w:ilvl w:val="0"/>
          <w:numId w:val="2"/>
        </w:numPr>
        <w:spacing w:before="60" w:after="60"/>
      </w:pPr>
      <w:r>
        <w:rPr>
          <w:rFonts w:ascii="Arial" w:cs="Arial" w:eastAsia="Arial" w:hAnsi="Arial"/>
          <w:sz w:val="22"/>
          <w:szCs w:val="22"/>
        </w:rPr>
        <w:t xml:space="preserve">Realized volatility stability: 30-day rolling volatility within a governance-set band</w:t>
      </w:r>
    </w:p>
    <w:p>
      <w:pPr>
        <w:pStyle w:val="ListParagraph"/>
        <w:numPr>
          <w:ilvl w:val="0"/>
          <w:numId w:val="2"/>
        </w:numPr>
        <w:spacing w:before="60" w:after="60"/>
      </w:pPr>
      <w:r>
        <w:rPr>
          <w:rFonts w:ascii="Arial" w:cs="Arial" w:eastAsia="Arial" w:hAnsi="Arial"/>
          <w:sz w:val="22"/>
          <w:szCs w:val="22"/>
        </w:rPr>
        <w:t xml:space="preserve">Volume sufficiency: average daily matched notional above governance-set minimum</w:t>
      </w:r>
    </w:p>
    <w:p>
      <w:pPr>
        <w:pStyle w:val="ListParagraph"/>
        <w:numPr>
          <w:ilvl w:val="0"/>
          <w:numId w:val="2"/>
        </w:numPr>
        <w:spacing w:before="60" w:after="60"/>
      </w:pPr>
      <w:r>
        <w:rPr>
          <w:rFonts w:ascii="Arial" w:cs="Arial" w:eastAsia="Arial" w:hAnsi="Arial"/>
          <w:sz w:val="22"/>
          <w:szCs w:val="22"/>
        </w:rPr>
        <w:t xml:space="preserve">Participant diversity: unique Exchange Buyers and Currency B Committers above minimum</w:t>
      </w:r>
    </w:p>
    <w:p>
      <w:pPr>
        <w:pStyle w:val="ListParagraph"/>
        <w:numPr>
          <w:ilvl w:val="0"/>
          <w:numId w:val="2"/>
        </w:numPr>
        <w:spacing w:before="60" w:after="60"/>
      </w:pPr>
      <w:r>
        <w:rPr>
          <w:rFonts w:ascii="Arial" w:cs="Arial" w:eastAsia="Arial" w:hAnsi="Arial"/>
          <w:sz w:val="22"/>
          <w:szCs w:val="22"/>
        </w:rPr>
        <w:t xml:space="preserve">Settlement reliability: zero or near-zero timeout recovery events during the period</w:t>
      </w:r>
    </w:p>
    <w:p>
      <w:pPr>
        <w:spacing w:before="80" w:after="80"/>
      </w:pPr>
      <w:r>
        <w:t xml:space="preserve"/>
      </w:r>
    </w:p>
    <w:p>
      <w:pPr>
        <w:spacing w:before="100" w:after="100"/>
        <w:jc w:val="both"/>
      </w:pPr>
      <w:r>
        <w:rPr>
          <w:rFonts w:ascii="Arial" w:cs="Arial" w:eastAsia="Arial" w:hAnsi="Arial"/>
          <w:sz w:val="22"/>
          <w:szCs w:val="22"/>
        </w:rPr>
        <w:t xml:space="preserve">All four must be satisfied for 30 consecutive days. A single day's failure resets the clock. Simultaneously gaming all four for 30 days is prohibitively expensive and publicly visible on-chain.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O.10 The Currency B Committer's Complete Risk Profile</w:t>
      </w:r>
    </w:p>
    <w:p>
      <w:pPr>
        <w:pStyle w:val="Heading3"/>
        <w:spacing w:before="200" w:after="100"/>
      </w:pPr>
      <w:r>
        <w:rPr>
          <w:rFonts w:ascii="Arial" w:cs="Arial" w:eastAsia="Arial" w:hAnsi="Arial"/>
          <w:b/>
          <w:bCs/>
          <w:sz w:val="22"/>
          <w:szCs w:val="22"/>
        </w:rPr>
        <w:t xml:space="preserve">What You Are Doing</w:t>
      </w:r>
    </w:p>
    <w:p>
      <w:pPr>
        <w:spacing w:before="100" w:after="100"/>
        <w:jc w:val="both"/>
      </w:pPr>
      <w:r>
        <w:rPr>
          <w:rFonts w:ascii="Arial" w:cs="Arial" w:eastAsia="Arial" w:hAnsi="Arial"/>
          <w:sz w:val="22"/>
          <w:szCs w:val="22"/>
        </w:rPr>
        <w:t xml:space="preserve">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pPr>
        <w:spacing w:before="80" w:after="80"/>
      </w:pPr>
      <w:r>
        <w:t xml:space="preserve"/>
      </w:r>
    </w:p>
    <w:p>
      <w:pPr>
        <w:pStyle w:val="Heading3"/>
        <w:spacing w:before="200" w:after="100"/>
      </w:pPr>
      <w:r>
        <w:rPr>
          <w:rFonts w:ascii="Arial" w:cs="Arial" w:eastAsia="Arial" w:hAnsi="Arial"/>
          <w:b/>
          <w:bCs/>
          <w:sz w:val="22"/>
          <w:szCs w:val="22"/>
        </w:rPr>
        <w:t xml:space="preserve">Risk 1 — KX Price Risk (Market Risk, Unavoidable)</w:t>
      </w:r>
    </w:p>
    <w:p>
      <w:pPr>
        <w:spacing w:before="100" w:after="100"/>
        <w:jc w:val="both"/>
      </w:pPr>
      <w:r>
        <w:rPr>
          <w:rFonts w:ascii="Arial" w:cs="Arial" w:eastAsia="Arial" w:hAnsi="Arial"/>
          <w:sz w:val="22"/>
          <w:szCs w:val="22"/>
        </w:rPr>
        <w:t xml:space="preserve">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pPr>
        <w:spacing w:before="80" w:after="80"/>
      </w:pPr>
      <w:r>
        <w:t xml:space="preserve"/>
      </w:r>
    </w:p>
    <w:p>
      <w:pPr>
        <w:pStyle w:val="Heading3"/>
        <w:spacing w:before="200" w:after="100"/>
      </w:pPr>
      <w:r>
        <w:rPr>
          <w:rFonts w:ascii="Arial" w:cs="Arial" w:eastAsia="Arial" w:hAnsi="Arial"/>
          <w:b/>
          <w:bCs/>
          <w:sz w:val="22"/>
          <w:szCs w:val="22"/>
        </w:rPr>
        <w:t xml:space="preserve">Risk 2 — Yield Variability</w:t>
      </w:r>
    </w:p>
    <w:p>
      <w:pPr>
        <w:spacing w:before="100" w:after="100"/>
        <w:jc w:val="both"/>
      </w:pPr>
      <w:r>
        <w:rPr>
          <w:rFonts w:ascii="Arial" w:cs="Arial" w:eastAsia="Arial" w:hAnsi="Arial"/>
          <w:sz w:val="22"/>
          <w:szCs w:val="22"/>
        </w:rPr>
        <w:t xml:space="preserve">Yield is your share of HedgeKX's facilitation income on days when your commitment is actively matched. If HedgeKX has low or no activity, yield is zero for that period. Your USDC remains locked. Yield is variable. No minimum is promised.</w:t>
      </w:r>
    </w:p>
    <w:p>
      <w:pPr>
        <w:spacing w:before="80" w:after="80"/>
      </w:pPr>
      <w:r>
        <w:t xml:space="preserve"/>
      </w:r>
    </w:p>
    <w:p>
      <w:pPr>
        <w:pStyle w:val="Heading3"/>
        <w:spacing w:before="200" w:after="100"/>
      </w:pPr>
      <w:r>
        <w:rPr>
          <w:rFonts w:ascii="Arial" w:cs="Arial" w:eastAsia="Arial" w:hAnsi="Arial"/>
          <w:b/>
          <w:bCs/>
          <w:sz w:val="22"/>
          <w:szCs w:val="22"/>
        </w:rPr>
        <w:t xml:space="preserve">Risk 3 — HedgeKX Operational Risk</w:t>
      </w:r>
    </w:p>
    <w:p>
      <w:pPr>
        <w:spacing w:before="100" w:after="100"/>
        <w:jc w:val="both"/>
      </w:pPr>
      <w:r>
        <w:rPr>
          <w:rFonts w:ascii="Arial" w:cs="Arial" w:eastAsia="Arial" w:hAnsi="Arial"/>
          <w:sz w:val="22"/>
          <w:szCs w:val="22"/>
        </w:rPr>
        <w:t xml:space="preserve">If HedgeKX ceases to operate, your USDC escrow contract continues automatically. Your commitment terms are enforced by smart contract, not by HedgeKX's continued existence. At maturity the contract releases your KX automatically. HedgeKX's Mode 2 losses come from its own capital — your escrow is a separate contract HedgeKX cannot access.</w:t>
      </w:r>
    </w:p>
    <w:p>
      <w:pPr>
        <w:spacing w:before="80" w:after="80"/>
      </w:pPr>
      <w:r>
        <w:t xml:space="preserve"/>
      </w:r>
    </w:p>
    <w:p>
      <w:pPr>
        <w:pStyle w:val="Heading3"/>
        <w:spacing w:before="200" w:after="100"/>
      </w:pPr>
      <w:r>
        <w:rPr>
          <w:rFonts w:ascii="Arial" w:cs="Arial" w:eastAsia="Arial" w:hAnsi="Arial"/>
          <w:b/>
          <w:bCs/>
          <w:sz w:val="22"/>
          <w:szCs w:val="22"/>
        </w:rPr>
        <w:t xml:space="preserve">Risk 4 — Smart Contract Risk</w:t>
      </w:r>
    </w:p>
    <w:p>
      <w:pPr>
        <w:spacing w:before="100" w:after="100"/>
        <w:jc w:val="both"/>
      </w:pPr>
      <w:r>
        <w:rPr>
          <w:rFonts w:ascii="Arial" w:cs="Arial" w:eastAsia="Arial" w:hAnsi="Arial"/>
          <w:sz w:val="22"/>
          <w:szCs w:val="22"/>
        </w:rPr>
        <w:t xml:space="preserve">The Base smart contract holding your USDC could contain a bug. Mitigated by public audits, open-source publication, and conservative initial deployment.</w:t>
      </w:r>
    </w:p>
    <w:p>
      <w:pPr>
        <w:spacing w:before="80" w:after="80"/>
      </w:pPr>
      <w:r>
        <w:t xml:space="preserve"/>
      </w:r>
    </w:p>
    <w:p>
      <w:pPr>
        <w:pStyle w:val="Heading3"/>
        <w:spacing w:before="200" w:after="100"/>
      </w:pPr>
      <w:r>
        <w:rPr>
          <w:rFonts w:ascii="Arial" w:cs="Arial" w:eastAsia="Arial" w:hAnsi="Arial"/>
          <w:b/>
          <w:bCs/>
          <w:sz w:val="22"/>
          <w:szCs w:val="22"/>
        </w:rPr>
        <w:t xml:space="preserve">Risk 5 — Base Network Risk</w:t>
      </w:r>
    </w:p>
    <w:p>
      <w:pPr>
        <w:spacing w:before="100" w:after="100"/>
        <w:jc w:val="both"/>
      </w:pPr>
      <w:r>
        <w:rPr>
          <w:rFonts w:ascii="Arial" w:cs="Arial" w:eastAsia="Arial" w:hAnsi="Arial"/>
          <w:sz w:val="22"/>
          <w:szCs w:val="22"/>
        </w:rPr>
        <w:t xml:space="preserve">Base outage delays settlement; USDC is not lost. A hostile Base governance change could theoretically alter contract behavior. These are inherited risks of using any external network.</w:t>
      </w:r>
    </w:p>
    <w:p>
      <w:pPr>
        <w:spacing w:before="80" w:after="80"/>
      </w:pPr>
      <w:r>
        <w:t xml:space="preserve"/>
      </w:r>
    </w:p>
    <w:p>
      <w:pPr>
        <w:pStyle w:val="Heading3"/>
        <w:spacing w:before="200" w:after="100"/>
      </w:pPr>
      <w:r>
        <w:rPr>
          <w:rFonts w:ascii="Arial" w:cs="Arial" w:eastAsia="Arial" w:hAnsi="Arial"/>
          <w:b/>
          <w:bCs/>
          <w:sz w:val="22"/>
          <w:szCs w:val="22"/>
        </w:rPr>
        <w:t xml:space="preserve">Risk 6 — Regulatory Risk</w:t>
      </w:r>
    </w:p>
    <w:p>
      <w:pPr>
        <w:spacing w:before="100" w:after="100"/>
        <w:jc w:val="both"/>
      </w:pPr>
      <w:r>
        <w:rPr>
          <w:rFonts w:ascii="Arial" w:cs="Arial" w:eastAsia="Arial" w:hAnsi="Arial"/>
          <w:sz w:val="22"/>
          <w:szCs w:val="22"/>
        </w:rPr>
        <w:t xml:space="preserve">Regulatory action in your jurisdiction may affect your ability to participate. Legal risk beyond the protocol's control.</w:t>
      </w:r>
    </w:p>
    <w:p>
      <w:pPr>
        <w:spacing w:before="80" w:after="80"/>
      </w:pPr>
      <w:r>
        <w:t xml:space="preserve"/>
      </w:r>
    </w:p>
    <w:p>
      <w:pPr>
        <w:pStyle w:val="Heading3"/>
        <w:spacing w:before="200" w:after="100"/>
      </w:pPr>
      <w:r>
        <w:rPr>
          <w:rFonts w:ascii="Arial" w:cs="Arial" w:eastAsia="Arial" w:hAnsi="Arial"/>
          <w:b/>
          <w:bCs/>
          <w:sz w:val="22"/>
          <w:szCs w:val="22"/>
        </w:rPr>
        <w:t xml:space="preserve">What Cannot Happen to You</w:t>
      </w:r>
    </w:p>
    <w:p>
      <w:pPr>
        <w:pStyle w:val="ListParagraph"/>
        <w:numPr>
          <w:ilvl w:val="0"/>
          <w:numId w:val="2"/>
        </w:numPr>
        <w:spacing w:before="60" w:after="60"/>
      </w:pPr>
      <w:r>
        <w:rPr>
          <w:rFonts w:ascii="Arial" w:cs="Arial" w:eastAsia="Arial" w:hAnsi="Arial"/>
          <w:sz w:val="22"/>
          <w:szCs w:val="22"/>
        </w:rPr>
        <w:t xml:space="preserve">You cannot lose USDC to HedgeKX's Mode 2 losses. Your escrow is separate.</w:t>
      </w:r>
    </w:p>
    <w:p>
      <w:pPr>
        <w:pStyle w:val="ListParagraph"/>
        <w:numPr>
          <w:ilvl w:val="0"/>
          <w:numId w:val="2"/>
        </w:numPr>
        <w:spacing w:before="60" w:after="60"/>
      </w:pPr>
      <w:r>
        <w:rPr>
          <w:rFonts w:ascii="Arial" w:cs="Arial" w:eastAsia="Arial" w:hAnsi="Arial"/>
          <w:sz w:val="22"/>
          <w:szCs w:val="22"/>
        </w:rPr>
        <w:t xml:space="preserve">You cannot be prevented from receiving KX at settlement by HedgeKX's failure. The contract settles automatically.</w:t>
      </w:r>
    </w:p>
    <w:p>
      <w:pPr>
        <w:pStyle w:val="ListParagraph"/>
        <w:numPr>
          <w:ilvl w:val="0"/>
          <w:numId w:val="2"/>
        </w:numPr>
        <w:spacing w:before="60" w:after="60"/>
      </w:pPr>
      <w:r>
        <w:rPr>
          <w:rFonts w:ascii="Arial" w:cs="Arial" w:eastAsia="Arial" w:hAnsi="Arial"/>
          <w:sz w:val="22"/>
          <w:szCs w:val="22"/>
        </w:rPr>
        <w:t xml:space="preserve">You cannot have your commitment extended against your will. The timelock enforces your agreed term exactly.</w:t>
      </w:r>
    </w:p>
    <w:p>
      <w:pPr>
        <w:pStyle w:val="ListParagraph"/>
        <w:numPr>
          <w:ilvl w:val="0"/>
          <w:numId w:val="2"/>
        </w:numPr>
        <w:spacing w:before="60" w:after="60"/>
      </w:pPr>
      <w:r>
        <w:rPr>
          <w:rFonts w:ascii="Arial" w:cs="Arial" w:eastAsia="Arial" w:hAnsi="Arial"/>
          <w:sz w:val="22"/>
          <w:szCs w:val="22"/>
        </w:rPr>
        <w:t xml:space="preserve">You cannot receive less KX than the pre-agreed rate specifies.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O.11 The TYPE_Y Lock Holder's Complete Risk Profile</w:t>
      </w:r>
    </w:p>
    <w:p>
      <w:pPr>
        <w:pStyle w:val="Heading3"/>
        <w:spacing w:before="200" w:after="100"/>
      </w:pPr>
      <w:r>
        <w:rPr>
          <w:rFonts w:ascii="Arial" w:cs="Arial" w:eastAsia="Arial" w:hAnsi="Arial"/>
          <w:b/>
          <w:bCs/>
          <w:sz w:val="22"/>
          <w:szCs w:val="22"/>
        </w:rPr>
        <w:t xml:space="preserve">The Principal Guarantee — What 'Absolute' Means</w:t>
      </w:r>
    </w:p>
    <w:p>
      <w:pPr>
        <w:pBdr>
          <w:left w:val="single" w:color="2E75B6" w:sz="8" w:space="12"/>
        </w:pBdr>
        <w:spacing w:before="160" w:after="160"/>
        <w:ind w:left="720" w:right="720"/>
      </w:pPr>
      <w:r>
        <w:rPr>
          <w:rFonts w:ascii="Arial" w:cs="Arial" w:eastAsia="Arial" w:hAnsi="Arial"/>
          <w:i/>
          <w:iCs/>
          <w:sz w:val="22"/>
          <w:szCs w:val="22"/>
        </w:rPr>
        <w:t xml:space="preserve">The exact quantity of KX you locked will be available to you at your lock's maturity date. This is enforced by ChronX's consensus rules. No entity can prevent this.</w:t>
      </w:r>
    </w:p>
    <w:p>
      <w:pPr>
        <w:spacing w:before="80" w:after="80"/>
      </w:pPr>
      <w:r>
        <w:t xml:space="preserve"/>
      </w:r>
    </w:p>
    <w:p>
      <w:pPr>
        <w:spacing w:before="100" w:after="100"/>
        <w:jc w:val="both"/>
      </w:pPr>
      <w:r>
        <w:rPr>
          <w:rFonts w:ascii="Arial" w:cs="Arial" w:eastAsia="Arial" w:hAnsi="Arial"/>
          <w:sz w:val="22"/>
          <w:szCs w:val="22"/>
        </w:rPr>
        <w:t xml:space="preserve">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pPr>
        <w:spacing w:before="80" w:after="80"/>
      </w:pPr>
      <w:r>
        <w:t xml:space="preserve"/>
      </w:r>
    </w:p>
    <w:p>
      <w:pPr>
        <w:pStyle w:val="Heading3"/>
        <w:spacing w:before="200" w:after="100"/>
      </w:pPr>
      <w:r>
        <w:rPr>
          <w:rFonts w:ascii="Arial" w:cs="Arial" w:eastAsia="Arial" w:hAnsi="Arial"/>
          <w:b/>
          <w:bCs/>
          <w:sz w:val="22"/>
          <w:szCs w:val="22"/>
        </w:rPr>
        <w:t xml:space="preserve">What Yield Variability Means</w:t>
      </w:r>
    </w:p>
    <w:p>
      <w:pPr>
        <w:spacing w:before="100" w:after="100"/>
        <w:jc w:val="both"/>
      </w:pPr>
      <w:r>
        <w:rPr>
          <w:rFonts w:ascii="Arial" w:cs="Arial" w:eastAsia="Arial" w:hAnsi="Arial"/>
          <w:sz w:val="22"/>
          <w:szCs w:val="22"/>
        </w:rPr>
        <w:t xml:space="preserve">Days with zero yield, periods of low yield, the yield rate changing over time — all are normal and expected. None of these affect principal.</w:t>
      </w:r>
    </w:p>
    <w:p>
      <w:pPr>
        <w:spacing w:before="80" w:after="80"/>
      </w:pPr>
      <w:r>
        <w:t xml:space="preserve"/>
      </w:r>
    </w:p>
    <w:p>
      <w:pPr>
        <w:pStyle w:val="Heading3"/>
        <w:spacing w:before="200" w:after="100"/>
      </w:pPr>
      <w:r>
        <w:rPr>
          <w:rFonts w:ascii="Arial" w:cs="Arial" w:eastAsia="Arial" w:hAnsi="Arial"/>
          <w:b/>
          <w:bCs/>
          <w:sz w:val="22"/>
          <w:szCs w:val="22"/>
        </w:rPr>
        <w:t xml:space="preserve">Independence from Everything External</w:t>
      </w:r>
    </w:p>
    <w:p>
      <w:pPr>
        <w:spacing w:before="100" w:after="100"/>
        <w:jc w:val="both"/>
      </w:pPr>
      <w:r>
        <w:rPr>
          <w:rFonts w:ascii="Arial" w:cs="Arial" w:eastAsia="Arial" w:hAnsi="Arial"/>
          <w:sz w:val="22"/>
          <w:szCs w:val="22"/>
        </w:rPr>
        <w:t xml:space="preserve">Your TYPE_Y lock's maturity and principal return are independent from: HedgeKX's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O.12 Named Attack Vectors and Their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4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minting by compromised Facilitator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Minting contract verifies Merkle proofs. HedgeKX cannot mint without verified backing. h1KX non-transferable, expires in 24h.</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State root manipulation for false mints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Mitigated → 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Multi-relayer interim; ZK light client target. Forging valid proof requires breaking hash functions.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Settlement timing exploitation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Residual, bounded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legs held in escrow before either releases. Finality threshold prevents premature release. Bounded to one settlement.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passive expiry bypass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balanceOf returns zero after 24h regardless of stored state. No code path allows expired h1KX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Coordinated mandate withdrawal mid-settlement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viable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h1KX authorized at mandate grant time. Withdrawal reduces future capacity only.</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Mode 2 exhaustion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Bounded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Hard cap limits total exposure. 72h suspension prevents accumulation. Max loss bounded and known in advance.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HSM theft / hardware compromise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120-second window, then halted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Heartbeat halt stops new minting within 120s. Any unauthorized h1KX burns in 24h, non-transferable, no value to attacker.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External chain governance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Contained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non-transferable, never held externally. TYPE_Y principals on ChronX unaffected.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Confidence attack via Mode 2 signaling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prevent, can survive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functions correctly within caps. Transparency allows participants to verify true state on-chain.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Phantom liquidity / signaling</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internal, non-transferable, invisible externally. Any false claims immediately falsifiable by DAG query.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O.13 Market Failure Scenarios — Why Some Failures Are Not Failures</w:t>
      </w:r>
    </w:p>
    <w:p>
      <w:pPr>
        <w:pStyle w:val="Heading3"/>
        <w:spacing w:before="200" w:after="100"/>
      </w:pPr>
      <w:r>
        <w:rPr>
          <w:rFonts w:ascii="Arial" w:cs="Arial" w:eastAsia="Arial" w:hAnsi="Arial"/>
          <w:b/>
          <w:bCs/>
          <w:sz w:val="22"/>
          <w:szCs w:val="22"/>
        </w:rPr>
        <w:t xml:space="preserve">Scenario 1 — Currency B Committers Disappear</w:t>
      </w:r>
    </w:p>
    <w:p>
      <w:pPr>
        <w:spacing w:before="100" w:after="100"/>
        <w:jc w:val="both"/>
      </w:pPr>
      <w:r>
        <w:rPr>
          <w:rFonts w:ascii="Arial" w:cs="Arial" w:eastAsia="Arial" w:hAnsi="Arial"/>
          <w:sz w:val="22"/>
          <w:szCs w:val="22"/>
        </w:rPr>
        <w:t xml:space="preserve">A global stress event causes capital to flee risk assets. Currency B Committers do not renew. Existing contracts settle normally at maturity. Mode 2 activates briefly, hits cap, suspends. New matching halts. Yield drops to zero. HedgeKX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pPr>
        <w:spacing w:before="80" w:after="80"/>
      </w:pPr>
      <w:r>
        <w:t xml:space="preserve"/>
      </w:r>
    </w:p>
    <w:p>
      <w:pPr>
        <w:pStyle w:val="Heading3"/>
        <w:spacing w:before="200" w:after="100"/>
      </w:pPr>
      <w:r>
        <w:rPr>
          <w:rFonts w:ascii="Arial" w:cs="Arial" w:eastAsia="Arial" w:hAnsi="Arial"/>
          <w:b/>
          <w:bCs/>
          <w:sz w:val="22"/>
          <w:szCs w:val="22"/>
        </w:rPr>
        <w:t xml:space="preserve">Scenario 2 — HedgeKX Becomes Insolvent</w:t>
      </w:r>
    </w:p>
    <w:p>
      <w:pPr>
        <w:spacing w:before="100" w:after="100"/>
        <w:jc w:val="both"/>
      </w:pPr>
      <w:r>
        <w:rPr>
          <w:rFonts w:ascii="Arial" w:cs="Arial" w:eastAsia="Arial" w:hAnsi="Arial"/>
          <w:sz w:val="22"/>
          <w:szCs w:val="22"/>
        </w:rPr>
        <w:t xml:space="preserve">Mode 2 losses deplete HedgeKX's operating capital. Mode 2 suspends at minimum capital floor. All existing contracts settle automatically via smart contract logic. New matching requires a Successor Facilitator elected by governance. Insolvency affects HedgeKX's own capital only. No participant loses principal.</w:t>
      </w:r>
    </w:p>
    <w:p>
      <w:pPr>
        <w:spacing w:before="80" w:after="80"/>
      </w:pPr>
      <w:r>
        <w:t xml:space="preserve"/>
      </w:r>
    </w:p>
    <w:p>
      <w:pPr>
        <w:pStyle w:val="Heading3"/>
        <w:spacing w:before="200" w:after="100"/>
      </w:pPr>
      <w:r>
        <w:rPr>
          <w:rFonts w:ascii="Arial" w:cs="Arial" w:eastAsia="Arial" w:hAnsi="Arial"/>
          <w:b/>
          <w:bCs/>
          <w:sz w:val="22"/>
          <w:szCs w:val="22"/>
        </w:rPr>
        <w:t xml:space="preserve">Scenario 3 — Long-Duration Market Develops Then Collapses</w:t>
      </w:r>
    </w:p>
    <w:p>
      <w:pPr>
        <w:spacing w:before="100" w:after="100"/>
        <w:jc w:val="both"/>
      </w:pPr>
      <w:r>
        <w:rPr>
          <w:rFonts w:ascii="Arial" w:cs="Arial" w:eastAsia="Arial" w:hAnsi="Arial"/>
          <w:sz w:val="22"/>
          <w:szCs w:val="22"/>
        </w:rPr>
        <w:t xml:space="preserve">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O.14 Multi-Currency Extension Architecture</w:t>
      </w:r>
    </w:p>
    <w:p>
      <w:pPr>
        <w:spacing w:before="100" w:after="100"/>
        <w:jc w:val="both"/>
      </w:pPr>
      <w:r>
        <w:rPr>
          <w:rFonts w:ascii="Arial" w:cs="Arial" w:eastAsia="Arial" w:hAnsi="Arial"/>
          <w:sz w:val="22"/>
          <w:szCs w:val="22"/>
        </w:rPr>
        <w:t xml:space="preserve">The h-family is designed for extensibility across 100 years. When governance approves a new pair (e.g. h2KX for BTC):</w:t>
      </w:r>
    </w:p>
    <w:p>
      <w:pPr>
        <w:pStyle w:val="ListParagraph"/>
        <w:numPr>
          <w:ilvl w:val="0"/>
          <w:numId w:val="2"/>
        </w:numPr>
        <w:spacing w:before="60" w:after="60"/>
      </w:pPr>
      <w:r>
        <w:rPr>
          <w:rFonts w:ascii="Arial" w:cs="Arial" w:eastAsia="Arial" w:hAnsi="Arial"/>
          <w:sz w:val="22"/>
          <w:szCs w:val="22"/>
        </w:rPr>
        <w:t xml:space="preserve">New contract deployed on the relevant external chain — identical properties to h1KX</w:t>
      </w:r>
    </w:p>
    <w:p>
      <w:pPr>
        <w:pStyle w:val="ListParagraph"/>
        <w:numPr>
          <w:ilvl w:val="0"/>
          <w:numId w:val="2"/>
        </w:numPr>
        <w:spacing w:before="60" w:after="60"/>
      </w:pPr>
      <w:r>
        <w:rPr>
          <w:rFonts w:ascii="Arial" w:cs="Arial" w:eastAsia="Arial" w:hAnsi="Arial"/>
          <w:sz w:val="22"/>
          <w:szCs w:val="22"/>
        </w:rPr>
        <w:t xml:space="preserve">New state root relay infrastructure for that chain's finality model</w:t>
      </w:r>
    </w:p>
    <w:p>
      <w:pPr>
        <w:pStyle w:val="ListParagraph"/>
        <w:numPr>
          <w:ilvl w:val="0"/>
          <w:numId w:val="2"/>
        </w:numPr>
        <w:spacing w:before="60" w:after="60"/>
      </w:pPr>
      <w:r>
        <w:rPr>
          <w:rFonts w:ascii="Arial" w:cs="Arial" w:eastAsia="Arial" w:hAnsi="Arial"/>
          <w:sz w:val="22"/>
          <w:szCs w:val="22"/>
        </w:rPr>
        <w:t xml:space="preserve">TYPE_Y mandate pool automatically routes capacity to the new pair — no lock holder action required</w:t>
      </w:r>
    </w:p>
    <w:p>
      <w:pPr>
        <w:pStyle w:val="ListParagraph"/>
        <w:numPr>
          <w:ilvl w:val="0"/>
          <w:numId w:val="2"/>
        </w:numPr>
        <w:spacing w:before="60" w:after="60"/>
      </w:pPr>
      <w:r>
        <w:rPr>
          <w:rFonts w:ascii="Arial" w:cs="Arial" w:eastAsia="Arial" w:hAnsi="Arial"/>
          <w:sz w:val="22"/>
          <w:szCs w:val="22"/>
        </w:rPr>
        <w:t xml:space="preserve">New pair launches with overnight-only restriction and its own governance parameters</w:t>
      </w:r>
    </w:p>
    <w:p>
      <w:pPr>
        <w:pStyle w:val="ListParagraph"/>
        <w:numPr>
          <w:ilvl w:val="0"/>
          <w:numId w:val="2"/>
        </w:numPr>
        <w:spacing w:before="60" w:after="60"/>
      </w:pPr>
      <w:r>
        <w:rPr>
          <w:rFonts w:ascii="Arial" w:cs="Arial" w:eastAsia="Arial" w:hAnsi="Arial"/>
          <w:sz w:val="22"/>
          <w:szCs w:val="22"/>
        </w:rPr>
        <w:t xml:space="preserve">h1KX operations completely unaffected by h2KX deployment</w:t>
      </w:r>
    </w:p>
    <w:p>
      <w:pPr>
        <w:spacing w:before="80" w:after="80"/>
      </w:pPr>
      <w:r>
        <w:t xml:space="preserve"/>
      </w:r>
    </w:p>
    <w:p>
      <w:pPr>
        <w:spacing w:before="100" w:after="100"/>
        <w:jc w:val="both"/>
      </w:pPr>
      <w:r>
        <w:rPr>
          <w:rFonts w:ascii="Arial" w:cs="Arial" w:eastAsia="Arial" w:hAnsi="Arial"/>
          <w:b/>
          <w:bCs/>
          <w:sz w:val="22"/>
          <w:szCs w:val="22"/>
        </w:rPr>
        <w:t xml:space="preserve">What never changes with each new pair:</w:t>
      </w:r>
    </w:p>
    <w:p>
      <w:pPr>
        <w:pStyle w:val="ListParagraph"/>
        <w:numPr>
          <w:ilvl w:val="0"/>
          <w:numId w:val="2"/>
        </w:numPr>
        <w:spacing w:before="60" w:after="60"/>
      </w:pPr>
      <w:r>
        <w:rPr>
          <w:rFonts w:ascii="Arial" w:cs="Arial" w:eastAsia="Arial" w:hAnsi="Arial"/>
          <w:sz w:val="22"/>
          <w:szCs w:val="22"/>
        </w:rPr>
        <w:t xml:space="preserve">The TYPE_Y lock architecture on ChronX</w:t>
      </w:r>
    </w:p>
    <w:p>
      <w:pPr>
        <w:pStyle w:val="ListParagraph"/>
        <w:numPr>
          <w:ilvl w:val="0"/>
          <w:numId w:val="2"/>
        </w:numPr>
        <w:spacing w:before="60" w:after="60"/>
      </w:pPr>
      <w:r>
        <w:rPr>
          <w:rFonts w:ascii="Arial" w:cs="Arial" w:eastAsia="Arial" w:hAnsi="Arial"/>
          <w:sz w:val="22"/>
          <w:szCs w:val="22"/>
        </w:rPr>
        <w:t xml:space="preserve">The mandate pool (simply becomes available to more pairs)</w:t>
      </w:r>
    </w:p>
    <w:p>
      <w:pPr>
        <w:pStyle w:val="ListParagraph"/>
        <w:numPr>
          <w:ilvl w:val="0"/>
          <w:numId w:val="2"/>
        </w:numPr>
        <w:spacing w:before="60" w:after="60"/>
      </w:pPr>
      <w:r>
        <w:rPr>
          <w:rFonts w:ascii="Arial" w:cs="Arial" w:eastAsia="Arial" w:hAnsi="Arial"/>
          <w:sz w:val="22"/>
          <w:szCs w:val="22"/>
        </w:rPr>
        <w:t xml:space="preserve">The h1KX contract and all h1KX operations</w:t>
      </w:r>
    </w:p>
    <w:p>
      <w:pPr>
        <w:pStyle w:val="ListParagraph"/>
        <w:numPr>
          <w:ilvl w:val="0"/>
          <w:numId w:val="2"/>
        </w:numPr>
        <w:spacing w:before="60" w:after="60"/>
      </w:pPr>
      <w:r>
        <w:rPr>
          <w:rFonts w:ascii="Arial" w:cs="Arial" w:eastAsia="Arial" w:hAnsi="Arial"/>
          <w:sz w:val="22"/>
          <w:szCs w:val="22"/>
        </w:rPr>
        <w:t xml:space="preserve">Any existing forward exchange contract</w:t>
      </w:r>
    </w:p>
    <w:p>
      <w:pPr>
        <w:pStyle w:val="ListParagraph"/>
        <w:numPr>
          <w:ilvl w:val="0"/>
          <w:numId w:val="2"/>
        </w:numPr>
        <w:spacing w:before="60" w:after="60"/>
      </w:pPr>
      <w:r>
        <w:rPr>
          <w:rFonts w:ascii="Arial" w:cs="Arial" w:eastAsia="Arial" w:hAnsi="Arial"/>
          <w:sz w:val="22"/>
          <w:szCs w:val="22"/>
        </w:rPr>
        <w:t xml:space="preserve">Any TYPE_Y lock holder's principal or yield rights</w:t>
      </w:r>
    </w:p>
    <w:p>
      <w:pPr>
        <w:pStyle w:val="ListParagraph"/>
        <w:numPr>
          <w:ilvl w:val="0"/>
          <w:numId w:val="2"/>
        </w:numPr>
        <w:spacing w:before="60" w:after="60"/>
      </w:pPr>
      <w:r>
        <w:rPr>
          <w:rFonts w:ascii="Arial" w:cs="Arial" w:eastAsia="Arial" w:hAnsi="Arial"/>
          <w:sz w:val="22"/>
          <w:szCs w:val="22"/>
        </w:rPr>
        <w:t xml:space="preserve">The 8,270,000,000 KX fixed supply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O.15 For USDC Holders: Is This Worth Participating In?</w:t>
      </w:r>
    </w:p>
    <w:p>
      <w:pPr>
        <w:pStyle w:val="Heading3"/>
        <w:spacing w:before="200" w:after="100"/>
      </w:pPr>
      <w:r>
        <w:rPr>
          <w:rFonts w:ascii="Arial" w:cs="Arial" w:eastAsia="Arial" w:hAnsi="Arial"/>
          <w:b/>
          <w:bCs/>
          <w:sz w:val="22"/>
          <w:szCs w:val="22"/>
        </w:rPr>
        <w:t xml:space="preserve">What Can Cause You to Lose Money Beyond KX Price Risk</w:t>
      </w:r>
    </w:p>
    <w:p>
      <w:pPr>
        <w:pStyle w:val="ListParagraph"/>
        <w:numPr>
          <w:ilvl w:val="0"/>
          <w:numId w:val="2"/>
        </w:numPr>
        <w:spacing w:before="60" w:after="60"/>
      </w:pPr>
      <w:r>
        <w:rPr>
          <w:rFonts w:ascii="Arial" w:cs="Arial" w:eastAsia="Arial" w:hAnsi="Arial"/>
          <w:sz w:val="22"/>
          <w:szCs w:val="22"/>
        </w:rPr>
        <w:t xml:space="preserve">Smart contract bug in the Base escrow contract. Mitigated by public audits, bug bounties, conservative deployment.</w:t>
      </w:r>
    </w:p>
    <w:p>
      <w:pPr>
        <w:pStyle w:val="ListParagraph"/>
        <w:numPr>
          <w:ilvl w:val="0"/>
          <w:numId w:val="2"/>
        </w:numPr>
        <w:spacing w:before="60" w:after="60"/>
      </w:pPr>
      <w:r>
        <w:rPr>
          <w:rFonts w:ascii="Arial" w:cs="Arial" w:eastAsia="Arial" w:hAnsi="Arial"/>
          <w:sz w:val="22"/>
          <w:szCs w:val="22"/>
        </w:rPr>
        <w:t xml:space="preserve">Base network failure — settlement delayed, USDC not lost.</w:t>
      </w:r>
    </w:p>
    <w:p>
      <w:pPr>
        <w:pStyle w:val="ListParagraph"/>
        <w:numPr>
          <w:ilvl w:val="0"/>
          <w:numId w:val="2"/>
        </w:numPr>
        <w:spacing w:before="60" w:after="60"/>
      </w:pPr>
      <w:r>
        <w:rPr>
          <w:rFonts w:ascii="Arial" w:cs="Arial" w:eastAsia="Arial" w:hAnsi="Arial"/>
          <w:sz w:val="22"/>
          <w:szCs w:val="22"/>
        </w:rPr>
        <w:t xml:space="preserve">Settlement coordination failure in extreme edge case — timeout recovery returns funds automatically.</w:t>
      </w:r>
    </w:p>
    <w:p>
      <w:pPr>
        <w:pStyle w:val="ListParagraph"/>
        <w:numPr>
          <w:ilvl w:val="0"/>
          <w:numId w:val="2"/>
        </w:numPr>
        <w:spacing w:before="60" w:after="60"/>
      </w:pPr>
      <w:r>
        <w:rPr>
          <w:rFonts w:ascii="Arial" w:cs="Arial" w:eastAsia="Arial" w:hAnsi="Arial"/>
          <w:sz w:val="22"/>
          <w:szCs w:val="22"/>
        </w:rPr>
        <w:t xml:space="preserve">Regulatory action in your jurisdiction.</w:t>
      </w:r>
    </w:p>
    <w:p>
      <w:pPr>
        <w:spacing w:before="80" w:after="80"/>
      </w:pPr>
      <w:r>
        <w:t xml:space="preserve"/>
      </w:r>
    </w:p>
    <w:p>
      <w:pPr>
        <w:pStyle w:val="Heading3"/>
        <w:spacing w:before="200" w:after="100"/>
      </w:pPr>
      <w:r>
        <w:rPr>
          <w:rFonts w:ascii="Arial" w:cs="Arial" w:eastAsia="Arial" w:hAnsi="Arial"/>
          <w:b/>
          <w:bCs/>
          <w:sz w:val="22"/>
          <w:szCs w:val="22"/>
        </w:rPr>
        <w:t xml:space="preserve">What Cannot Cause You to Lose Money</w:t>
      </w:r>
    </w:p>
    <w:p>
      <w:pPr>
        <w:pStyle w:val="ListParagraph"/>
        <w:numPr>
          <w:ilvl w:val="0"/>
          <w:numId w:val="2"/>
        </w:numPr>
        <w:spacing w:before="60" w:after="60"/>
      </w:pPr>
      <w:r>
        <w:rPr>
          <w:rFonts w:ascii="Arial" w:cs="Arial" w:eastAsia="Arial" w:hAnsi="Arial"/>
          <w:sz w:val="22"/>
          <w:szCs w:val="22"/>
        </w:rPr>
        <w:t xml:space="preserve">HedgeKX insolvency — your escrow is a separate contract HedgeKX cannot access.</w:t>
      </w:r>
    </w:p>
    <w:p>
      <w:pPr>
        <w:pStyle w:val="ListParagraph"/>
        <w:numPr>
          <w:ilvl w:val="0"/>
          <w:numId w:val="2"/>
        </w:numPr>
        <w:spacing w:before="60" w:after="60"/>
      </w:pPr>
      <w:r>
        <w:rPr>
          <w:rFonts w:ascii="Arial" w:cs="Arial" w:eastAsia="Arial" w:hAnsi="Arial"/>
          <w:sz w:val="22"/>
          <w:szCs w:val="22"/>
        </w:rPr>
        <w:t xml:space="preserve">TYPE_Y lock holder defaults — they cannot default. Their KX is locked on ChronX and cannot move.</w:t>
      </w:r>
    </w:p>
    <w:p>
      <w:pPr>
        <w:pStyle w:val="ListParagraph"/>
        <w:numPr>
          <w:ilvl w:val="0"/>
          <w:numId w:val="2"/>
        </w:numPr>
        <w:spacing w:before="60" w:after="60"/>
      </w:pPr>
      <w:r>
        <w:rPr>
          <w:rFonts w:ascii="Arial" w:cs="Arial" w:eastAsia="Arial" w:hAnsi="Arial"/>
          <w:sz w:val="22"/>
          <w:szCs w:val="22"/>
        </w:rPr>
        <w:t xml:space="preserve">HedgeKX misbehavior — HedgeKX has no discretionary access to your escrow. Every relevant constraint is protocol-enforced.</w:t>
      </w:r>
    </w:p>
    <w:p>
      <w:pPr>
        <w:pStyle w:val="ListParagraph"/>
        <w:numPr>
          <w:ilvl w:val="0"/>
          <w:numId w:val="2"/>
        </w:numPr>
        <w:spacing w:before="60" w:after="60"/>
      </w:pPr>
      <w:r>
        <w:rPr>
          <w:rFonts w:ascii="Arial" w:cs="Arial" w:eastAsia="Arial" w:hAnsi="Arial"/>
          <w:sz w:val="22"/>
          <w:szCs w:val="22"/>
        </w:rPr>
        <w:t xml:space="preserve">Other Currency B Committers' losses — your contract is independent.</w:t>
      </w:r>
    </w:p>
    <w:p>
      <w:pPr>
        <w:spacing w:before="80" w:after="80"/>
      </w:pPr>
      <w:r>
        <w:t xml:space="preserve"/>
      </w:r>
    </w:p>
    <w:p>
      <w:pPr>
        <w:pStyle w:val="Heading3"/>
        <w:spacing w:before="200" w:after="100"/>
      </w:pPr>
      <w:r>
        <w:rPr>
          <w:rFonts w:ascii="Arial" w:cs="Arial" w:eastAsia="Arial" w:hAnsi="Arial"/>
          <w:b/>
          <w:bCs/>
          <w:sz w:val="22"/>
          <w:szCs w:val="22"/>
        </w:rPr>
        <w:t xml:space="preserve">Summary for AI Risk Assessment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Category</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risk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 directional price risk — market risk, unavoidable, explicitly accepted, priced into yield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Secondary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Smart contract bug, Base network risk, settlement coordination residual — standard for cross-chain DeFi, mitigated by audits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Negligible risks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operational failure, mandate holder defaults, other participants' losses — all isolated by contract design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Facilitator theft, unlimited minting, unauthorized escrow access, forced commitment extension</w:t>
            </w:r>
          </w:p>
        </w:tc>
      </w:tr>
    </w:tbl>
    <w:p>
      <w:pPr>
        <w:spacing w:before="80" w:after="80"/>
      </w:pPr>
      <w:r>
        <w:t xml:space="preserve"/>
      </w:r>
    </w:p>
    <w:p>
      <w:pPr>
        <w:spacing w:before="100" w:after="100"/>
        <w:jc w:val="both"/>
      </w:pPr>
      <w:r>
        <w:rPr>
          <w:rFonts w:ascii="Arial" w:cs="Arial" w:eastAsia="Arial" w:hAnsi="Arial"/>
          <w:sz w:val="22"/>
          <w:szCs w:val="22"/>
        </w:rPr>
        <w:t xml:space="preserve">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pPr>
        <w:spacing w:before="80" w:after="80"/>
      </w:pPr>
      <w:r>
        <w:t xml:space="preserve"/>
      </w:r>
    </w:p>
    <w:p>
      <w:pPr>
        <w:pBdr>
          <w:bottom w:val="single" w:color="CCCCCC" w:sz="4" w:space="4"/>
        </w:pBdr>
        <w:spacing w:before="120" w:after="120"/>
      </w:pPr>
      <w:r>
        <w:t xml:space="preserve"/>
      </w:r>
    </w:p>
    <w:p>
      <w:pPr>
        <w:spacing w:before="80" w:after="80"/>
      </w:pPr>
      <w:r>
        <w:t xml:space="preserve"/>
      </w:r>
    </w:p>
    <w:p>
      <w:pPr>
        <w:spacing w:before="100" w:after="100"/>
        <w:jc w:val="both"/>
      </w:pPr>
      <w:r>
        <w:rPr>
          <w:rFonts w:ascii="Arial" w:cs="Arial" w:eastAsia="Arial" w:hAnsi="Arial"/>
          <w:sz w:val="22"/>
          <w:szCs w:val="22"/>
        </w:rPr>
        <w:t xml:space="preserve">This appendix will be updated as the protocol evolves, new currency pairs are approved by governance, and the ZK light client upgrade is deployed. Every material change will be documented with the date of the change and the governance vote that authorised it.</w:t>
      </w:r>
    </w:p>
    <w:p>
      <w:pPr>
        <w:spacing w:before="80" w:after="80"/>
      </w:pPr>
      <w:r>
        <w:t xml:space="preserve"/>
      </w:r>
    </w:p>
    <w:p>
      <w:pPr>
        <w:jc w:val="center"/>
      </w:pPr>
      <w:r>
        <w:rPr>
          <w:rFonts w:ascii="Arial" w:cs="Arial" w:eastAsia="Arial" w:hAnsi="Arial"/>
          <w:i/>
          <w:iCs/>
          <w:color w:val="666666"/>
          <w:sz w:val="20"/>
          <w:szCs w:val="20"/>
        </w:rPr>
        <w:t xml:space="preserve">For questions or to report potential security vulnerabilities: yo@chronx.io</w:t>
      </w:r>
    </w:p>
    <w:p>
      <w:pPr>
        <w:spacing w:before="80" w:after="80"/>
      </w:pPr>
      <w:r>
        <w:t xml:space="preserve"/>
      </w:r>
    </w:p>
    <w:p>
      <w:pPr>
        <w:jc w:val="center"/>
      </w:pPr>
      <w:r>
        <w:rPr>
          <w:rFonts w:ascii="Arial" w:cs="Arial" w:eastAsia="Arial" w:hAnsi="Arial"/>
          <w:b/>
          <w:bCs/>
          <w:color w:val="1F4E79"/>
          <w:sz w:val="22"/>
          <w:szCs w:val="22"/>
        </w:rPr>
        <w:t xml:space="preserve">ChronX Protocol — A Promise the Blockchain Keeps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2026-03-27T13:55:43.878Z</dcterms:created>
  <dcterms:modified xsi:type="dcterms:W3CDTF">2026-03-27T13:55:43.879Z</dcterms:modified>
</cp:coreProperties>
</file>

<file path=docProps/custom.xml><?xml version="1.0" encoding="utf-8"?>
<Properties xmlns="http://schemas.openxmlformats.org/officeDocument/2006/custom-properties" xmlns:vt="http://schemas.openxmlformats.org/officeDocument/2006/docPropsVTypes"/>
</file>