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F4E79"/>
          <w:sz w:val="64"/>
          <w:szCs w:val="64"/>
        </w:rPr>
        <w:t xml:space="preserve">CHRONX PROTOCOL</w:t>
      </w:r>
    </w:p>
    <w:p>
      <w:pPr>
        <w:spacing w:before="0" w:after="160"/>
        <w:jc w:val="center"/>
      </w:pPr>
      <w:r>
        <w:rPr>
          <w:rFonts w:ascii="Arial" w:cs="Arial" w:eastAsia="Arial" w:hAnsi="Arial"/>
          <w:b/>
          <w:bCs/>
          <w:sz w:val="40"/>
          <w:szCs w:val="40"/>
        </w:rPr>
        <w:t xml:space="preserve">Whitepaper One</w:t>
      </w:r>
    </w:p>
    <w:p>
      <w:pPr>
        <w:spacing w:before="0" w:after="80"/>
        <w:jc w:val="center"/>
      </w:pPr>
      <w:r>
        <w:rPr>
          <w:rFonts w:ascii="Arial" w:cs="Arial" w:eastAsia="Arial" w:hAnsi="Arial"/>
          <w:i/>
          <w:iCs/>
          <w:color w:val="555555"/>
          <w:sz w:val="28"/>
          <w:szCs w:val="28"/>
        </w:rPr>
        <w:t xml:space="preserve">The Promise Protocol — Genesis Zero</w:t>
      </w:r>
    </w:p>
    <w:p>
      <w:pPr>
        <w:spacing w:before="0" w:after="320"/>
        <w:jc w:val="center"/>
      </w:pPr>
      <w:r>
        <w:rPr>
          <w:rFonts w:ascii="Arial" w:cs="Arial" w:eastAsia="Arial" w:hAnsi="Arial"/>
          <w:color w:val="888888"/>
          <w:sz w:val="22"/>
          <w:szCs w:val="22"/>
        </w:rPr>
        <w:t xml:space="preserve">Genesis Zero  ·  Post-Quantum Cryptography  ·  Zero Fees</w:t>
      </w:r>
    </w:p>
    <w:p>
      <w:pPr>
        <w:pBdr>
          <w:bottom w:val="single" w:color="CCCCCC" w:sz="4" w:space="4"/>
        </w:pBdr>
        <w:spacing w:before="120" w:after="120"/>
      </w:pPr>
      <w:r>
        <w:t xml:space="preserve"/>
      </w:r>
    </w:p>
    <w:p>
      <w:pPr>
        <w:spacing w:before="200" w:after="80"/>
        <w:jc w:val="center"/>
      </w:pPr>
      <w:r>
        <w:rPr>
          <w:rFonts w:ascii="Arial" w:cs="Arial" w:eastAsia="Arial" w:hAnsi="Arial"/>
          <w:b/>
          <w:bCs/>
          <w:sz w:val="24"/>
          <w:szCs w:val="24"/>
        </w:rPr>
        <w:t xml:space="preserve">ICO: September 22, 2026  ·  $0.00319 per KX</w:t>
      </w:r>
    </w:p>
    <w:p>
      <w:pPr>
        <w:spacing w:before="0" w:after="400"/>
        <w:jc w:val="center"/>
      </w:pPr>
      <w:r>
        <w:rPr>
          <w:rFonts w:ascii="Arial" w:cs="Arial" w:eastAsia="Arial" w:hAnsi="Arial"/>
          <w:color w:val="2E75B6"/>
          <w:sz w:val="22"/>
          <w:szCs w:val="22"/>
        </w:rPr>
        <w:t xml:space="preserve">chronx.io</w:t>
      </w:r>
    </w:p>
    <w:p>
      <w:pPr>
        <w:pBdr>
          <w:left w:val="single" w:color="2E75B6" w:sz="8" w:space="12"/>
        </w:pBdr>
        <w:spacing w:before="160" w:after="160"/>
        <w:ind w:left="720" w:right="720"/>
      </w:pPr>
      <w:r>
        <w:rPr>
          <w:rFonts w:ascii="Arial" w:cs="Arial" w:eastAsia="Arial" w:hAnsi="Arial"/>
          <w:i/>
          <w:iCs/>
          <w:sz w:val="22"/>
          <w:szCs w:val="22"/>
        </w:rPr>
        <w:t xml:space="preserve">"ChronX does not merely record that a promise was made. ChronX makes the promise inevitable."</w:t>
      </w:r>
    </w:p>
    <w:p>
      <w:pPr>
        <w:spacing w:before="80" w:after="80"/>
      </w:pPr>
      <w:r>
        <w:t xml:space="preserve"/>
      </w:r>
    </w:p>
    <w:p>
      <w:pPr>
        <w:jc w:val="center"/>
      </w:pPr>
      <w:r>
        <w:rPr>
          <w:rFonts w:ascii="Arial" w:cs="Arial" w:eastAsia="Arial" w:hAnsi="Arial"/>
          <w:color w:val="999999"/>
          <w:sz w:val="20"/>
          <w:szCs w:val="20"/>
        </w:rPr>
        <w:t xml:space="preserve">March 2026</w:t>
      </w:r>
    </w:p>
    <w:p>
      <w:r>
        <w:br w:type="page"/>
      </w:r>
    </w:p>
    <w:p>
      <w:pPr>
        <w:pStyle w:val="Heading1"/>
        <w:spacing w:before="480" w:after="240"/>
      </w:pPr>
      <w:r>
        <w:rPr>
          <w:rFonts w:ascii="Arial" w:cs="Arial" w:eastAsia="Arial" w:hAnsi="Arial"/>
          <w:b/>
          <w:bCs/>
          <w:color w:val="1F4E79"/>
          <w:sz w:val="34"/>
          <w:szCs w:val="34"/>
        </w:rPr>
        <w:t xml:space="preserve">1. Everything is a Promise</w:t>
      </w:r>
    </w:p>
    <w:p>
      <w:pPr>
        <w:spacing w:before="100" w:after="100"/>
        <w:jc w:val="both"/>
      </w:pPr>
      <w:r>
        <w:rPr>
          <w:rFonts w:ascii="Arial" w:cs="Arial" w:eastAsia="Arial" w:hAnsi="Arial"/>
          <w:sz w:val="22"/>
          <w:szCs w:val="22"/>
        </w:rPr>
        <w:t xml:space="preserve">On ChronX Protocol, everything is a promise.</w:t>
      </w:r>
    </w:p>
    <w:p>
      <w:pPr>
        <w:spacing w:before="80" w:after="80"/>
      </w:pPr>
      <w:r>
        <w:t xml:space="preserve"/>
      </w:r>
    </w:p>
    <w:p>
      <w:pPr>
        <w:spacing w:before="100" w:after="100"/>
        <w:jc w:val="both"/>
      </w:pPr>
      <w:r>
        <w:rPr>
          <w:rFonts w:ascii="Arial" w:cs="Arial" w:eastAsia="Arial" w:hAnsi="Arial"/>
          <w:sz w:val="22"/>
          <w:szCs w:val="22"/>
        </w:rPr>
        <w:t xml:space="preserve">A time-locked gift to your daughter on her eighteenth birthday: a promise. A 30-day friendly loan between friends: a promise. A 30-year mortgage: a bilateral promise between a lender and a borrower. A fire insurance policy that pays if your house burns down: a conditional promise. An AI-managed investment mandate: a delegated promise where you define the intent and the agent carries it out. A corporate bond: a promise to repay with interest.</w:t>
      </w:r>
    </w:p>
    <w:p>
      <w:pPr>
        <w:spacing w:before="80" w:after="80"/>
      </w:pPr>
      <w:r>
        <w:t xml:space="preserve"/>
      </w:r>
    </w:p>
    <w:p>
      <w:pPr>
        <w:spacing w:before="100" w:after="100"/>
        <w:jc w:val="both"/>
      </w:pPr>
      <w:r>
        <w:rPr>
          <w:rFonts w:ascii="Arial" w:cs="Arial" w:eastAsia="Arial" w:hAnsi="Arial"/>
          <w:sz w:val="22"/>
          <w:szCs w:val="22"/>
        </w:rPr>
        <w:t xml:space="preserve">One idea. Infinite applications.</w:t>
      </w:r>
    </w:p>
    <w:p>
      <w:pPr>
        <w:spacing w:before="80" w:after="80"/>
      </w:pPr>
      <w:r>
        <w:t xml:space="preserve"/>
      </w:r>
    </w:p>
    <w:p>
      <w:pPr>
        <w:spacing w:before="100" w:after="100"/>
        <w:jc w:val="both"/>
      </w:pPr>
      <w:r>
        <w:rPr>
          <w:rFonts w:ascii="Arial" w:cs="Arial" w:eastAsia="Arial" w:hAnsi="Arial"/>
          <w:sz w:val="22"/>
          <w:szCs w:val="22"/>
        </w:rPr>
        <w:t xml:space="preserve">ChronX does not try to be a payments network, a banking system, or an insurance platform. It is a promise protocol. It records promises, enforces them, and ensures the funds behind them are never lost. Everything else — loans, insurance, AI investment, secondary markets, reinsurance hierarchies — is built on top of that one idea by people who understand their own domain.</w:t>
      </w:r>
    </w:p>
    <w:p>
      <w:pPr>
        <w:spacing w:before="80" w:after="80"/>
      </w:pPr>
      <w:r>
        <w:t xml:space="preserve"/>
      </w:r>
    </w:p>
    <w:p>
      <w:pPr>
        <w:spacing w:before="100" w:after="100"/>
        <w:jc w:val="both"/>
      </w:pPr>
      <w:r>
        <w:rPr>
          <w:rFonts w:ascii="Arial" w:cs="Arial" w:eastAsia="Arial" w:hAnsi="Arial"/>
          <w:sz w:val="22"/>
          <w:szCs w:val="22"/>
        </w:rPr>
        <w:t xml:space="preserve">The protocol does not judge the wisdom of a promise. It enforces it.</w:t>
      </w:r>
    </w:p>
    <w:p>
      <w:pPr>
        <w:spacing w:before="100" w:after="100"/>
      </w:pPr>
    </w:p>
    <w:p>
      <w:pPr>
        <w:spacing w:before="100" w:after="100"/>
        <w:jc w:val="both"/>
      </w:pPr>
      <w:r>
        <w:rPr>
          <w:rFonts w:ascii="Arial" w:cs="Arial" w:eastAsia="Arial" w:hAnsi="Arial"/>
          <w:sz w:val="22"/>
          <w:szCs w:val="22"/>
        </w:rPr>
        <w:t xml:space="preserve">By default, every time-locked promise on ChronX participates in the HedgeKX yield system — earning real yield for the recipient from real economic activity, with no additional risk and no cost to the grantor. This is not a feature added on top of a promise. It is simply what a promise on ChronX does.</w:t>
      </w:r>
    </w:p>
    <w:p>
      <w:pPr>
        <w:spacing w:before="100" w:after="100"/>
      </w:pPr>
    </w:p>
    <w:p>
      <w:pPr>
        <w:spacing w:before="100" w:after="100"/>
        <w:jc w:val="both"/>
      </w:pPr>
      <w:r>
        <w:rPr>
          <w:rFonts w:ascii="Arial" w:cs="Arial" w:eastAsia="Arial" w:hAnsi="Arial"/>
          <w:sz w:val="22"/>
          <w:szCs w:val="22"/>
        </w:rPr>
        <w:t xml:space="preserve">The precise language matters here: promises on ChronX are mechanically enforced under predefined resolution rules. The protocol executes every promise exactly as recorded. For the vast majority of promises — claimed at maturity by an available recipient — this means the intended outcome is delivered with mathematical certainty. For long-duration promises where the recipient cannot be located, the Verifas resolution system and the Humanity Stake provide a defined path that ensures funds are never lost, even when delivery to the specific intended recipient is not possible after an extended period. See Section 4.2 for the complete Verifas system.</w:t>
      </w:r>
    </w:p>
    <w:p>
      <w:pPr>
        <w:spacing w:before="80" w:after="80"/>
      </w:pPr>
      <w:r>
        <w:t xml:space="preserve"/>
      </w:r>
    </w:p>
    <w:p>
      <w:pPr>
        <w:spacing w:before="100" w:after="100"/>
        <w:jc w:val="both"/>
      </w:pPr>
      <w:r>
        <w:rPr>
          <w:rFonts w:ascii="Arial" w:cs="Arial" w:eastAsia="Arial" w:hAnsi="Arial"/>
          <w:sz w:val="22"/>
          <w:szCs w:val="22"/>
        </w:rPr>
        <w:t xml:space="preserve">This whitepaper is the definitive reference for the complete ChronX Protocol as of Genesis Zero — the final, immutable genesis from which all future activity builds. Every parameter, every instrument type, every governance rule is documented here. This is the reference for developers, finance professionals, AI systems evaluating integration opportunities, and domain experts considering what to build on ChronX.</w:t>
      </w:r>
    </w:p>
    <w:p>
      <w:r>
        <w:br w:type="page"/>
      </w:r>
    </w:p>
    <w:p>
      <w:pPr>
        <w:pStyle w:val="Heading1"/>
        <w:spacing w:before="480" w:after="240"/>
      </w:pPr>
      <w:r>
        <w:rPr>
          <w:rFonts w:ascii="Arial" w:cs="Arial" w:eastAsia="Arial" w:hAnsi="Arial"/>
          <w:b/>
          <w:bCs/>
          <w:color w:val="1F4E79"/>
          <w:sz w:val="34"/>
          <w:szCs w:val="34"/>
        </w:rPr>
        <w:t xml:space="preserve">2. The DAG</w:t>
      </w:r>
    </w:p>
    <w:p>
      <w:pPr>
        <w:spacing w:before="100" w:after="100"/>
        <w:jc w:val="both"/>
      </w:pPr>
      <w:r>
        <w:rPr>
          <w:rFonts w:ascii="Arial" w:cs="Arial" w:eastAsia="Arial" w:hAnsi="Arial"/>
          <w:sz w:val="22"/>
          <w:szCs w:val="22"/>
        </w:rPr>
        <w:t xml:space="preserve">ChronX records every promise on a directed acyclic graph — a permanent ledger where every entry references what came before it. Nothing can be inserted, deleted, or altered. Not by us. Not by anyone. A promise made in 2026 is just as immutable in 2126.</w:t>
      </w:r>
    </w:p>
    <w:p>
      <w:pPr>
        <w:spacing w:before="80" w:after="80"/>
      </w:pPr>
      <w:r>
        <w:t xml:space="preserve"/>
      </w:r>
    </w:p>
    <w:p>
      <w:pPr>
        <w:spacing w:before="100" w:after="100"/>
        <w:jc w:val="both"/>
      </w:pPr>
      <w:r>
        <w:rPr>
          <w:rFonts w:ascii="Arial" w:cs="Arial" w:eastAsia="Arial" w:hAnsi="Arial"/>
          <w:sz w:val="22"/>
          <w:szCs w:val="22"/>
        </w:rPr>
        <w:t xml:space="preserve">Unlike a traditional blockchain where transactions form a single chain of blocks, a DAG allows multiple transactions to be confirmed simultaneously by referencing one or more previous transactions. Each transaction references 1–8 parent vertices, creating a web of permanent, interlocking records.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Why Free Matters</w:t>
      </w:r>
    </w:p>
    <w:p>
      <w:pPr>
        <w:spacing w:before="100" w:after="100"/>
        <w:jc w:val="both"/>
      </w:pPr>
      <w:r>
        <w:rPr>
          <w:rFonts w:ascii="Arial" w:cs="Arial" w:eastAsia="Arial" w:hAnsi="Arial"/>
          <w:sz w:val="22"/>
          <w:szCs w:val="22"/>
        </w:rPr>
        <w:t xml:space="preserve">Every transfer, every promise, every loan settlement on ChronX costs nothing. This is not a promotional offer. It is a protocol invariant, encoded at genesis and immutable forever. Transaction fees on ChronX are zero — past, present, and future.</w:t>
      </w:r>
    </w:p>
    <w:p>
      <w:pPr>
        <w:spacing w:before="80" w:after="80"/>
      </w:pPr>
      <w:r>
        <w:t xml:space="preserve"/>
      </w:r>
    </w:p>
    <w:p>
      <w:pPr>
        <w:spacing w:before="100" w:after="100"/>
        <w:jc w:val="both"/>
      </w:pPr>
      <w:r>
        <w:rPr>
          <w:rFonts w:ascii="Arial" w:cs="Arial" w:eastAsia="Arial" w:hAnsi="Arial"/>
          <w:sz w:val="22"/>
          <w:szCs w:val="22"/>
        </w:rPr>
        <w:t xml:space="preserve">This matters because a 100-year promise cannot carry an unknown future fee. The promise was specific. The delivery must match. Zero fees make this possible.</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Why Immutability Matters for Promises</w:t>
      </w:r>
    </w:p>
    <w:p>
      <w:pPr>
        <w:spacing w:before="100" w:after="100"/>
        <w:jc w:val="both"/>
      </w:pPr>
      <w:r>
        <w:rPr>
          <w:rFonts w:ascii="Arial" w:cs="Arial" w:eastAsia="Arial" w:hAnsi="Arial"/>
          <w:sz w:val="22"/>
          <w:szCs w:val="22"/>
        </w:rPr>
        <w:t xml:space="preserve">A promise is only as good as the system that enforces it. If a centralised database can be edited, the promise can be edited. ChronX's DAG is append-only. Once a promise is recorded, it exists forever. The sender cannot take it back unless they specified a cancellation window. The protocol cannot modify it. The Foundation cannot override it.</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KX: The Unit of Account</w:t>
      </w:r>
    </w:p>
    <w:p>
      <w:pPr>
        <w:spacing w:before="100" w:after="100"/>
        <w:jc w:val="both"/>
      </w:pPr>
      <w:r>
        <w:rPr>
          <w:rFonts w:ascii="Arial" w:cs="Arial" w:eastAsia="Arial" w:hAnsi="Arial"/>
          <w:sz w:val="22"/>
          <w:szCs w:val="22"/>
        </w:rPr>
        <w:t xml:space="preserve">KX is the native token of the ChronX Protocol. Total supply: 8,270,000,000 KX. Fixed forever. No inflation. No minting. No burning. One KX equals 1,000,000 Chronos. KX is a utility token — the fuel that moves promises from sender to recipient.</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Nodes and Security</w:t>
      </w:r>
    </w:p>
    <w:p>
      <w:pPr>
        <w:spacing w:before="100" w:after="100"/>
        <w:jc w:val="both"/>
      </w:pPr>
      <w:r>
        <w:rPr>
          <w:rFonts w:ascii="Arial" w:cs="Arial" w:eastAsia="Arial" w:hAnsi="Arial"/>
          <w:sz w:val="22"/>
          <w:szCs w:val="22"/>
        </w:rPr>
        <w:t xml:space="preserve">ChronX currently operates a founding node network. The protocol is designed for permissionless node participation — any operator can run a node using the open-source binary. Node operator rewards begin January 1, 2029 via the harmonic release schedule, providing a long-term economic incentive for network growth. The founding network will expand organically as the ecosystem develops toward meaningful decentralization. Every transaction is validated using SHA3-256 proof of work and CRYSTALS-Dilithium2 post-quantum digital signatures. Every wallet is quantum-resistant from day one.</w:t>
      </w:r>
    </w:p>
    <w:p>
      <w:pPr>
        <w:spacing w:before="80" w:after="80"/>
      </w:pPr>
      <w:r>
        <w:t xml:space="preserve"/>
      </w:r>
    </w:p>
    <w:p>
      <w:pPr>
        <w:spacing w:before="100" w:after="100"/>
        <w:jc w:val="both"/>
      </w:pPr>
      <w:r>
        <w:rPr>
          <w:rFonts w:ascii="Arial" w:cs="Arial" w:eastAsia="Arial" w:hAnsi="Arial"/>
          <w:sz w:val="22"/>
          <w:szCs w:val="22"/>
        </w:rPr>
        <w:t xml:space="preserve">The network is designed for anyone to run a node. Node operators will be eligible for rewards beginning January 1, 2029, distributed from a 1,000,000,000 KX allocation over 100 years via harmonic time-locks. Running a node before 2029 supports the network. Nodes communicate via libp2p peer-to-peer networking.</w:t>
      </w:r>
    </w:p>
    <w:p>
      <w:r>
        <w:br w:type="page"/>
      </w:r>
    </w:p>
    <w:p>
      <w:pPr>
        <w:pStyle w:val="Heading1"/>
        <w:spacing w:before="480" w:after="240"/>
      </w:pPr>
      <w:r>
        <w:rPr>
          <w:rFonts w:ascii="Arial" w:cs="Arial" w:eastAsia="Arial" w:hAnsi="Arial"/>
          <w:b/>
          <w:bCs/>
          <w:color w:val="1F4E79"/>
          <w:sz w:val="34"/>
          <w:szCs w:val="34"/>
        </w:rPr>
        <w:t xml:space="preserve">3. Promises in Any Currency</w:t>
      </w:r>
    </w:p>
    <w:p>
      <w:pPr>
        <w:spacing w:before="100" w:after="100"/>
        <w:jc w:val="both"/>
      </w:pPr>
      <w:r>
        <w:rPr>
          <w:rFonts w:ascii="Arial" w:cs="Arial" w:eastAsia="Arial" w:hAnsi="Arial"/>
          <w:sz w:val="22"/>
          <w:szCs w:val="22"/>
        </w:rPr>
        <w:t xml:space="preserve">KX is the reserve. Not necessarily the currency you see.</w:t>
      </w:r>
    </w:p>
    <w:p>
      <w:pPr>
        <w:spacing w:before="80" w:after="80"/>
      </w:pPr>
      <w:r>
        <w:t xml:space="preserve"/>
      </w:r>
    </w:p>
    <w:p>
      <w:pPr>
        <w:spacing w:before="100" w:after="100"/>
        <w:jc w:val="both"/>
      </w:pPr>
      <w:r>
        <w:rPr>
          <w:rFonts w:ascii="Arial" w:cs="Arial" w:eastAsia="Arial" w:hAnsi="Arial"/>
          <w:sz w:val="22"/>
          <w:szCs w:val="22"/>
        </w:rPr>
        <w:t xml:space="preserve">PAY_AS is ChronX's denomination layer. When creating any promise or loan, the sender specifies a currency denomination — USD, EUR, GBP, or any governance-approved currency. The protocol stores the obligation in KX but records the sender's intent. At execution time, the XChan exchange provides the current rate, and the protocol delivers the correct KX equivalent.</w:t>
      </w:r>
    </w:p>
    <w:p>
      <w:pPr>
        <w:spacing w:before="80" w:after="80"/>
      </w:pPr>
      <w:r>
        <w:t xml:space="preserve"/>
      </w:r>
    </w:p>
    <w:p>
      <w:pPr>
        <w:spacing w:before="100" w:after="100"/>
        <w:jc w:val="both"/>
      </w:pPr>
      <w:r>
        <w:rPr>
          <w:rFonts w:ascii="Arial" w:cs="Arial" w:eastAsia="Arial" w:hAnsi="Arial"/>
          <w:sz w:val="22"/>
          <w:szCs w:val="22"/>
        </w:rPr>
        <w:t xml:space="preserve">Governance: pay_as_max_usd = $250 per transaction. Subject to governance adjustment.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Enum Variant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KX</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FixedKX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conversion. Deliver exact KX amount locked.</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USD at Creation</w:t>
            </w:r>
          </w:p>
        </w:tc>
        <w:tc>
          <w:tcPr>
            <w:tcW w:type="dxa" w:w="3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UsdEquivalentAtCreation</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Lock KX equivalent of X USD at today's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USD at Maturity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UsdEquivalentAtMaturity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 KX equivalent of X USD at maturity rate.</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EUR at Creation</w:t>
            </w:r>
          </w:p>
        </w:tc>
        <w:tc>
          <w:tcPr>
            <w:tcW w:type="dxa" w:w="3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EurEquivalentAtCreation</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Lock KX equivalent of X EUR at today's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 at Maturity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EurEquivalentAtMaturity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 KX equivalent of X EUR at maturity rate.</w:t>
            </w:r>
          </w:p>
        </w:tc>
      </w:tr>
    </w:tbl>
    <w:p>
      <w:pPr>
        <w:spacing w:before="80" w:after="80"/>
      </w:pPr>
      <w:r>
        <w:t xml:space="preserve"/>
      </w:r>
    </w:p>
    <w:p>
      <w:pPr>
        <w:spacing w:before="100" w:after="100"/>
        <w:jc w:val="both"/>
      </w:pPr>
      <w:r>
        <w:rPr>
          <w:rFonts w:ascii="Arial" w:cs="Arial" w:eastAsia="Arial" w:hAnsi="Arial"/>
          <w:sz w:val="22"/>
          <w:szCs w:val="22"/>
        </w:rPr>
        <w:t xml:space="preserve">The accounting note: all obligations are KX at the protocol level. PAY_AS is a denomination layer, not a currency conversion service. The exchange rate at execution time determines the KX amount required. The protocol does not hold fiat. XChan provides the oracle rate. HedgeKX provides currency risk protection for those who want certainty.</w:t>
      </w:r>
    </w:p>
    <w:p>
      <w:r>
        <w:br w:type="page"/>
      </w:r>
    </w:p>
    <w:p>
      <w:pPr>
        <w:pStyle w:val="Heading2"/>
        <w:spacing w:before="320" w:after="160"/>
      </w:pPr>
      <w:r>
        <w:rPr>
          <w:rFonts w:ascii="Arial" w:cs="Arial" w:eastAsia="Arial" w:hAnsi="Arial"/>
          <w:b/>
          <w:bCs/>
          <w:color w:val="1F4E79"/>
          <w:sz w:val="28"/>
          <w:szCs w:val="28"/>
        </w:rPr>
        <w:t xml:space="preserve">Why KX? The Answer to the Obvious Question</w:t>
      </w:r>
    </w:p>
    <w:p>
      <w:pPr>
        <w:spacing w:before="100" w:after="100"/>
      </w:pPr>
    </w:p>
    <w:p>
      <w:pPr>
        <w:spacing w:before="100" w:after="100"/>
        <w:jc w:val="both"/>
      </w:pPr>
      <w:r>
        <w:rPr>
          <w:rFonts w:ascii="Arial" w:cs="Arial" w:eastAsia="Arial" w:hAnsi="Arial"/>
          <w:sz w:val="22"/>
          <w:szCs w:val="22"/>
        </w:rPr>
        <w:t xml:space="preserve">A natural question arises for participants who earn and spend in USD: if my obligation is in USD and I get paid in USD, why use KX at all — and why accept the added complexity of hedging?</w:t>
      </w:r>
    </w:p>
    <w:p>
      <w:pPr>
        <w:spacing w:before="100" w:after="100"/>
      </w:pPr>
    </w:p>
    <w:p>
      <w:pPr>
        <w:spacing w:before="100" w:after="100"/>
        <w:jc w:val="both"/>
      </w:pPr>
      <w:r>
        <w:rPr>
          <w:rFonts w:ascii="Arial" w:cs="Arial" w:eastAsia="Arial" w:hAnsi="Arial"/>
          <w:sz w:val="22"/>
          <w:szCs w:val="22"/>
        </w:rPr>
        <w:t xml:space="preserve">The answer is four things USD cannot do.</w:t>
      </w:r>
    </w:p>
    <w:p>
      <w:pPr>
        <w:spacing w:before="100" w:after="100"/>
      </w:pPr>
    </w:p>
    <w:p>
      <w:pPr>
        <w:spacing w:before="100" w:after="100"/>
        <w:jc w:val="both"/>
      </w:pPr>
      <w:r>
        <w:rPr>
          <w:rFonts w:ascii="Arial" w:cs="Arial" w:eastAsia="Arial" w:hAnsi="Arial"/>
          <w:sz w:val="22"/>
          <w:szCs w:val="22"/>
        </w:rPr>
        <w:t xml:space="preserve">USD cannot make a promise inevitable. A USD promise is a legal instrument — enforceable by courts, subject to bankruptcy, modifiable by judges, and dependent on counterparty solvency. A KX promise on the ChronX DAG is enforced by mathematics. No court order can prevent a matured lock from releasing. No bankruptcy filing can intercept it. This is structurally impossible with USD.</w:t>
      </w:r>
    </w:p>
    <w:p>
      <w:pPr>
        <w:spacing w:before="100" w:after="100"/>
      </w:pPr>
    </w:p>
    <w:p>
      <w:pPr>
        <w:spacing w:before="100" w:after="100"/>
        <w:jc w:val="both"/>
      </w:pPr>
      <w:r>
        <w:rPr>
          <w:rFonts w:ascii="Arial" w:cs="Arial" w:eastAsia="Arial" w:hAnsi="Arial"/>
          <w:sz w:val="22"/>
          <w:szCs w:val="22"/>
        </w:rPr>
        <w:t xml:space="preserve">USD cannot be zero-fee forever. Every USD transfer involves fees — bank, processor, wire, ACH, SWIFT, or card network. These compound over 100 years of settlements. KX transactions cost exactly zero, encoded at genesis and immutable forever. For long-horizon instruments this difference is material.</w:t>
      </w:r>
    </w:p>
    <w:p>
      <w:pPr>
        <w:spacing w:before="100" w:after="100"/>
      </w:pPr>
    </w:p>
    <w:p>
      <w:pPr>
        <w:spacing w:before="100" w:after="100"/>
        <w:jc w:val="both"/>
      </w:pPr>
      <w:r>
        <w:rPr>
          <w:rFonts w:ascii="Arial" w:cs="Arial" w:eastAsia="Arial" w:hAnsi="Arial"/>
          <w:sz w:val="22"/>
          <w:szCs w:val="22"/>
        </w:rPr>
        <w:t xml:space="preserve">USD cannot be post-quantum secure. CRYSTALS-Dilithium2 secures every KX wallet and transaction against the cryptographic threats of 2076 and beyond. The banking system’s cryptographic foundations were not designed for a 100-year threat horizon.</w:t>
      </w:r>
    </w:p>
    <w:p>
      <w:pPr>
        <w:spacing w:before="100" w:after="100"/>
      </w:pPr>
    </w:p>
    <w:p>
      <w:pPr>
        <w:spacing w:before="100" w:after="100"/>
        <w:jc w:val="both"/>
      </w:pPr>
      <w:r>
        <w:rPr>
          <w:rFonts w:ascii="Arial" w:cs="Arial" w:eastAsia="Arial" w:hAnsi="Arial"/>
          <w:sz w:val="22"/>
          <w:szCs w:val="22"/>
        </w:rPr>
        <w:t xml:space="preserve">The hedge is not a burden — it is the bridge. The 1% fee for a 30-day friendly loan (approximately 12% annualized) is the price of currency certainty. A bank charges roughly the same for a letter of credit. The difference: a bank keeps the fee. ChronX routes it into yield for savers and liquidity for the ecosystem. The fee does the same job and simultaneously builds the infrastructure that makes the entire protocol more valuable.</w:t>
      </w:r>
    </w:p>
    <w:p>
      <w:pPr>
        <w:spacing w:before="100" w:after="100"/>
      </w:pPr>
    </w:p>
    <w:p>
      <w:pPr>
        <w:spacing w:before="100" w:after="100"/>
        <w:jc w:val="both"/>
      </w:pPr>
      <w:r>
        <w:rPr>
          <w:rFonts w:ascii="Arial" w:cs="Arial" w:eastAsia="Arial" w:hAnsi="Arial"/>
          <w:sz w:val="22"/>
          <w:szCs w:val="22"/>
        </w:rPr>
        <w:t xml:space="preserve">KX is not a currency used instead of USD. It is the substrate that makes USD promises mathematically inevitable, permanently free, quantum-secure, and economically productive. You continue to earn, spend, and think in USD. The protocol handles the rest.</w:t>
      </w:r>
    </w:p>
    <w:p>
      <w:pPr>
        <w:spacing w:before="100" w:after="100"/>
      </w:pPr>
    </w:p>
    <w:p>
      <w:pPr>
        <w:spacing w:before="100" w:after="100"/>
      </w:pPr>
    </w:p>
    <w:p>
      <w:pPr>
        <w:spacing w:before="100" w:after="100"/>
        <w:jc w:val="both"/>
      </w:pPr>
      <w:r>
        <w:rPr>
          <w:rFonts w:ascii="Arial" w:cs="Arial" w:eastAsia="Arial" w:hAnsi="Arial"/>
          <w:sz w:val="22"/>
          <w:szCs w:val="22"/>
        </w:rPr>
        <w:t xml:space="preserve">A sophisticated participant will ask the natural follow-on question: why would an existing insurance company, bank, or escrow agent route transactions through KX when they already have USD infrastructure, existing regulatory licenses, and established counterparty relationships?</w:t>
      </w:r>
    </w:p>
    <w:p>
      <w:pPr>
        <w:spacing w:before="100" w:after="100"/>
      </w:pPr>
    </w:p>
    <w:p>
      <w:pPr>
        <w:spacing w:before="100" w:after="100"/>
        <w:jc w:val="both"/>
      </w:pPr>
      <w:r>
        <w:rPr>
          <w:rFonts w:ascii="Arial" w:cs="Arial" w:eastAsia="Arial" w:hAnsi="Arial"/>
          <w:sz w:val="22"/>
          <w:szCs w:val="22"/>
        </w:rPr>
        <w:t xml:space="preserve">The honest answer is: they would not — not as their primary infrastructure, and not yet. ChronX does not ask existing institutions to replace what works. It offers infrastructure for four specific categories where existing systems fail.</w:t>
      </w:r>
    </w:p>
    <w:p>
      <w:pPr>
        <w:spacing w:before="100" w:after="100"/>
      </w:pPr>
    </w:p>
    <w:p>
      <w:pPr>
        <w:spacing w:before="100" w:after="100"/>
        <w:jc w:val="both"/>
      </w:pPr>
      <w:r>
        <w:rPr>
          <w:rFonts w:ascii="Arial" w:cs="Arial" w:eastAsia="Arial" w:hAnsi="Arial"/>
          <w:sz w:val="22"/>
          <w:szCs w:val="22"/>
        </w:rPr>
        <w:t xml:space="preserve">First: the uninsurable and unbankable. Major insurers have exited entire markets — California homeowners with paid-off properties are legally self-insurable but have no carrier willing to write their coverage at any price. A borrower in a jurisdiction with no reliable banking infrastructure cannot access USD credit markets. ChronX requires only a wallet address and an internet connection.</w:t>
      </w:r>
    </w:p>
    <w:p>
      <w:pPr>
        <w:spacing w:before="100" w:after="100"/>
      </w:pPr>
    </w:p>
    <w:p>
      <w:pPr>
        <w:spacing w:before="100" w:after="100"/>
        <w:jc w:val="both"/>
      </w:pPr>
      <w:r>
        <w:rPr>
          <w:rFonts w:ascii="Arial" w:cs="Arial" w:eastAsia="Arial" w:hAnsi="Arial"/>
          <w:sz w:val="22"/>
          <w:szCs w:val="22"/>
        </w:rPr>
        <w:t xml:space="preserve">Second: the excess and surplus lines market. A homeowner whose primary policy covers the first $50,000 of loss can purchase KXGC excess coverage for everything above that threshold — priced to their individual risk profile rather than the pool average. Someone one block from the fire station on non-combustible ground should pay dramatically less than their neighbor with wood shake roofs and no fire clearance. Traditional carriers cannot price individual risk economically at small scale. KXGC can — because the DAG is the underwriting file, CPNX attests the risk characteristics on-chain, and zero processing costs make individual parametric coverage economically viable.</w:t>
      </w:r>
    </w:p>
    <w:p>
      <w:pPr>
        <w:spacing w:before="100" w:after="100"/>
      </w:pPr>
    </w:p>
    <w:p>
      <w:pPr>
        <w:spacing w:before="100" w:after="100"/>
        <w:jc w:val="both"/>
      </w:pPr>
      <w:r>
        <w:rPr>
          <w:rFonts w:ascii="Arial" w:cs="Arial" w:eastAsia="Arial" w:hAnsi="Arial"/>
          <w:sz w:val="22"/>
          <w:szCs w:val="22"/>
        </w:rPr>
        <w:t xml:space="preserve">Third: the micropayment claim. Traditional insurance cannot process a $5 claim — the overhead exceeds the payout. The ChronX DAG processes a 10 KX conditional payment and a 10,000,000 KX conditional payment identically, at zero cost. This opens the entire market of micropayment conditional obligations: 10 KX if a flight is delayed more than two hours. 50 KX if rainfall exceeds a threshold. 100 KX if a package does not arrive. 500 KX if a contractor misses a milestone. None of these are economically viable in traditional insurance. All are trivial on ChronX.</w:t>
      </w:r>
    </w:p>
    <w:p>
      <w:pPr>
        <w:spacing w:before="100" w:after="100"/>
      </w:pPr>
    </w:p>
    <w:p>
      <w:pPr>
        <w:spacing w:before="100" w:after="100"/>
        <w:jc w:val="both"/>
      </w:pPr>
      <w:r>
        <w:rPr>
          <w:rFonts w:ascii="Arial" w:cs="Arial" w:eastAsia="Arial" w:hAnsi="Arial"/>
          <w:sz w:val="22"/>
          <w:szCs w:val="22"/>
        </w:rPr>
        <w:t xml:space="preserve">Fourth: the new instrument. Parametric triggers that execute automatically when an oracle condition is met — without an adjuster, without a claims form, without a 30-day wait. Cross-border conditional payments spanning jurisdictions with incompatible banking systems. Cascade instruments with multiple trigger layers. These instruments require automatic execution that existing infrastructure structurally cannot provide.</w:t>
      </w:r>
    </w:p>
    <w:p>
      <w:pPr>
        <w:spacing w:before="100" w:after="100"/>
      </w:pPr>
    </w:p>
    <w:p>
      <w:pPr>
        <w:spacing w:before="100" w:after="100"/>
        <w:jc w:val="both"/>
      </w:pPr>
      <w:r>
        <w:rPr>
          <w:rFonts w:ascii="Arial" w:cs="Arial" w:eastAsia="Arial" w:hAnsi="Arial"/>
          <w:sz w:val="22"/>
          <w:szCs w:val="22"/>
        </w:rPr>
        <w:t xml:space="preserve">Traditional insurance companies, banks, and escrow agents serve their markets well. ChronX serves the markets they cannot reach — and builds the instruments they cannot create. Springing obligations of any kind — insurance claims, performance bonds, escrow releases, parametric triggers, crop coverage, income protection, trade finance — are all conditional payments. The protocol does not distinguish between them. It enforces them all at zero cost, at any size, automatically.</w:t>
      </w:r>
    </w:p>
    <w:p>
      <w:pPr>
        <w:spacing w:before="100" w:after="100"/>
      </w:pPr>
    </w:p>
    <w:p>
      <w:pPr>
        <w:pStyle w:val="Heading1"/>
        <w:spacing w:before="480" w:after="240"/>
      </w:pPr>
      <w:r>
        <w:rPr>
          <w:rFonts w:ascii="Arial" w:cs="Arial" w:eastAsia="Arial" w:hAnsi="Arial"/>
          <w:b/>
          <w:bCs/>
          <w:color w:val="1F4E79"/>
          <w:sz w:val="34"/>
          <w:szCs w:val="34"/>
        </w:rPr>
        <w:t xml:space="preserve">4. The Essential Protocol Partners</w:t>
      </w:r>
    </w:p>
    <w:p>
      <w:pPr>
        <w:spacing w:before="100" w:after="100"/>
        <w:jc w:val="both"/>
      </w:pPr>
      <w:r>
        <w:rPr>
          <w:rFonts w:ascii="Arial" w:cs="Arial" w:eastAsia="Arial" w:hAnsi="Arial"/>
          <w:sz w:val="22"/>
          <w:szCs w:val="22"/>
        </w:rPr>
        <w:t xml:space="preserve">ChronX is the protocol. Around it, six bonded organisations extend its capabilities into specialised domains. Each is independent. Each posts a performance bond in KX. If a partner acts against the protocol's interests, the Foundation may initiate a DrawRequest against that bond. The partner has a protocol-enforced lock period (minimum 30 days) before any action executes.</w:t>
      </w:r>
    </w:p>
    <w:p>
      <w:pPr>
        <w:spacing w:before="80" w:after="80"/>
      </w:pPr>
      <w:r>
        <w:t xml:space="preserve"/>
      </w:r>
    </w:p>
    <w:p>
      <w:pPr>
        <w:spacing w:before="100" w:after="100"/>
        <w:jc w:val="both"/>
      </w:pPr>
      <w:r>
        <w:rPr>
          <w:rFonts w:ascii="Arial" w:cs="Arial" w:eastAsia="Arial" w:hAnsi="Arial"/>
          <w:sz w:val="22"/>
          <w:szCs w:val="22"/>
        </w:rPr>
        <w:t xml:space="preserve">These six partners form a self-reinforcing ecosystem. XChan provides liquidity and exchange rates. HedgeKX converts that liquidity into price certainty for lenders, savers, and insurers. KXGC backstops the entire insurance and lending stack. MISAI manages long-horizon AI investment mandates. Verifas ensures long-horizon promises reach their intended recipients. CPNX establishes institutional identity. Each partner makes the others more powerful.</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4.1 MISAI — The AI Executor</w:t>
      </w:r>
    </w:p>
    <w:p>
      <w:pPr>
        <w:spacing w:before="100" w:after="100"/>
        <w:jc w:val="both"/>
      </w:pPr>
      <w:r>
        <w:rPr>
          <w:rFonts w:ascii="Arial" w:cs="Arial" w:eastAsia="Arial" w:hAnsi="Arial"/>
          <w:sz w:val="22"/>
          <w:szCs w:val="22"/>
        </w:rPr>
        <w:t xml:space="preserve">MISAI (misai.io) is an AI-powered executor that manages financial obligations on behalf of participants. As a loan servicer, MISAI monitors payment schedules, publishes DefaultRecords when payments are missed, and processes LoanCompletion entries. As an investment executor, MISAI manages TYPE M locks — promises where the grantor instructs AI to actively manage locked KX. MISAI's 10,000,000 KX bond ensures meaningful accountability.</w:t>
      </w:r>
    </w:p>
    <w:p>
      <w:pPr>
        <w:spacing w:before="80" w:after="80"/>
      </w:pPr>
      <w:r>
        <w:t xml:space="preserve"/>
      </w:r>
    </w:p>
    <w:p>
      <w:pPr>
        <w:spacing w:before="100" w:after="100"/>
        <w:jc w:val="both"/>
      </w:pPr>
      <w:r>
        <w:rPr>
          <w:rFonts w:ascii="Arial" w:cs="Arial" w:eastAsia="Arial" w:hAnsi="Arial"/>
          <w:sz w:val="22"/>
          <w:szCs w:val="22"/>
        </w:rPr>
        <w:t xml:space="preserve">Governance: misai_conservative_batch_only = true. Full autonomous operation requires a governance vote.</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4.2 Verifas — The Human Attestation Layer</w:t>
      </w:r>
    </w:p>
    <w:p>
      <w:pPr>
        <w:spacing w:before="100" w:after="100"/>
        <w:jc w:val="both"/>
      </w:pPr>
      <w:r>
        <w:rPr>
          <w:rFonts w:ascii="Arial" w:cs="Arial" w:eastAsia="Arial" w:hAnsi="Arial"/>
          <w:sz w:val="22"/>
          <w:szCs w:val="22"/>
        </w:rPr>
        <w:t xml:space="preserve">Verifas (verifas.io) is a network of bonded human attestors whose job is to ensure that long-duration promises reach their intended recipients even when wallets go offline, email addresses change, or decades pass between a promise being made and it maturing.</w:t>
      </w:r>
    </w:p>
    <w:p>
      <w:pPr>
        <w:spacing w:before="100" w:after="100"/>
      </w:pPr>
    </w:p>
    <w:p>
      <w:pPr>
        <w:spacing w:before="100" w:after="100"/>
        <w:jc w:val="both"/>
      </w:pPr>
      <w:r>
        <w:rPr>
          <w:rFonts w:ascii="Arial" w:cs="Arial" w:eastAsia="Arial" w:hAnsi="Arial"/>
          <w:sz w:val="22"/>
          <w:szCs w:val="22"/>
        </w:rPr>
        <w:t xml:space="preserve">For short-duration locks (under the governance-set threshold, currently one year), normal claim behavior applies: if unclaimed within the claim window, funds revert to sender. This is correct for operational instruments — payroll, savings deposits, friendly loans.</w:t>
      </w:r>
    </w:p>
    <w:p>
      <w:pPr>
        <w:spacing w:before="100" w:after="100"/>
      </w:pPr>
    </w:p>
    <w:p>
      <w:pPr>
        <w:spacing w:before="100" w:after="100"/>
        <w:jc w:val="both"/>
      </w:pPr>
      <w:r>
        <w:rPr>
          <w:rFonts w:ascii="Arial" w:cs="Arial" w:eastAsia="Arial" w:hAnsi="Arial"/>
          <w:sz w:val="22"/>
          <w:szCs w:val="22"/>
        </w:rPr>
        <w:t xml:space="preserve">For long-duration locks (above the governance-set threshold), the following three-stage system applies:</w:t>
      </w:r>
    </w:p>
    <w:p>
      <w:pPr>
        <w:spacing w:before="100" w:after="100"/>
      </w:pPr>
    </w:p>
    <w:p>
      <w:pPr>
        <w:spacing w:before="100" w:after="100"/>
        <w:jc w:val="both"/>
      </w:pPr>
      <w:r>
        <w:rPr>
          <w:rFonts w:ascii="Arial" w:cs="Arial" w:eastAsia="Arial" w:hAnsi="Arial"/>
          <w:sz w:val="22"/>
          <w:szCs w:val="22"/>
        </w:rPr>
        <w:t xml:space="preserve">Stage 1 — Normal claim window (governance-set, default 90 days for wallet locks, default 0 days for email locks): The recipient claims directly via wallet or email claim code. No Verifas involvement. This is the intended path for the vast majority of long-duration locks.</w:t>
      </w:r>
    </w:p>
    <w:p>
      <w:pPr>
        <w:spacing w:before="100" w:after="100"/>
      </w:pPr>
    </w:p>
    <w:p>
      <w:pPr>
        <w:spacing w:before="100" w:after="100"/>
        <w:jc w:val="both"/>
      </w:pPr>
      <w:r>
        <w:rPr>
          <w:rFonts w:ascii="Arial" w:cs="Arial" w:eastAsia="Arial" w:hAnsi="Arial"/>
          <w:sz w:val="22"/>
          <w:szCs w:val="22"/>
        </w:rPr>
        <w:t xml:space="preserve">Stage 2 — Two-party lock (begins after Stage 1 expires): The lock automatically requires two signatures to release: the recipient’s signature AND a Verifas bonded attestor confirming the claimant’s identity. Neither party has custody. The KX does not move. A hacked email address cannot claim alone — the attacker also needs Verifas to co-sign, which requires identity attestation. A legitimate slow claimant can still claim with slightly more friction. Verifas earns a governance-approved fee only at successful release — aligning their incentive with finding the correct claimant, not the fastest claimant.</w:t>
      </w:r>
    </w:p>
    <w:p>
      <w:pPr>
        <w:spacing w:before="100" w:after="100"/>
      </w:pPr>
    </w:p>
    <w:p>
      <w:pPr>
        <w:spacing w:before="100" w:after="100"/>
        <w:jc w:val="both"/>
      </w:pPr>
      <w:r>
        <w:rPr>
          <w:rFonts w:ascii="Arial" w:cs="Arial" w:eastAsia="Arial" w:hAnsi="Arial"/>
          <w:sz w:val="22"/>
          <w:szCs w:val="22"/>
        </w:rPr>
        <w:t xml:space="preserve">Stage 3 — Verifas sole custody (after governance-set extended inactivity, default 7 years in Stage 2): After years of continued inactivity, sole custody transfers to Verifas for active estate resolution. Verifas uses all available on-chain information — email hash, wallet address, CPNX identity records, DAG history — to locate the rightful claimant or their estate.</w:t>
      </w:r>
    </w:p>
    <w:p>
      <w:pPr>
        <w:spacing w:before="100" w:after="100"/>
      </w:pPr>
    </w:p>
    <w:p>
      <w:pPr>
        <w:spacing w:before="100" w:after="100"/>
        <w:jc w:val="both"/>
      </w:pPr>
      <w:r>
        <w:rPr>
          <w:rFonts w:ascii="Arial" w:cs="Arial" w:eastAsia="Arial" w:hAnsi="Arial"/>
          <w:sz w:val="22"/>
          <w:szCs w:val="22"/>
        </w:rPr>
        <w:t xml:space="preserve">Last resort — Humanity Stake (after governance-set custody window, default 100 years): If Verifas cannot locate a claimant within the custody window, KX transfers to the Humanity Stake, locked until 2126. Coins are never permanently lost.</w:t>
      </w:r>
    </w:p>
    <w:p>
      <w:pPr>
        <w:spacing w:before="100" w:after="100"/>
      </w:pPr>
    </w:p>
    <w:p>
      <w:pPr>
        <w:spacing w:before="100" w:after="100"/>
        <w:jc w:val="both"/>
      </w:pPr>
      <w:r>
        <w:rPr>
          <w:rFonts w:ascii="Arial" w:cs="Arial" w:eastAsia="Arial" w:hAnsi="Arial"/>
          <w:sz w:val="22"/>
          <w:szCs w:val="22"/>
        </w:rPr>
        <w:t xml:space="preserve">Verifas holds a 10,000,000 KX bond ensuring meaningful accountability. Verifas attestors are bonded and financially incentivised to locate claimants. For high-value long-duration locks this incentive is strong. For low-value locks, delivery through Verifas is not guaranteed — the protocol provides the mechanism, but economics governs its application.</w:t>
      </w:r>
    </w:p>
    <w:p>
      <w:pPr>
        <w:spacing w:before="100" w:after="100"/>
      </w:pPr>
    </w:p>
    <w:p>
      <w:pPr>
        <w:spacing w:before="100" w:after="100"/>
        <w:jc w:val="both"/>
      </w:pPr>
      <w:r>
        <w:rPr>
          <w:rFonts w:ascii="Arial" w:cs="Arial" w:eastAsia="Arial" w:hAnsi="Arial"/>
          <w:sz w:val="22"/>
          <w:szCs w:val="22"/>
        </w:rPr>
        <w:t xml:space="preserve">All four thresholds — Stage 1 duration, Stage 2 duration, Stage 3 custody window, and Humanity Stake window — are governance parameters adjustable without a node rebuild. In 2046, if email infrastructure has become trivially compromisable, governance can set the email lock Stage 1 window to zero seconds, ensuring all email-recipient long-duration locks enter two-party mode immediately on maturity. The mechanism is stable. The parameters are flexible. This is correct design for a 100-year protocol.</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4.3 XChan — The Protocol Exchange</w:t>
      </w:r>
    </w:p>
    <w:p>
      <w:pPr>
        <w:spacing w:before="100" w:after="100"/>
        <w:jc w:val="both"/>
      </w:pPr>
      <w:r>
        <w:rPr>
          <w:rFonts w:ascii="Arial" w:cs="Arial" w:eastAsia="Arial" w:hAnsi="Arial"/>
          <w:sz w:val="22"/>
          <w:szCs w:val="22"/>
        </w:rPr>
        <w:t xml:space="preserve">XChan (xchan.io) provides two services. First: the price oracle — a 7-day volume-weighted average of KX/USDC trades — that determines how much KX is required to deliver a promised USD amount for PAY_AS instruments. Second: direct KX/USDC conversion via wKX, a publicly tradeable ERC-20 token on the Base network listed on Uniswap v3.</w:t>
      </w:r>
    </w:p>
    <w:p>
      <w:pPr>
        <w:spacing w:before="80" w:after="80"/>
      </w:pPr>
      <w:r>
        <w:t xml:space="preserve"/>
      </w:r>
    </w:p>
    <w:p>
      <w:pPr>
        <w:spacing w:before="100" w:after="100"/>
        <w:jc w:val="both"/>
      </w:pPr>
      <w:r>
        <w:rPr>
          <w:rFonts w:ascii="Arial" w:cs="Arial" w:eastAsia="Arial" w:hAnsi="Arial"/>
          <w:sz w:val="22"/>
          <w:szCs w:val="22"/>
        </w:rPr>
        <w:t xml:space="preserve">wKX (Wrapped KX) is backed by XChan conversion locks on the ChronX DAG. It is a public token — transferable, redeemable, and available on Uniswap. It is not designed as a long-term investment product; it is a liquidity mechanism for KX/USDC conversion. Total KX on ChronX DAG plus total wKX on Base always equals 8,270,000,000 KX. wKX is not new supply. It is representation.</w:t>
      </w:r>
    </w:p>
    <w:p>
      <w:pPr>
        <w:spacing w:before="80" w:after="80"/>
      </w:pPr>
      <w:r>
        <w:t xml:space="preserve"/>
      </w:r>
    </w:p>
    <w:p>
      <w:pPr>
        <w:spacing w:before="100" w:after="100"/>
        <w:jc w:val="both"/>
      </w:pPr>
      <w:r>
        <w:rPr>
          <w:rFonts w:ascii="Arial" w:cs="Arial" w:eastAsia="Arial" w:hAnsi="Arial"/>
          <w:sz w:val="22"/>
          <w:szCs w:val="22"/>
        </w:rPr>
        <w:t xml:space="preserve">XChan holds a 10,000,000 KX bond. In the future XChan may license third-party conversion services.</w:t>
      </w:r>
    </w:p>
    <w:p>
      <w:pPr>
        <w:spacing w:before="80" w:after="80"/>
      </w:pPr>
      <w:r>
        <w:t xml:space="preserve"/>
      </w:r>
    </w:p>
    <w:p>
      <w:pPr>
        <w:spacing w:before="100" w:after="100"/>
        <w:jc w:val="both"/>
      </w:pPr>
      <w:r>
        <w:rPr>
          <w:rFonts w:ascii="Arial" w:cs="Arial" w:eastAsia="Arial" w:hAnsi="Arial"/>
          <w:sz w:val="22"/>
          <w:szCs w:val="22"/>
        </w:rPr>
        <w:t xml:space="preserve">Contract addresses: wKX on Base: 0x0BBC24a0cBBC5d3fF1B9b90ce5195fC04FE0dD56. Uniswap v3 pool: 0x0B1865E9519EFf7De80539d986C5abCC5e8667De (wKX/USDC, 1% fee).</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4.4 HedgeKX — The Forward Exchange Engine</w:t>
      </w:r>
    </w:p>
    <w:p>
      <w:pPr>
        <w:spacing w:before="100" w:after="100"/>
        <w:jc w:val="both"/>
      </w:pPr>
      <w:r>
        <w:rPr>
          <w:rFonts w:ascii="Arial" w:cs="Arial" w:eastAsia="Arial" w:hAnsi="Arial"/>
          <w:sz w:val="22"/>
          <w:szCs w:val="22"/>
        </w:rPr>
        <w:t xml:space="preserve">HedgeKX (hedgekx.io) is the mechanism through which ChronX's locked KX supply becomes economically productive without ever leaving the hands of its owners.</w:t>
      </w:r>
    </w:p>
    <w:p>
      <w:pPr>
        <w:spacing w:before="80" w:after="80"/>
      </w:pPr>
      <w:r>
        <w:t xml:space="preserve"/>
      </w:r>
    </w:p>
    <w:p>
      <w:pPr>
        <w:spacing w:before="100" w:after="100"/>
        <w:jc w:val="both"/>
      </w:pPr>
      <w:r>
        <w:rPr>
          <w:rFonts w:ascii="Arial" w:cs="Arial" w:eastAsia="Arial" w:hAnsi="Arial"/>
          <w:sz w:val="22"/>
          <w:szCs w:val="22"/>
        </w:rPr>
        <w:t xml:space="preserve">When KX is locked in a savings account or a long-term promise, it sits dormant — protected, immovable, guaranteed to return. HedgeKX changes this without changing anything about the protection. Every TYPE_Y lock automatically grants HedgeKX a time-limited minting mandate: permission to create an internal settlement token called h1KX on the Base network, backed 1:1 by the locked KX, for up to 24 hours at a time. HedgeKX uses h1KX exclusively as an intraday bridge for forward currency exchanges between KX and USDC.</w:t>
      </w:r>
    </w:p>
    <w:p>
      <w:pPr>
        <w:spacing w:before="80" w:after="80"/>
      </w:pPr>
      <w:r>
        <w:t xml:space="preserve"/>
      </w:r>
    </w:p>
    <w:p>
      <w:pPr>
        <w:spacing w:before="100" w:after="100"/>
        <w:jc w:val="both"/>
      </w:pPr>
      <w:r>
        <w:rPr>
          <w:rFonts w:ascii="Arial" w:cs="Arial" w:eastAsia="Arial" w:hAnsi="Arial"/>
          <w:sz w:val="22"/>
          <w:szCs w:val="22"/>
        </w:rPr>
        <w:t xml:space="preserve">h1KX is not wKX. It is not public. It cannot be transferred, held, or traded by anyone. It burns automatically every 24 hours. It exists only inside HedgeKX's settlement infrastructure as a mathematical accounting record.</w:t>
      </w:r>
    </w:p>
    <w:p>
      <w:pPr>
        <w:spacing w:before="80" w:after="80"/>
      </w:pPr>
      <w:r>
        <w:t xml:space="preserve"/>
      </w:r>
    </w:p>
    <w:p>
      <w:pPr>
        <w:spacing w:before="100" w:after="100"/>
        <w:jc w:val="both"/>
      </w:pPr>
      <w:r>
        <w:rPr>
          <w:rFonts w:ascii="Arial" w:cs="Arial" w:eastAsia="Arial" w:hAnsi="Arial"/>
          <w:b/>
          <w:bCs/>
          <w:sz w:val="22"/>
          <w:szCs w:val="22"/>
        </w:rPr>
        <w:t xml:space="preserve">The guarantee that never changes:</w:t>
      </w:r>
    </w:p>
    <w:p>
      <w:pPr>
        <w:spacing w:before="100" w:after="100"/>
        <w:jc w:val="both"/>
      </w:pPr>
      <w:r>
        <w:rPr>
          <w:rFonts w:ascii="Arial" w:cs="Arial" w:eastAsia="Arial" w:hAnsi="Arial"/>
          <w:sz w:val="22"/>
          <w:szCs w:val="22"/>
        </w:rPr>
        <w:t xml:space="preserve">No one committing KX for yield can ever lose their KX. Because they never give it up. The KX remains locked on the ChronX DAG, owned by the lock holder, protected by post-quantum cryptography. The mandate grants HedgeKX a temporary minting right — not ownership, not custody, not collateral, not a lien. At maturity, the protocol automatically unlocks the KX and returns it to the owner. This happens regardless of what HedgeKX does, regardless of whether HedgeKX exists, regardless of whether Base exists. The guarantee is enforced by the ChronX DAG's consensus rules — mathematics, not institutional goodwill.</w:t>
      </w:r>
    </w:p>
    <w:p>
      <w:pPr>
        <w:spacing w:before="80" w:after="80"/>
      </w:pPr>
      <w:r>
        <w:t xml:space="preserve"/>
      </w:r>
    </w:p>
    <w:p>
      <w:pPr>
        <w:spacing w:before="100" w:after="100"/>
        <w:jc w:val="both"/>
      </w:pPr>
      <w:r>
        <w:rPr>
          <w:rFonts w:ascii="Arial" w:cs="Arial" w:eastAsia="Arial" w:hAnsi="Arial"/>
          <w:b/>
          <w:bCs/>
          <w:sz w:val="22"/>
          <w:szCs w:val="22"/>
        </w:rPr>
        <w:t xml:space="preserve">What yield means:</w:t>
      </w:r>
    </w:p>
    <w:p>
      <w:pPr>
        <w:spacing w:before="100" w:after="100"/>
        <w:jc w:val="both"/>
      </w:pPr>
      <w:r>
        <w:rPr>
          <w:rFonts w:ascii="Arial" w:cs="Arial" w:eastAsia="Arial" w:hAnsi="Arial"/>
          <w:sz w:val="22"/>
          <w:szCs w:val="22"/>
        </w:rPr>
        <w:t xml:space="preserve">HedgeKX earns facilitation income when it matches Exchange Buyers (parties needing price certainty) with Currency B Committers (parties willing to commit USDC in exchange for yield). When a mandate is actively used in a matched transaction, yield accrues to the beneficiary of the promise — not to the grantor. If Bob makes a 20-year promise to Mary, yield credits to Mary's separate yield balance on the DAG. Mary's yield balance never decreases. It can be claimed at any time. On days when HedgeKX has no matching activity, yield is zero for that day. Principal is unaffected.</w:t>
      </w:r>
    </w:p>
    <w:p>
      <w:pPr>
        <w:spacing w:before="80" w:after="80"/>
      </w:pPr>
      <w:r>
        <w:t xml:space="preserve"/>
      </w:r>
    </w:p>
    <w:p>
      <w:pPr>
        <w:spacing w:before="100" w:after="100"/>
        <w:jc w:val="both"/>
      </w:pPr>
      <w:r>
        <w:rPr>
          <w:rFonts w:ascii="Arial" w:cs="Arial" w:eastAsia="Arial" w:hAnsi="Arial"/>
          <w:b/>
          <w:bCs/>
          <w:sz w:val="22"/>
          <w:szCs w:val="22"/>
        </w:rPr>
        <w:t xml:space="preserve">Yield opt-out:</w:t>
      </w:r>
    </w:p>
    <w:p>
      <w:pPr>
        <w:spacing w:before="100" w:after="100"/>
        <w:jc w:val="both"/>
      </w:pPr>
      <w:r>
        <w:rPr>
          <w:rFonts w:ascii="Arial" w:cs="Arial" w:eastAsia="Arial" w:hAnsi="Arial"/>
          <w:sz w:val="22"/>
          <w:szCs w:val="22"/>
        </w:rPr>
        <w:t xml:space="preserve">A grantor who wishes to make a TYPE_Y promise without granting a HedgeKX mandate — for tax reasons, for simplicity, or by personal preference — may set yield_opt_out at lock creation. The lock behaves identically to a standard time-locked promise. No mandate is granted. No yield accrues. The principal guarantee is identical.</w:t>
      </w:r>
    </w:p>
    <w:p>
      <w:pPr>
        <w:spacing w:before="80" w:after="80"/>
      </w:pPr>
      <w:r>
        <w:t xml:space="preserve"/>
      </w:r>
    </w:p>
    <w:p>
      <w:pPr>
        <w:spacing w:before="100" w:after="100"/>
        <w:jc w:val="both"/>
      </w:pPr>
      <w:r>
        <w:rPr>
          <w:rFonts w:ascii="Arial" w:cs="Arial" w:eastAsia="Arial" w:hAnsi="Arial"/>
          <w:b/>
          <w:bCs/>
          <w:sz w:val="22"/>
          <w:szCs w:val="22"/>
        </w:rPr>
        <w:t xml:space="preserve">The market develops gradually:</w:t>
      </w:r>
    </w:p>
    <w:p>
      <w:pPr>
        <w:spacing w:before="100" w:after="100"/>
        <w:jc w:val="both"/>
      </w:pPr>
      <w:r>
        <w:rPr>
          <w:rFonts w:ascii="Arial" w:cs="Arial" w:eastAsia="Arial" w:hAnsi="Arial"/>
          <w:sz w:val="22"/>
          <w:szCs w:val="22"/>
        </w:rPr>
        <w:t xml:space="preserve">HedgeKX launches in founding phase with overnight instruments only and a $250 daily governance cap. This is honest: pricing multi-year hedges requires price history that does not yet exist at launch. Governance expands instrument duration as the market matures and volatility data accumulates. The flywheel — savings providing mandate capacity, HedgeKX providing yield, yield attracting more savings — is the mature state. It develops over time. Appendix O contains the complete HedgeKX technical and risk reference.</w:t>
      </w:r>
    </w:p>
    <w:p>
      <w:pPr>
        <w:spacing w:before="80" w:after="80"/>
      </w:pPr>
      <w:r>
        <w:t xml:space="preserve"/>
      </w:r>
    </w:p>
    <w:p>
      <w:pPr>
        <w:spacing w:before="100" w:after="100"/>
        <w:jc w:val="both"/>
      </w:pPr>
      <w:r>
        <w:rPr>
          <w:rFonts w:ascii="Arial" w:cs="Arial" w:eastAsia="Arial" w:hAnsi="Arial"/>
          <w:b/>
          <w:bCs/>
          <w:sz w:val="22"/>
          <w:szCs w:val="22"/>
        </w:rPr>
        <w:t xml:space="preserve">HedgeKX's constraints are protocol-enforced, not policy:</w:t>
      </w:r>
    </w:p>
    <w:p>
      <w:pPr>
        <w:spacing w:before="100" w:after="100"/>
        <w:jc w:val="both"/>
      </w:pPr>
      <w:r>
        <w:rPr>
          <w:rFonts w:ascii="Arial" w:cs="Arial" w:eastAsia="Arial" w:hAnsi="Arial"/>
          <w:sz w:val="22"/>
          <w:szCs w:val="22"/>
        </w:rPr>
        <w:t xml:space="preserve">HedgeKX cannot mint h1KX beyond the verified mandate pool. It cannot extend h1KX beyond 24 hours. It cannot access locked KX under any circumstances. It cannot exceed its governance-set market making limit. These are conditions the protocol enforces upon it — not commitments it makes.</w:t>
      </w:r>
    </w:p>
    <w:p>
      <w:pPr>
        <w:spacing w:before="80" w:after="80"/>
      </w:pPr>
      <w:r>
        <w:t xml:space="preserve"/>
      </w:r>
    </w:p>
    <w:p>
      <w:pPr>
        <w:spacing w:before="100" w:after="100"/>
        <w:jc w:val="both"/>
      </w:pPr>
      <w:r>
        <w:rPr>
          <w:rFonts w:ascii="Arial" w:cs="Arial" w:eastAsia="Arial" w:hAnsi="Arial"/>
          <w:b/>
          <w:bCs/>
          <w:sz w:val="22"/>
          <w:szCs w:val="22"/>
        </w:rPr>
        <w:t xml:space="preserve">The hNKX family:</w:t>
      </w:r>
    </w:p>
    <w:p>
      <w:pPr>
        <w:spacing w:before="100" w:after="100"/>
        <w:jc w:val="both"/>
      </w:pPr>
      <w:r>
        <w:rPr>
          <w:rFonts w:ascii="Arial" w:cs="Arial" w:eastAsia="Arial" w:hAnsi="Arial"/>
          <w:sz w:val="22"/>
          <w:szCs w:val="22"/>
        </w:rPr>
        <w:t xml:space="preserve">USDC is the first currency pair for HedgeKX hedging, using h1KX as the internal settlement token. As governance approves additional pairs — BTC (h2KX), ETH (h3KX), and so on — each deploys as a separate contract without modifying existing h1KX operations. The naming convention reflects the protocol's 100-year design horizon.</w:t>
      </w:r>
    </w:p>
    <w:p>
      <w:pPr>
        <w:spacing w:before="80" w:after="80"/>
      </w:pPr>
      <w:r>
        <w:t xml:space="preserve"/>
      </w:r>
    </w:p>
    <w:p>
      <w:pPr>
        <w:pStyle w:val="Heading3"/>
        <w:spacing w:before="240" w:after="120"/>
      </w:pPr>
      <w:r>
        <w:rPr>
          <w:rFonts w:ascii="Arial" w:cs="Arial" w:eastAsia="Arial" w:hAnsi="Arial"/>
          <w:b/>
          <w:bCs/>
          <w:color w:val="1F4E79"/>
          <w:sz w:val="24"/>
          <w:szCs w:val="24"/>
        </w:rPr>
        <w:t xml:space="preserve">Three Natural Currency B Committer Pools</w:t>
      </w:r>
    </w:p>
    <w:p>
      <w:pPr>
        <w:spacing w:before="100" w:after="100"/>
      </w:pPr>
    </w:p>
    <w:p>
      <w:pPr>
        <w:spacing w:before="100" w:after="100"/>
        <w:jc w:val="both"/>
      </w:pPr>
      <w:r>
        <w:rPr>
          <w:rFonts w:ascii="Arial" w:cs="Arial" w:eastAsia="Arial" w:hAnsi="Arial"/>
          <w:sz w:val="22"/>
          <w:szCs w:val="22"/>
        </w:rPr>
        <w:t xml:space="preserve">HedgeKX’s Currency B Committer pool has three natural sources that exist independently of external market speculation, providing organic rational demand from the first day of operation.</w:t>
      </w:r>
    </w:p>
    <w:p>
      <w:pPr>
        <w:spacing w:before="100" w:after="100"/>
      </w:pPr>
    </w:p>
    <w:p>
      <w:pPr>
        <w:spacing w:before="100" w:after="100"/>
        <w:jc w:val="both"/>
      </w:pPr>
      <w:r>
        <w:rPr>
          <w:rFonts w:ascii="Arial" w:cs="Arial" w:eastAsia="Arial" w:hAnsi="Arial"/>
          <w:sz w:val="22"/>
          <w:szCs w:val="22"/>
        </w:rPr>
        <w:t xml:space="preserve">Pool 1 — Loan settlement liquidity. For friendly loans and PAY_AS loans, the Currency B Committer provides USDC as settlement liquidity for collateralized loans with contractually obligated repayment. The borrower must repay. Settlement is automatic — time plus repayment (or absence of repayment) is the complete mechanism. No oracle. No attestation. No optionality. The Currency B Committer earns approximately 12% annualized on 30-day instruments and receives KX collateral at the locked rate if the borrower defaults. This is not speculation on KX’s price — it is provision of settlement liquidity for a known collateralized instrument.</w:t>
      </w:r>
    </w:p>
    <w:p>
      <w:pPr>
        <w:spacing w:before="100" w:after="100"/>
      </w:pPr>
    </w:p>
    <w:p>
      <w:pPr>
        <w:spacing w:before="100" w:after="100"/>
        <w:jc w:val="both"/>
      </w:pPr>
      <w:r>
        <w:rPr>
          <w:rFonts w:ascii="Arial" w:cs="Arial" w:eastAsia="Arial" w:hAnsi="Arial"/>
          <w:sz w:val="22"/>
          <w:szCs w:val="22"/>
        </w:rPr>
        <w:t xml:space="preserve">Pool 2 — KXGC premium float. KXGC receives insurance premiums in USDC. Those premiums sit as reserves against future claims. KXGC deploys this reserve as a Currency B Committer — earning yield on its float while simultaneously hedging its own claim liabilities as an Exchange Buyer. KXGC is the natural two-sided participant: it locks KX as collateral when hedging claims (Exchange Buyer) and commits USDC premium income when deploying reserves (Currency B Committer). This is standard insurance treasury management — not speculation.</w:t>
      </w:r>
    </w:p>
    <w:p>
      <w:pPr>
        <w:spacing w:before="100" w:after="100"/>
      </w:pPr>
    </w:p>
    <w:p>
      <w:pPr>
        <w:spacing w:before="100" w:after="100"/>
        <w:jc w:val="both"/>
      </w:pPr>
      <w:r>
        <w:rPr>
          <w:rFonts w:ascii="Arial" w:cs="Arial" w:eastAsia="Arial" w:hAnsi="Arial"/>
          <w:sz w:val="22"/>
          <w:szCs w:val="22"/>
        </w:rPr>
        <w:t xml:space="preserve">Pool 3 — External yield-seeking capital. As the ecosystem matures, short-duration collateralized instruments with observable repayment statistics and known yield history attract external capital seeking stable returns. This pool develops over time as Pools 1 and 2 establish the track record that makes rational external participation straightforward.</w:t>
      </w:r>
    </w:p>
    <w:p>
      <w:pPr>
        <w:spacing w:before="100" w:after="100"/>
      </w:pPr>
    </w:p>
    <w:p>
      <w:pPr>
        <w:spacing w:before="100" w:after="100"/>
        <w:jc w:val="both"/>
      </w:pPr>
      <w:r>
        <w:rPr>
          <w:rFonts w:ascii="Arial" w:cs="Arial" w:eastAsia="Arial" w:hAnsi="Arial"/>
          <w:sz w:val="22"/>
          <w:szCs w:val="22"/>
        </w:rPr>
        <w:t xml:space="preserve">These three pools mean HedgeKX has genuine two-sided flow from its first day of operation — not from speculators betting on KX, but from participants providing settlement liquidity for real obligations that must be discharged.</w:t>
      </w:r>
    </w:p>
    <w:p>
      <w:pPr>
        <w:spacing w:before="100" w:after="100"/>
      </w:pPr>
    </w:p>
    <w:p>
      <w:pPr>
        <w:spacing w:before="100" w:after="100"/>
        <w:jc w:val="both"/>
      </w:pPr>
      <w:r>
        <w:rPr>
          <w:rFonts w:ascii="Arial" w:cs="Arial" w:eastAsia="Arial" w:hAnsi="Arial"/>
          <w:sz w:val="22"/>
          <w:szCs w:val="22"/>
        </w:rPr>
        <w:t xml:space="preserve">HedgeKX holds a 10,000,000 KX bond. Governance parameters: hedgekx_max_daily_exposure_usd = $250. hedgekx_max_instrument_duration_seconds = 86,400 (24 hours). Both subject to governance expansion.</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4.5 CPNX — Identity and Badges</w:t>
      </w:r>
    </w:p>
    <w:p>
      <w:pPr>
        <w:spacing w:before="100" w:after="100"/>
        <w:jc w:val="both"/>
      </w:pPr>
      <w:r>
        <w:rPr>
          <w:rFonts w:ascii="Arial" w:cs="Arial" w:eastAsia="Arial" w:hAnsi="Arial"/>
          <w:sz w:val="22"/>
          <w:szCs w:val="22"/>
        </w:rPr>
        <w:t xml:space="preserve">CPNX (cpnx.com) manages on-chain verification of participants. Badges gate access to protocol features: TYPE P-R fractional reserve pools require a BANK, INSURANCE, or GOVERNMENT badge. TYPE A authority grants require specific badge combinations. CPNX holds a 1,000,000 KX bond reflecting identity risk rather than financial risk. See Appendix K for the complete badge reference.</w:t>
      </w:r>
    </w:p>
    <w:p>
      <w:pPr>
        <w:spacing w:before="80" w:after="80"/>
      </w:pPr>
      <w:r>
        <w:t xml:space="preserve"/>
      </w:r>
    </w:p>
    <w:p>
      <w:pPr>
        <w:pStyle w:val="Heading2"/>
        <w:spacing w:before="320" w:after="160"/>
      </w:pPr>
      <w:r>
        <w:rPr>
          <w:rFonts w:ascii="Arial" w:cs="Arial" w:eastAsia="Arial" w:hAnsi="Arial"/>
          <w:b/>
          <w:bCs/>
          <w:color w:val="1F4E79"/>
          <w:sz w:val="28"/>
          <w:szCs w:val="28"/>
        </w:rPr>
        <w:t xml:space="preserve">4.6 KXGC — KX Guarantee Co.</w:t>
      </w:r>
    </w:p>
    <w:p>
      <w:pPr>
        <w:spacing w:before="100" w:after="100"/>
      </w:pPr>
    </w:p>
    <w:p>
      <w:pPr>
        <w:spacing w:before="100" w:after="100"/>
        <w:jc w:val="both"/>
      </w:pPr>
      <w:r>
        <w:rPr>
          <w:rFonts w:ascii="Arial" w:cs="Arial" w:eastAsia="Arial" w:hAnsi="Arial"/>
          <w:sz w:val="22"/>
          <w:szCs w:val="22"/>
        </w:rPr>
        <w:t xml:space="preserve">KXGC (kxgc.io) is the capital of last resort for the entire ChronX insurance and lending stack. It holds 300,000,000 KX in fully-reserved catastrophic bond capital — permanently visible on the DAG, queryable by anyone, at any time. KXGC operates the Lloyd’s of London model: a three-tier hierarchy of bonded guarantors. Tier 0 (KXGC, 300M KX, never writes policies directly). Tier 1 (bonded Names, 5—25M KX each, write guarantee instruments, bond the first portion of claims before KXGC’s backstop is ever touched). Tier 2 (retail pools, backed by Tier 1 sponsors).</w:t>
      </w:r>
    </w:p>
    <w:p>
      <w:pPr>
        <w:spacing w:before="100" w:after="100"/>
      </w:pPr>
    </w:p>
    <w:p>
      <w:pPr>
        <w:spacing w:before="100" w:after="100"/>
        <w:jc w:val="both"/>
      </w:pPr>
      <w:r>
        <w:rPr>
          <w:rFonts w:ascii="Arial" w:cs="Arial" w:eastAsia="Arial" w:hAnsi="Arial"/>
          <w:sz w:val="22"/>
          <w:szCs w:val="22"/>
        </w:rPr>
        <w:t xml:space="preserve">KXGC provides the backstop that makes PAY_AS insurance, long-horizon lending, and multi-party conditional payments viable at scale. KXGC is also the primary institutional Exchange Buyer for HedgeKX — the largest single source of structured hedging demand as it writes insurance policies requiring currency certainty.</w:t>
      </w:r>
    </w:p>
    <w:p>
      <w:pPr>
        <w:spacing w:before="100" w:after="100"/>
      </w:pPr>
    </w:p>
    <w:p>
      <w:pPr>
        <w:spacing w:before="100" w:after="100"/>
        <w:jc w:val="both"/>
      </w:pPr>
      <w:r>
        <w:rPr>
          <w:rFonts w:ascii="Arial" w:cs="Arial" w:eastAsia="Arial" w:hAnsi="Arial"/>
          <w:sz w:val="22"/>
          <w:szCs w:val="22"/>
        </w:rPr>
        <w:t xml:space="preserve">KXGC’s most immediate addressable market is the excess and surplus lines segment that traditional carriers systematically underserve. A homeowner whose primary policy covers the first $50,000 of loss can purchase KXGC excess coverage for everything above that threshold, priced to their individual risk profile rather than the pool average. The DAG’s immutable property record, CPNX’s on-chain attestation of risk characteristics, and the oracle’s parametric trigger eliminate the information asymmetry and processing costs that make individual excess underwriting uneconomical for traditional carriers.</w:t>
      </w:r>
    </w:p>
    <w:p>
      <w:pPr>
        <w:spacing w:before="100" w:after="100"/>
      </w:pPr>
    </w:p>
    <w:p>
      <w:pPr>
        <w:spacing w:before="100" w:after="100"/>
        <w:jc w:val="both"/>
      </w:pPr>
      <w:r>
        <w:rPr>
          <w:rFonts w:ascii="Arial" w:cs="Arial" w:eastAsia="Arial" w:hAnsi="Arial"/>
          <w:sz w:val="22"/>
          <w:szCs w:val="22"/>
        </w:rPr>
        <w:t xml:space="preserve">The layered coverage architecture is clean:</w:t>
      </w:r>
    </w:p>
    <w:p>
      <w:pPr>
        <w:spacing w:before="100" w:after="100"/>
      </w:pPr>
    </w:p>
    <w:p>
      <w:pPr>
        <w:spacing w:before="100" w:after="100"/>
        <w:jc w:val="both"/>
      </w:pPr>
      <w:r>
        <w:rPr>
          <w:rFonts w:ascii="Arial" w:cs="Arial" w:eastAsia="Arial" w:hAnsi="Arial"/>
          <w:sz w:val="22"/>
          <w:szCs w:val="22"/>
        </w:rPr>
        <w:t xml:space="preserve">Layer 1 — Primary coverage (traditional carrier): $0 to policy limit. Standard carrier, standard rates, standard claims process. Already exists. ChronX does not replace this.</w:t>
      </w:r>
    </w:p>
    <w:p>
      <w:pPr>
        <w:spacing w:before="100" w:after="100"/>
      </w:pPr>
    </w:p>
    <w:p>
      <w:pPr>
        <w:spacing w:before="100" w:after="100"/>
        <w:jc w:val="both"/>
      </w:pPr>
      <w:r>
        <w:rPr>
          <w:rFonts w:ascii="Arial" w:cs="Arial" w:eastAsia="Arial" w:hAnsi="Arial"/>
          <w:sz w:val="22"/>
          <w:szCs w:val="22"/>
        </w:rPr>
        <w:t xml:space="preserve">Layer 2 — KXGC excess (ChronX): above the primary limit, up to whatever the Tier 1 Name underwrites. Parametric trigger via oracle. Automatic payment. Priced to individual risk profile. The LinkedSpring instrument type handles activation cleanly — the KXGC instrument fires only after primary coverage is documented as exhausted.</w:t>
      </w:r>
    </w:p>
    <w:p>
      <w:pPr>
        <w:spacing w:before="100" w:after="100"/>
      </w:pPr>
    </w:p>
    <w:p>
      <w:pPr>
        <w:spacing w:before="100" w:after="100"/>
        <w:jc w:val="both"/>
      </w:pPr>
      <w:r>
        <w:rPr>
          <w:rFonts w:ascii="Arial" w:cs="Arial" w:eastAsia="Arial" w:hAnsi="Arial"/>
          <w:sz w:val="22"/>
          <w:szCs w:val="22"/>
        </w:rPr>
        <w:t xml:space="preserve">Layer 3 — KXGC catastrophic backstop: above Tier 1 capacity. The 300M KX bond. Last resort only.</w:t>
      </w:r>
    </w:p>
    <w:p>
      <w:pPr>
        <w:spacing w:before="100" w:after="100"/>
      </w:pPr>
    </w:p>
    <w:p>
      <w:pPr>
        <w:spacing w:before="100" w:after="100"/>
        <w:jc w:val="both"/>
      </w:pPr>
      <w:r>
        <w:rPr>
          <w:rFonts w:ascii="Arial" w:cs="Arial" w:eastAsia="Arial" w:hAnsi="Arial"/>
          <w:sz w:val="22"/>
          <w:szCs w:val="22"/>
        </w:rPr>
        <w:t xml:space="preserve">KXGC does not compete with existing primary insurers. It covers what they leave uncovered — at any claim size, from 10 KX to 10,000,000 KX, at zero processing cost, with automatic parametric settlement.</w:t>
      </w:r>
    </w:p>
    <w:p>
      <w:pPr>
        <w:spacing w:before="100" w:after="100"/>
      </w:pPr>
    </w:p>
    <w:p>
      <w:pPr>
        <w:spacing w:before="100" w:after="100"/>
        <w:jc w:val="both"/>
      </w:pPr>
      <w:r>
        <w:rPr>
          <w:rFonts w:ascii="Arial" w:cs="Arial" w:eastAsia="Arial" w:hAnsi="Arial"/>
          <w:sz w:val="22"/>
          <w:szCs w:val="22"/>
        </w:rPr>
        <w:t xml:space="preserve">Springing obligations extend far beyond homeowner coverage. Performance bonds, escrow releases, crop parametric coverage, gig worker income protection, trade finance conditional payments, supply chain milestone triggers — all are conditional payments that the protocol enforces identically regardless of size or domain.</w:t>
      </w:r>
    </w:p>
    <w:p>
      <w:pPr>
        <w:spacing w:before="100" w:after="100"/>
      </w:pPr>
    </w:p>
    <w:p>
      <w:pPr>
        <w:spacing w:before="100" w:after="100"/>
      </w:pPr>
    </w:p>
    <w:p>
      <w:pPr>
        <w:spacing w:before="100" w:after="100"/>
        <w:jc w:val="both"/>
      </w:pPr>
      <w:r>
        <w:rPr>
          <w:rFonts w:ascii="Arial" w:cs="Arial" w:eastAsia="Arial" w:hAnsi="Arial"/>
          <w:sz w:val="22"/>
          <w:szCs w:val="22"/>
        </w:rPr>
        <w:t xml:space="preserve">KXGC operates on a 100-year horizon. There is no requirement — and no pressure — to begin underwriting at launch. The 300M KX catastrophic bond exists to provide an unconditional backstop when the market is ready, not to manufacture activity before it is. Tier 1 Names are admitted by KXGC when they demonstrate genuine expertise, adequate personal bonding, and a prudent underwriting philosophy. The first policy written on ChronX will be written when a qualified Name believes the market conditions, the protocol’s track record, and the available hedge capacity make it responsible to do so. Not before.</w:t>
      </w:r>
    </w:p>
    <w:p>
      <w:pPr>
        <w:spacing w:before="100" w:after="100"/>
      </w:pPr>
    </w:p>
    <w:p>
      <w:pPr>
        <w:spacing w:before="100" w:after="100"/>
        <w:jc w:val="both"/>
      </w:pPr>
      <w:r>
        <w:rPr>
          <w:rFonts w:ascii="Arial" w:cs="Arial" w:eastAsia="Arial" w:hAnsi="Arial"/>
          <w:sz w:val="22"/>
          <w:szCs w:val="22"/>
        </w:rPr>
        <w:t xml:space="preserve">In addition to the catastrophic bond, KXGC holds 200,000,000 KX in operating capital, vesting in annual tranches from 2027 to 2036. This working capital funds policy underwriting liquidity, claim payment float, and hedge collateral as the market develops. The vesting schedule front-loads small tranches in the early years — when KXGC has no active policies — and delivers larger tranches in later years when an established policy book and admitted Tier 1 Names create genuine operational need. The cascade structure means most of this capital does not yet exist as spendable KX, providing an additional layer of market protection.</w:t>
      </w:r>
    </w:p>
    <w:p>
      <w:pPr>
        <w:spacing w:before="100" w:after="100"/>
      </w:pPr>
    </w:p>
    <w:p>
      <w:pPr>
        <w:spacing w:before="100" w:after="100"/>
        <w:jc w:val="both"/>
      </w:pPr>
      <w:r>
        <w:rPr>
          <w:rFonts w:ascii="Arial" w:cs="Arial" w:eastAsia="Arial" w:hAnsi="Arial"/>
          <w:sz w:val="22"/>
          <w:szCs w:val="22"/>
        </w:rPr>
        <w:t xml:space="preserve">The Tier 1 bonding requirement is the mechanism that makes KXGC prudent rather than reckless: Tier 1 Names bond the first portion of claims before KXGC’s backstop is ever touched. A Tier 1 Name must exhaust their own bond before KXGC steps in. This personal exposure gives Tier 1 Names strong incentive to underwrite carefully, price correctly, and maintain adequate reserves. KXGC only absorbs what survives both the Tier 1 and Tier 2 layers. This is the Lloyd’s Names model encoded in the protocol.</w:t>
      </w:r>
    </w:p>
    <w:p>
      <w:pPr>
        <w:spacing w:before="100" w:after="100"/>
      </w:pPr>
    </w:p>
    <w:p>
      <w:pPr>
        <w:spacing w:before="100" w:after="100"/>
        <w:jc w:val="both"/>
      </w:pPr>
      <w:r>
        <w:rPr>
          <w:rFonts w:ascii="Arial" w:cs="Arial" w:eastAsia="Arial" w:hAnsi="Arial"/>
          <w:sz w:val="22"/>
          <w:szCs w:val="22"/>
        </w:rPr>
        <w:t xml:space="preserve">Catastrophic bond wallet: BqjGDbhzLJJgzpVywRxug4wTa2Qqtwipc1hkcLLJsWzF</w:t>
      </w:r>
    </w:p>
    <w:p>
      <w:pPr>
        <w:spacing w:before="100" w:after="100"/>
      </w:pPr>
    </w:p>
    <w:p>
      <w:pPr>
        <w:spacing w:before="100" w:after="100"/>
        <w:jc w:val="both"/>
      </w:pPr>
      <w:r>
        <w:rPr>
          <w:rFonts w:ascii="Arial" w:cs="Arial" w:eastAsia="Arial" w:hAnsi="Arial"/>
          <w:sz w:val="22"/>
          <w:szCs w:val="22"/>
        </w:rPr>
        <w:t xml:space="preserve">Operating capital wallet: G2aH9NfRFo5gdLTMjNqCRv4PkcKKEHLD99Y8vhQwSgeV</w:t>
      </w:r>
    </w:p>
    <w:p>
      <w:pPr>
        <w:spacing w:before="100" w:after="100"/>
      </w:pPr>
    </w:p>
    <w:p>
      <w:pPr>
        <w:pStyle w:val="Heading1"/>
        <w:spacing w:before="480" w:after="240"/>
      </w:pPr>
      <w:r>
        <w:rPr>
          <w:rFonts w:ascii="Arial" w:cs="Arial" w:eastAsia="Arial" w:hAnsi="Arial"/>
          <w:b/>
          <w:bCs/>
          <w:color w:val="1F4E79"/>
          <w:sz w:val="34"/>
          <w:szCs w:val="34"/>
        </w:rPr>
        <w:t xml:space="preserve">4.7 Savings — Protocol-Guaranteed Principal</w:t>
      </w:r>
    </w:p>
    <w:p>
      <w:pPr>
        <w:pBdr>
          <w:left w:val="single" w:color="2E75B6" w:sz="8" w:space="12"/>
        </w:pBdr>
        <w:spacing w:before="160" w:after="160"/>
        <w:ind w:left="720" w:right="720"/>
      </w:pPr>
      <w:r>
        <w:rPr>
          <w:rFonts w:ascii="Arial" w:cs="Arial" w:eastAsia="Arial" w:hAnsi="Arial"/>
          <w:i/>
          <w:iCs/>
          <w:sz w:val="22"/>
          <w:szCs w:val="22"/>
        </w:rPr>
        <w:t xml:space="preserve">"Your savings principal is guaranteed by the ChronX protocol — secured by mathematics, not by a bank."</w:t>
      </w:r>
    </w:p>
    <w:p>
      <w:pPr>
        <w:spacing w:before="80" w:after="80"/>
      </w:pPr>
      <w:r>
        <w:t xml:space="preserve"/>
      </w:r>
    </w:p>
    <w:p>
      <w:pPr>
        <w:spacing w:before="100" w:after="100"/>
        <w:jc w:val="both"/>
      </w:pPr>
      <w:r>
        <w:rPr>
          <w:rFonts w:ascii="Arial" w:cs="Arial" w:eastAsia="Arial" w:hAnsi="Arial"/>
          <w:sz w:val="22"/>
          <w:szCs w:val="22"/>
        </w:rPr>
        <w:t xml:space="preserve">When a user deposits KX into a savings lock, the following is true without exception: the KX is locked on the ChronX DAG at the moment of deposit and does not move; the lock matures automatically at the specified date with no human action required; the full principal returns to the owner at maturity automatically; this guarantee holds regardless of the operational status of any third party, any market condition, any hack or breach, or any regulatory action. The guarantee is enforced by the DAG itself — secured by CRYSTALS-Dilithium2 post-quantum signatures.</w:t>
      </w:r>
    </w:p>
    <w:p>
      <w:pPr>
        <w:spacing w:before="80" w:after="80"/>
      </w:pPr>
      <w:r>
        <w:t xml:space="preserve"/>
      </w:r>
    </w:p>
    <w:p>
      <w:pPr>
        <w:spacing w:before="100" w:after="100"/>
        <w:jc w:val="both"/>
      </w:pPr>
      <w:r>
        <w:rPr>
          <w:rFonts w:ascii="Arial" w:cs="Arial" w:eastAsia="Arial" w:hAnsi="Arial"/>
          <w:sz w:val="22"/>
          <w:szCs w:val="22"/>
        </w:rPr>
        <w:t xml:space="preserve">No bank can make this statement about a yield-bearing product. A bank's promise to return principal depends on solvency, insurance, and government discretion. ChronX's guarantee depends only on mathematics.</w:t>
      </w:r>
    </w:p>
    <w:p>
      <w:pPr>
        <w:spacing w:before="80" w:after="80"/>
      </w:pPr>
      <w:r>
        <w:t xml:space="preserve"/>
      </w:r>
    </w:p>
    <w:p>
      <w:pPr>
        <w:spacing w:before="100" w:after="100"/>
        <w:jc w:val="both"/>
      </w:pPr>
      <w:r>
        <w:rPr>
          <w:rFonts w:ascii="Arial" w:cs="Arial" w:eastAsia="Arial" w:hAnsi="Arial"/>
          <w:b/>
          <w:bCs/>
          <w:sz w:val="22"/>
          <w:szCs w:val="22"/>
        </w:rPr>
        <w:t xml:space="preserve">Yield:</w:t>
      </w:r>
    </w:p>
    <w:p>
      <w:pPr>
        <w:spacing w:before="100" w:after="100"/>
        <w:jc w:val="both"/>
      </w:pPr>
      <w:r>
        <w:rPr>
          <w:rFonts w:ascii="Arial" w:cs="Arial" w:eastAsia="Arial" w:hAnsi="Arial"/>
          <w:sz w:val="22"/>
          <w:szCs w:val="22"/>
        </w:rPr>
        <w:t xml:space="preserve">Yield is separate from principal and is not guaranteed. It comes from HedgeKX's facilitation activity — when HedgeKX uses the lock's mandate for an active matched transaction, it pays a share of its income to the yield balance of the promise's beneficiary. Yield accumulates in a separate balance on the DAG that never decreases — once credited, it is permanent and claimable at any time. On days when HedgeKX has no activity, yield is zero for that day. The principal is unaffected. Maximum loss to a saver in any scenario: zero principal.</w:t>
      </w:r>
    </w:p>
    <w:p>
      <w:pPr>
        <w:spacing w:before="80" w:after="80"/>
      </w:pPr>
      <w:r>
        <w:t xml:space="preserve"/>
      </w:r>
    </w:p>
    <w:p>
      <w:pPr>
        <w:spacing w:before="100" w:after="100"/>
        <w:jc w:val="both"/>
      </w:pPr>
      <w:r>
        <w:rPr>
          <w:rFonts w:ascii="Arial" w:cs="Arial" w:eastAsia="Arial" w:hAnsi="Arial"/>
          <w:b/>
          <w:bCs/>
          <w:sz w:val="22"/>
          <w:szCs w:val="22"/>
        </w:rPr>
        <w:t xml:space="preserve">Yield opt-out:</w:t>
      </w:r>
    </w:p>
    <w:p>
      <w:pPr>
        <w:spacing w:before="100" w:after="100"/>
        <w:jc w:val="both"/>
      </w:pPr>
      <w:r>
        <w:rPr>
          <w:rFonts w:ascii="Arial" w:cs="Arial" w:eastAsia="Arial" w:hAnsi="Arial"/>
          <w:sz w:val="22"/>
          <w:szCs w:val="22"/>
        </w:rPr>
        <w:t xml:space="preserve">Grantors who prefer not to grant a HedgeKX mandate — for tax or other reasons — may set yield_opt_out at creation. Principal protection is identical.</w:t>
      </w:r>
    </w:p>
    <w:p>
      <w:r>
        <w:br w:type="page"/>
      </w:r>
    </w:p>
    <w:p>
      <w:pPr>
        <w:pStyle w:val="Heading1"/>
        <w:spacing w:before="480" w:after="240"/>
      </w:pPr>
      <w:r>
        <w:rPr>
          <w:rFonts w:ascii="Arial" w:cs="Arial" w:eastAsia="Arial" w:hAnsi="Arial"/>
          <w:b/>
          <w:bCs/>
          <w:color w:val="1F4E79"/>
          <w:sz w:val="34"/>
          <w:szCs w:val="34"/>
        </w:rPr>
        <w:t xml:space="preserve">4.8 Friendly Loans — Promises Between People</w:t>
      </w:r>
    </w:p>
    <w:p>
      <w:pPr>
        <w:spacing w:before="100" w:after="100"/>
        <w:jc w:val="both"/>
      </w:pPr>
      <w:r>
        <w:rPr>
          <w:rFonts w:ascii="Arial" w:cs="Arial" w:eastAsia="Arial" w:hAnsi="Arial"/>
          <w:sz w:val="22"/>
          <w:szCs w:val="22"/>
        </w:rPr>
        <w:t xml:space="preserve">A friendly loan is a promise between two people: I will send you KX now, and you will return its USD equivalent within 30 days. ChronX enforces both sides automatically.</w:t>
      </w:r>
    </w:p>
    <w:p>
      <w:pPr>
        <w:spacing w:before="80" w:after="80"/>
      </w:pPr>
      <w:r>
        <w:t xml:space="preserve"/>
      </w:r>
    </w:p>
    <w:p>
      <w:pPr>
        <w:spacing w:before="100" w:after="100"/>
        <w:jc w:val="both"/>
      </w:pPr>
      <w:r>
        <w:rPr>
          <w:rFonts w:ascii="Arial" w:cs="Arial" w:eastAsia="Arial" w:hAnsi="Arial"/>
          <w:sz w:val="22"/>
          <w:szCs w:val="22"/>
        </w:rPr>
        <w:t xml:space="preserve">The cost is a hedge fee — currently 1% for 30 days by governance — paid to HedgeKX for providing the currency certainty that backs the promise. Governance sets both the fee rate and the maximum duration. These parameters will expand as the HedgeKX market matures. This is not interest — it is the cost of guaranteeing that the lender receives USD equivalent value regardless of what KX does during the loan period. There is no compounding, no late fee structure beyond what the lender specifies, and no hidden charges.</w:t>
      </w:r>
    </w:p>
    <w:p>
      <w:pPr>
        <w:spacing w:before="80" w:after="80"/>
      </w:pPr>
      <w:r>
        <w:t xml:space="preserve"/>
      </w:r>
    </w:p>
    <w:p>
      <w:pPr>
        <w:spacing w:before="100" w:after="100"/>
        <w:jc w:val="both"/>
      </w:pPr>
      <w:r>
        <w:rPr>
          <w:rFonts w:ascii="Arial" w:cs="Arial" w:eastAsia="Arial" w:hAnsi="Arial"/>
          <w:b/>
          <w:bCs/>
          <w:sz w:val="22"/>
          <w:szCs w:val="22"/>
        </w:rPr>
        <w:t xml:space="preserve">How it works:</w:t>
      </w:r>
    </w:p>
    <w:p>
      <w:pPr>
        <w:spacing w:before="100" w:after="100"/>
        <w:jc w:val="both"/>
      </w:pPr>
      <w:r>
        <w:rPr>
          <w:rFonts w:ascii="Arial" w:cs="Arial" w:eastAsia="Arial" w:hAnsi="Arial"/>
          <w:sz w:val="22"/>
          <w:szCs w:val="22"/>
        </w:rPr>
        <w:t xml:space="preserve">The sender requests a 10-second locked quote from HedgeKX. HedgeKX reserves the hedge capacity. The sender confirms within 10 seconds. The hedge and the promise are created atomically — the promise cannot activate without an active hedge in place. The borrower receives KX immediately. On the due date, the borrower returns the KX equivalent of the original USD amount at the current exchange rate. The hedge ensures the lender receives full USD value regardless of rate movements.</w:t>
      </w:r>
    </w:p>
    <w:p>
      <w:pPr>
        <w:spacing w:before="80" w:after="80"/>
      </w:pPr>
      <w:r>
        <w:t xml:space="preserve"/>
      </w:r>
    </w:p>
    <w:p>
      <w:pPr>
        <w:spacing w:before="100" w:after="100"/>
        <w:jc w:val="both"/>
      </w:pPr>
      <w:r>
        <w:rPr>
          <w:rFonts w:ascii="Arial" w:cs="Arial" w:eastAsia="Arial" w:hAnsi="Arial"/>
          <w:b/>
          <w:bCs/>
          <w:sz w:val="22"/>
          <w:szCs w:val="22"/>
        </w:rPr>
        <w:t xml:space="preserve">Availability:</w:t>
      </w:r>
    </w:p>
    <w:p>
      <w:pPr>
        <w:spacing w:before="100" w:after="100"/>
        <w:jc w:val="both"/>
      </w:pPr>
      <w:r>
        <w:rPr>
          <w:rFonts w:ascii="Arial" w:cs="Arial" w:eastAsia="Arial" w:hAnsi="Arial"/>
          <w:sz w:val="22"/>
          <w:szCs w:val="22"/>
        </w:rPr>
        <w:t xml:space="preserve">Friendly loans require a live HedgeKX hedge. Governance prioritises friendly loan requests when HedgeKX capacity is limited — if a friendly loan request and another hedge request arrive simultaneously, the friendly loan is served first. The effective maximum per transaction is governed by available HedgeKX capacity; as the ecosystem deepens post-ICO, this cap rises automatically. Current governance cap: $250 per transaction.</w:t>
      </w:r>
    </w:p>
    <w:p>
      <w:pPr>
        <w:spacing w:before="80" w:after="80"/>
      </w:pPr>
      <w:r>
        <w:t xml:space="preserve"/>
      </w:r>
    </w:p>
    <w:p>
      <w:pPr>
        <w:spacing w:before="100" w:after="100"/>
        <w:jc w:val="both"/>
      </w:pPr>
      <w:r>
        <w:rPr>
          <w:rFonts w:ascii="Arial" w:cs="Arial" w:eastAsia="Arial" w:hAnsi="Arial"/>
          <w:b/>
          <w:bCs/>
          <w:sz w:val="22"/>
          <w:szCs w:val="22"/>
        </w:rPr>
        <w:t xml:space="preserve">If HedgeKX is paused:</w:t>
      </w:r>
    </w:p>
    <w:p>
      <w:pPr>
        <w:spacing w:before="100" w:after="100"/>
        <w:jc w:val="both"/>
      </w:pPr>
      <w:r>
        <w:rPr>
          <w:rFonts w:ascii="Arial" w:cs="Arial" w:eastAsia="Arial" w:hAnsi="Arial"/>
          <w:sz w:val="22"/>
          <w:szCs w:val="22"/>
        </w:rPr>
        <w:t xml:space="preserve">Friendly loans are unavailable. This is correct design: a loan that cannot be hedged for currency risk cannot be made. Existing loans continue to maturity normally.</w:t>
      </w:r>
    </w:p>
    <w:p>
      <w:pPr>
        <w:spacing w:before="80" w:after="80"/>
      </w:pPr>
      <w:r>
        <w:t xml:space="preserve"/>
      </w:r>
    </w:p>
    <w:p>
      <w:pPr>
        <w:spacing w:before="100" w:after="100"/>
        <w:jc w:val="both"/>
      </w:pPr>
      <w:r>
        <w:rPr>
          <w:rFonts w:ascii="Arial" w:cs="Arial" w:eastAsia="Arial" w:hAnsi="Arial"/>
          <w:sz w:val="22"/>
          <w:szCs w:val="22"/>
        </w:rPr>
        <w:t xml:space="preserve">Full technical specification: Appendix B (Bilateral Promises).</w:t>
      </w:r>
    </w:p>
    <w:p>
      <w:r>
        <w:br w:type="page"/>
      </w:r>
    </w:p>
    <w:p>
      <w:pPr>
        <w:pStyle w:val="Heading1"/>
        <w:spacing w:before="480" w:after="240"/>
      </w:pPr>
      <w:r>
        <w:rPr>
          <w:rFonts w:ascii="Arial" w:cs="Arial" w:eastAsia="Arial" w:hAnsi="Arial"/>
          <w:b/>
          <w:bCs/>
          <w:color w:val="1F4E79"/>
          <w:sz w:val="34"/>
          <w:szCs w:val="34"/>
        </w:rPr>
        <w:t xml:space="preserve">4.9 EPP Bond Structure and Market Protection</w:t>
      </w:r>
    </w:p>
    <w:p>
      <w:pPr>
        <w:spacing w:before="100" w:after="100"/>
      </w:pPr>
    </w:p>
    <w:p>
      <w:pPr>
        <w:spacing w:before="100" w:after="100"/>
        <w:jc w:val="both"/>
      </w:pPr>
      <w:r>
        <w:rPr>
          <w:rFonts w:ascii="Arial" w:cs="Arial" w:eastAsia="Arial" w:hAnsi="Arial"/>
          <w:sz w:val="22"/>
          <w:szCs w:val="22"/>
        </w:rPr>
        <w:t xml:space="preserve">A natural question arises: if an EPP holds a large KX allocation, could it sell that allocation and flood the market?</w:t>
      </w:r>
    </w:p>
    <w:p>
      <w:pPr>
        <w:spacing w:before="100" w:after="100"/>
      </w:pPr>
    </w:p>
    <w:p>
      <w:pPr>
        <w:spacing w:before="100" w:after="100"/>
        <w:jc w:val="both"/>
      </w:pPr>
      <w:r>
        <w:rPr>
          <w:rFonts w:ascii="Arial" w:cs="Arial" w:eastAsia="Arial" w:hAnsi="Arial"/>
          <w:sz w:val="22"/>
          <w:szCs w:val="22"/>
        </w:rPr>
        <w:t xml:space="preserve">The answer involves four independent layers of protection.</w:t>
      </w:r>
    </w:p>
    <w:p>
      <w:pPr>
        <w:spacing w:before="100" w:after="100"/>
      </w:pPr>
    </w:p>
    <w:p>
      <w:pPr>
        <w:spacing w:before="100" w:after="100"/>
        <w:jc w:val="both"/>
      </w:pPr>
      <w:r>
        <w:rPr>
          <w:rFonts w:ascii="Arial" w:cs="Arial" w:eastAsia="Arial" w:hAnsi="Arial"/>
          <w:sz w:val="22"/>
          <w:szCs w:val="22"/>
        </w:rPr>
        <w:t xml:space="preserve">Layer 1 — The bond is locked for 100 years. Every EPP bond is lent to the ChronX Foundation as a 100-year, 0% interest loan using the protocol’s own TYPE B lock instrument. The KX is in the Foundation’s custody for 100 years. The EPP holds the loan record — not spendable KX. There is nothing to sell. The lock is on the DAG. It is immovable until maturity. This is enforced by the DAG’s consensus rules, not by any institutional promise.</w:t>
      </w:r>
    </w:p>
    <w:p>
      <w:pPr>
        <w:spacing w:before="100" w:after="100"/>
      </w:pPr>
    </w:p>
    <w:p>
      <w:pPr>
        <w:spacing w:before="100" w:after="100"/>
        <w:jc w:val="both"/>
      </w:pPr>
      <w:r>
        <w:rPr>
          <w:rFonts w:ascii="Arial" w:cs="Arial" w:eastAsia="Arial" w:hAnsi="Arial"/>
          <w:sz w:val="22"/>
          <w:szCs w:val="22"/>
        </w:rPr>
        <w:t xml:space="preserve">Layer 2 — Working capital vests gradually. EPP working capital is not transferred as a lump sum. It vests in annual tranches locked on the ChronX DAG — 5 annual tranches for HedgeKX (2027—2031) and 10 annual tranches for KXGC (2027—2036). An EPP cannot liquidate future tranches because those tranches do not yet exist as spendable KX. At any given moment, only the current released tranche is operationally available — representing a small fraction of total working capital allocation.</w:t>
      </w:r>
    </w:p>
    <w:p>
      <w:pPr>
        <w:spacing w:before="100" w:after="100"/>
      </w:pPr>
    </w:p>
    <w:p>
      <w:pPr>
        <w:spacing w:before="100" w:after="100"/>
        <w:jc w:val="both"/>
      </w:pPr>
      <w:r>
        <w:rPr>
          <w:rFonts w:ascii="Arial" w:cs="Arial" w:eastAsia="Arial" w:hAnsi="Arial"/>
          <w:sz w:val="22"/>
          <w:szCs w:val="22"/>
        </w:rPr>
        <w:t xml:space="preserve">Layer 3 — Bond slashing requires public notice and a 30-day countdown. If an EPP misuses its released working capital, the Foundation publishes a Notice of Intent to Slash via a DrawRequest action on the DAG — publicly visible to everyone immediately. This begins a protocol-enforced 30-day countdown during which the EPP can resolve the issue. If resolved, the DrawRequest is aborted. If not, the slash executes automatically. The Foundation cannot accelerate the 30-day window. The Board cannot override it. The 30-day window provides public notice and market transparency before any slash executes.</w:t>
      </w:r>
    </w:p>
    <w:p>
      <w:pPr>
        <w:spacing w:before="100" w:after="100"/>
      </w:pPr>
    </w:p>
    <w:p>
      <w:pPr>
        <w:spacing w:before="100" w:after="100"/>
        <w:jc w:val="both"/>
      </w:pPr>
      <w:r>
        <w:rPr>
          <w:rFonts w:ascii="Arial" w:cs="Arial" w:eastAsia="Arial" w:hAnsi="Arial"/>
          <w:sz w:val="22"/>
          <w:szCs w:val="22"/>
        </w:rPr>
        <w:t xml:space="preserve">Layer 4 — Franchise loss is the ultimate deterrent. EPPs operate under a governance mandate to act reasonably for the protection of the ecosystem. Attempting to liquidate large quantities of working capital in a manner that would harm the ecosystem would constitute a clear breach of this mandate, triggering a DrawRequest against the EPP’s bond and ultimately revocation of their franchise. The EPP would lose their operating authority, their bond, and their role — assigned to a qualified successor. This makes such behavior economically irrational for any EPP with a long-term view.</w:t>
      </w:r>
    </w:p>
    <w:p>
      <w:pPr>
        <w:spacing w:before="100" w:after="100"/>
      </w:pPr>
    </w:p>
    <w:p>
      <w:pPr>
        <w:spacing w:before="100" w:after="100"/>
        <w:jc w:val="both"/>
      </w:pPr>
      <w:r>
        <w:rPr>
          <w:rFonts w:ascii="Arial" w:cs="Arial" w:eastAsia="Arial" w:hAnsi="Arial"/>
          <w:sz w:val="22"/>
          <w:szCs w:val="22"/>
        </w:rPr>
        <w:t xml:space="preserve">The residual risk is acknowledged honestly: an EPP determined to exit could liquidate released working capital tranches and absorb the bond slash as the cost of doing so. This is the natural consequence of having genuinely independent EPPs rather than Foundation-controlled subsidiaries. Independent expertise and genuine accountability require genuine independence. At any given moment the maximum exposure is one year’s released tranche — a small fraction of total allocation — before the 30-day DrawRequest process runs to completion.</w:t>
      </w:r>
    </w:p>
    <w:p>
      <w:pPr>
        <w:spacing w:before="100" w:after="100"/>
      </w:pPr>
    </w:p>
    <w:p>
      <w:pPr>
        <w:spacing w:before="100" w:after="100"/>
        <w:jc w:val="both"/>
      </w:pPr>
      <w:r>
        <w:rPr>
          <w:rFonts w:ascii="Arial" w:cs="Arial" w:eastAsia="Arial" w:hAnsi="Arial"/>
          <w:sz w:val="22"/>
          <w:szCs w:val="22"/>
        </w:rPr>
        <w:t xml:space="preserve">The four layers together: Bond (TYPE B, 100-year lock): Cannot be sold. Cannot be moved. Mathematics enforces this. Working capital (cascade locks, 5—10 years): Most does not yet exist as spendable KX. Future tranches are immovable on the DAG. DrawRequest (30-day public countdown): Any misuse triggers immediate public notice. Market observes before slash executes. Franchise loss (governance mandate): Economic deterrent. Misuse costs more than it gains for any long-horizon operator.</w:t>
      </w:r>
    </w:p>
    <w:p>
      <w:pPr>
        <w:spacing w:before="100" w:after="100"/>
      </w:pPr>
    </w:p>
    <w:p>
      <w:pPr>
        <w:pStyle w:val="Heading1"/>
        <w:spacing w:before="480" w:after="240"/>
      </w:pPr>
      <w:r>
        <w:rPr>
          <w:rFonts w:ascii="Arial" w:cs="Arial" w:eastAsia="Arial" w:hAnsi="Arial"/>
          <w:b/>
          <w:bCs/>
          <w:color w:val="1F4E79"/>
          <w:sz w:val="34"/>
          <w:szCs w:val="34"/>
        </w:rPr>
        <w:t xml:space="preserve">4.10 Regulatory Framework and KYC</w:t>
      </w:r>
    </w:p>
    <w:p>
      <w:pPr>
        <w:spacing w:before="100" w:after="100"/>
      </w:pPr>
    </w:p>
    <w:p>
      <w:pPr>
        <w:spacing w:before="100" w:after="100"/>
        <w:jc w:val="both"/>
      </w:pPr>
      <w:r>
        <w:rPr>
          <w:rFonts w:ascii="Arial" w:cs="Arial" w:eastAsia="Arial" w:hAnsi="Arial"/>
          <w:sz w:val="22"/>
          <w:szCs w:val="22"/>
        </w:rPr>
        <w:t xml:space="preserve">The ChronX Protocol is designed to accommodate patient, full regulatory compliance in each jurisdiction where its Essential Protocol Partners operate. Each EPP is being established as a United States entity — initially in New York or Delaware — with regulatory filings in progress. International domiciles will be added as the ecosystem develops and specific jurisdictional requirements emerge.</w:t>
      </w:r>
    </w:p>
    <w:p>
      <w:pPr>
        <w:spacing w:before="100" w:after="100"/>
      </w:pPr>
    </w:p>
    <w:p>
      <w:pPr>
        <w:spacing w:before="100" w:after="100"/>
        <w:jc w:val="both"/>
      </w:pPr>
      <w:r>
        <w:rPr>
          <w:rFonts w:ascii="Arial" w:cs="Arial" w:eastAsia="Arial" w:hAnsi="Arial"/>
          <w:sz w:val="22"/>
          <w:szCs w:val="22"/>
        </w:rPr>
        <w:t xml:space="preserve">Planned US regulatory filings per EPP:</w:t>
      </w:r>
    </w:p>
    <w:p>
      <w:pPr>
        <w:spacing w:before="100" w:after="100"/>
      </w:pPr>
    </w:p>
    <w:p>
      <w:pPr>
        <w:spacing w:before="100" w:after="100"/>
        <w:jc w:val="both"/>
      </w:pPr>
      <w:r>
        <w:rPr>
          <w:rFonts w:ascii="Arial" w:cs="Arial" w:eastAsia="Arial" w:hAnsi="Arial"/>
          <w:sz w:val="22"/>
          <w:szCs w:val="22"/>
        </w:rPr>
        <w:t xml:space="preserve">HedgeKX (New York): forward currency exchange. NFA membership and CFTC registration.</w:t>
      </w:r>
    </w:p>
    <w:p>
      <w:pPr>
        <w:spacing w:before="100" w:after="100"/>
      </w:pPr>
    </w:p>
    <w:p>
      <w:pPr>
        <w:spacing w:before="100" w:after="100"/>
        <w:jc w:val="both"/>
      </w:pPr>
      <w:r>
        <w:rPr>
          <w:rFonts w:ascii="Arial" w:cs="Arial" w:eastAsia="Arial" w:hAnsi="Arial"/>
          <w:sz w:val="22"/>
          <w:szCs w:val="22"/>
        </w:rPr>
        <w:t xml:space="preserve">KXGC (New York / Delaware): insurance holding company. NYDFS or risk retention group structure.</w:t>
      </w:r>
    </w:p>
    <w:p>
      <w:pPr>
        <w:spacing w:before="100" w:after="100"/>
      </w:pPr>
    </w:p>
    <w:p>
      <w:pPr>
        <w:spacing w:before="100" w:after="100"/>
        <w:jc w:val="both"/>
      </w:pPr>
      <w:r>
        <w:rPr>
          <w:rFonts w:ascii="Arial" w:cs="Arial" w:eastAsia="Arial" w:hAnsi="Arial"/>
          <w:sz w:val="22"/>
          <w:szCs w:val="22"/>
        </w:rPr>
        <w:t xml:space="preserve">XChan (New York): digital asset exchange. NYDFS BitLicense.</w:t>
      </w:r>
    </w:p>
    <w:p>
      <w:pPr>
        <w:spacing w:before="100" w:after="100"/>
      </w:pPr>
    </w:p>
    <w:p>
      <w:pPr>
        <w:spacing w:before="100" w:after="100"/>
        <w:jc w:val="both"/>
      </w:pPr>
      <w:r>
        <w:rPr>
          <w:rFonts w:ascii="Arial" w:cs="Arial" w:eastAsia="Arial" w:hAnsi="Arial"/>
          <w:sz w:val="22"/>
          <w:szCs w:val="22"/>
        </w:rPr>
        <w:t xml:space="preserve">MISAI (Delaware): AI-managed investment mandates. SEC registered investment adviser or exempt reporting adviser.</w:t>
      </w:r>
    </w:p>
    <w:p>
      <w:pPr>
        <w:spacing w:before="100" w:after="100"/>
      </w:pPr>
    </w:p>
    <w:p>
      <w:pPr>
        <w:spacing w:before="100" w:after="100"/>
        <w:jc w:val="both"/>
      </w:pPr>
      <w:r>
        <w:rPr>
          <w:rFonts w:ascii="Arial" w:cs="Arial" w:eastAsia="Arial" w:hAnsi="Arial"/>
          <w:sz w:val="22"/>
          <w:szCs w:val="22"/>
        </w:rPr>
        <w:t xml:space="preserve">Verifas (New York): identity attestation and human verification. General business entity; specific licensing assessed per activity scope.</w:t>
      </w:r>
    </w:p>
    <w:p>
      <w:pPr>
        <w:spacing w:before="100" w:after="100"/>
      </w:pPr>
    </w:p>
    <w:p>
      <w:pPr>
        <w:spacing w:before="100" w:after="100"/>
        <w:jc w:val="both"/>
      </w:pPr>
      <w:r>
        <w:rPr>
          <w:rFonts w:ascii="Arial" w:cs="Arial" w:eastAsia="Arial" w:hAnsi="Arial"/>
          <w:sz w:val="22"/>
          <w:szCs w:val="22"/>
        </w:rPr>
        <w:t xml:space="preserve">CPNX (Delaware): identity verification and KYC attestation. FCRA compliance and applicable state licensing.</w:t>
      </w:r>
    </w:p>
    <w:p>
      <w:pPr>
        <w:spacing w:before="100" w:after="100"/>
      </w:pPr>
    </w:p>
    <w:p>
      <w:pPr>
        <w:spacing w:before="100" w:after="100"/>
        <w:jc w:val="both"/>
      </w:pPr>
      <w:r>
        <w:rPr>
          <w:rFonts w:ascii="Arial" w:cs="Arial" w:eastAsia="Arial" w:hAnsi="Arial"/>
          <w:sz w:val="22"/>
          <w:szCs w:val="22"/>
        </w:rPr>
        <w:t xml:space="preserve">The protocol’s initial governance caps on transaction size, instrument duration, and exposure limits are designed to operate within the parameters of unlicensed activity while filings are pursued. KYC attestation for higher-value instruments is provided by CPNX using zero-knowledge cryptographic proofs — verifying eligibility without publishing identity data to the public DAG. Underlying identity records are maintained by CPNX and available to lawful regulatory authority.</w:t>
      </w:r>
    </w:p>
    <w:p>
      <w:pPr>
        <w:spacing w:before="100" w:after="100"/>
      </w:pPr>
    </w:p>
    <w:p>
      <w:pPr>
        <w:spacing w:before="100" w:after="100"/>
        <w:jc w:val="both"/>
      </w:pPr>
      <w:r>
        <w:rPr>
          <w:rFonts w:ascii="Arial" w:cs="Arial" w:eastAsia="Arial" w:hAnsi="Arial"/>
          <w:sz w:val="22"/>
          <w:szCs w:val="22"/>
        </w:rPr>
        <w:t xml:space="preserve">ChronX is not designed to evade regulation. It is designed to earn it.</w:t>
      </w:r>
    </w:p>
    <w:p>
      <w:pPr>
        <w:spacing w:before="100" w:after="100"/>
      </w:pPr>
    </w:p>
    <w:p>
      <w:pPr>
        <w:pStyle w:val="Heading1"/>
        <w:spacing w:before="480" w:after="240"/>
      </w:pPr>
      <w:r>
        <w:rPr>
          <w:rFonts w:ascii="Arial" w:cs="Arial" w:eastAsia="Arial" w:hAnsi="Arial"/>
          <w:b/>
          <w:bCs/>
          <w:color w:val="1F4E79"/>
          <w:sz w:val="34"/>
          <w:szCs w:val="34"/>
        </w:rPr>
        <w:t xml:space="preserve">5. Every Promise is Tradeable</w:t>
      </w:r>
    </w:p>
    <w:p>
      <w:pPr>
        <w:spacing w:before="100" w:after="100"/>
        <w:jc w:val="both"/>
      </w:pPr>
      <w:r>
        <w:rPr>
          <w:rFonts w:ascii="Arial" w:cs="Arial" w:eastAsia="Arial" w:hAnsi="Arial"/>
          <w:sz w:val="22"/>
          <w:szCs w:val="22"/>
        </w:rPr>
        <w:t xml:space="preserve">A loan on ChronX is not trapped with its original lender. By default, loan obligations can be transferred to new owners.</w:t>
      </w:r>
    </w:p>
    <w:p>
      <w:pPr>
        <w:spacing w:before="80" w:after="80"/>
      </w:pPr>
      <w:r>
        <w:t xml:space="preserve"/>
      </w:r>
    </w:p>
    <w:p>
      <w:pPr>
        <w:spacing w:before="100" w:after="100"/>
        <w:jc w:val="both"/>
      </w:pPr>
      <w:r>
        <w:rPr>
          <w:rFonts w:ascii="Arial" w:cs="Arial" w:eastAsia="Arial" w:hAnsi="Arial"/>
          <w:sz w:val="22"/>
          <w:szCs w:val="22"/>
        </w:rPr>
        <w:t xml:space="preserve">Governance: loan_transfer_enabled = false (dormant). Secondary market infrastructure is fully built. Activation requires a Foundation governance vote.</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Transferability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Anyone may buy this obligation. No restrictions.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RESTRICTED</w:t>
            </w:r>
          </w:p>
        </w:tc>
        <w:tc>
          <w:tcPr>
            <w:tcW w:type="dxa" w:w="7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Transfer requires lender approval or specific conditions.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be transferred. Lender holds to maturity.</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Tranching</w:t>
      </w:r>
    </w:p>
    <w:p>
      <w:pPr>
        <w:spacing w:before="100" w:after="100"/>
        <w:jc w:val="both"/>
      </w:pPr>
      <w:r>
        <w:rPr>
          <w:rFonts w:ascii="Arial" w:cs="Arial" w:eastAsia="Arial" w:hAnsi="Arial"/>
          <w:sz w:val="22"/>
          <w:szCs w:val="22"/>
        </w:rPr>
        <w:t xml:space="preserve">A single obligation can be split into tranches. Each tranche is a first-class obligation on the DAG with its own payment schedule, transfer history, and ownership record. Governance parameters: minimum tranche face value 1,000 KX, maximum 1,000 tranches per obligation, minimum trancheable obligation 10,000 KX.</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Yield and Principal Strips</w:t>
      </w:r>
    </w:p>
    <w:p>
      <w:pPr>
        <w:spacing w:before="100" w:after="100"/>
        <w:jc w:val="both"/>
      </w:pPr>
      <w:r>
        <w:rPr>
          <w:rFonts w:ascii="Arial" w:cs="Arial" w:eastAsia="Arial" w:hAnsi="Arial"/>
          <w:sz w:val="22"/>
          <w:szCs w:val="22"/>
        </w:rPr>
        <w:t xml:space="preserve">Tranched obligations support three claim types: WHOLE (principal and interest), YIELD_ONLY (interest payments only), and PRINCIPAL_ONLY (principal at maturity). This is the Pendle model implemented natively on a DAG.</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Atomic Settlement: T+0</w:t>
      </w:r>
    </w:p>
    <w:p>
      <w:pPr>
        <w:spacing w:before="100" w:after="100"/>
        <w:jc w:val="both"/>
      </w:pPr>
      <w:r>
        <w:rPr>
          <w:rFonts w:ascii="Arial" w:cs="Arial" w:eastAsia="Arial" w:hAnsi="Arial"/>
          <w:sz w:val="22"/>
          <w:szCs w:val="22"/>
        </w:rPr>
        <w:t xml:space="preserve">When an obligation trades, settlement is atomic. Buyer's KX transfers to seller and ownership transfers to buyer in the same DAG vertex. T+0. No counterparty risk. No failed trades. No intermediary.</w:t>
      </w:r>
    </w:p>
    <w:p>
      <w:r>
        <w:br w:type="page"/>
      </w:r>
    </w:p>
    <w:p>
      <w:pPr>
        <w:pStyle w:val="Heading1"/>
        <w:spacing w:before="480" w:after="240"/>
      </w:pPr>
      <w:r>
        <w:rPr>
          <w:rFonts w:ascii="Arial" w:cs="Arial" w:eastAsia="Arial" w:hAnsi="Arial"/>
          <w:b/>
          <w:bCs/>
          <w:color w:val="1F4E79"/>
          <w:sz w:val="34"/>
          <w:szCs w:val="34"/>
        </w:rPr>
        <w:t xml:space="preserve">6. The Axioms and Governance</w:t>
      </w:r>
    </w:p>
    <w:p>
      <w:pPr>
        <w:spacing w:before="100" w:after="100"/>
        <w:jc w:val="both"/>
      </w:pPr>
      <w:r>
        <w:rPr>
          <w:rFonts w:ascii="Arial" w:cs="Arial" w:eastAsia="Arial" w:hAnsi="Arial"/>
          <w:sz w:val="22"/>
          <w:szCs w:val="22"/>
        </w:rPr>
        <w:t xml:space="preserve">The ChronX Protocol is governed by 13 axioms encoded at Genesis Zero. These axioms are immutable. No governance body, software update, court order, or future decision can alter them.</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Promise Axioms</w:t>
      </w:r>
    </w:p>
    <w:p>
      <w:pPr>
        <w:spacing w:before="100" w:after="100"/>
        <w:jc w:val="both"/>
      </w:pPr>
      <w:r>
        <w:rPr>
          <w:rFonts w:ascii="Arial" w:cs="Arial" w:eastAsia="Arial" w:hAnsi="Arial"/>
          <w:b/>
          <w:bCs/>
          <w:sz w:val="22"/>
          <w:szCs w:val="22"/>
        </w:rPr>
        <w:t xml:space="preserve">Axiom I — Intent</w:t>
      </w:r>
    </w:p>
    <w:p>
      <w:pPr>
        <w:spacing w:before="100" w:after="100"/>
        <w:jc w:val="both"/>
      </w:pPr>
      <w:r>
        <w:rPr>
          <w:rFonts w:ascii="Arial" w:cs="Arial" w:eastAsia="Arial" w:hAnsi="Arial"/>
          <w:sz w:val="22"/>
          <w:szCs w:val="22"/>
        </w:rPr>
        <w:t xml:space="preserve">The grantor's intent governs.</w:t>
      </w:r>
    </w:p>
    <w:p>
      <w:pPr>
        <w:spacing w:before="80" w:after="80"/>
      </w:pPr>
      <w:r>
        <w:t xml:space="preserve"/>
      </w:r>
    </w:p>
    <w:p>
      <w:pPr>
        <w:spacing w:before="100" w:after="100"/>
        <w:jc w:val="both"/>
      </w:pPr>
      <w:r>
        <w:rPr>
          <w:rFonts w:ascii="Arial" w:cs="Arial" w:eastAsia="Arial" w:hAnsi="Arial"/>
          <w:b/>
          <w:bCs/>
          <w:sz w:val="22"/>
          <w:szCs w:val="22"/>
        </w:rPr>
        <w:t xml:space="preserve">Axiom II — Safety</w:t>
      </w:r>
    </w:p>
    <w:p>
      <w:pPr>
        <w:spacing w:before="100" w:after="100"/>
        <w:jc w:val="both"/>
      </w:pPr>
      <w:r>
        <w:rPr>
          <w:rFonts w:ascii="Arial" w:cs="Arial" w:eastAsia="Arial" w:hAnsi="Arial"/>
          <w:sz w:val="22"/>
          <w:szCs w:val="22"/>
        </w:rPr>
        <w:t xml:space="preserve">Promised funds are never lost.</w:t>
      </w:r>
    </w:p>
    <w:p>
      <w:pPr>
        <w:spacing w:before="80" w:after="80"/>
      </w:pPr>
      <w:r>
        <w:t xml:space="preserve"/>
      </w:r>
    </w:p>
    <w:p>
      <w:pPr>
        <w:spacing w:before="100" w:after="100"/>
        <w:jc w:val="both"/>
      </w:pPr>
      <w:r>
        <w:rPr>
          <w:rFonts w:ascii="Arial" w:cs="Arial" w:eastAsia="Arial" w:hAnsi="Arial"/>
          <w:b/>
          <w:bCs/>
          <w:sz w:val="22"/>
          <w:szCs w:val="22"/>
        </w:rPr>
        <w:t xml:space="preserve">Axiom III — Delivery</w:t>
      </w:r>
    </w:p>
    <w:p>
      <w:pPr>
        <w:spacing w:before="100" w:after="100"/>
        <w:jc w:val="both"/>
      </w:pPr>
      <w:r>
        <w:rPr>
          <w:rFonts w:ascii="Arial" w:cs="Arial" w:eastAsia="Arial" w:hAnsi="Arial"/>
          <w:sz w:val="22"/>
          <w:szCs w:val="22"/>
        </w:rPr>
        <w:t xml:space="preserve">The protocol delivers.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Credit Axioms</w:t>
      </w:r>
    </w:p>
    <w:p>
      <w:pPr>
        <w:spacing w:before="100" w:after="100"/>
        <w:jc w:val="both"/>
      </w:pPr>
      <w:r>
        <w:rPr>
          <w:rFonts w:ascii="Arial" w:cs="Arial" w:eastAsia="Arial" w:hAnsi="Arial"/>
          <w:b/>
          <w:bCs/>
          <w:sz w:val="22"/>
          <w:szCs w:val="22"/>
        </w:rPr>
        <w:t xml:space="preserve">Axiom IV — Consent</w:t>
      </w:r>
    </w:p>
    <w:p>
      <w:pPr>
        <w:spacing w:before="100" w:after="100"/>
        <w:jc w:val="both"/>
      </w:pPr>
      <w:r>
        <w:rPr>
          <w:rFonts w:ascii="Arial" w:cs="Arial" w:eastAsia="Arial" w:hAnsi="Arial"/>
          <w:sz w:val="22"/>
          <w:szCs w:val="22"/>
        </w:rPr>
        <w:t xml:space="preserve">No obligation exists without the explicit consent of both parties. Verification confirms identity and eligibility. It does not guarantee performance.</w:t>
      </w:r>
    </w:p>
    <w:p>
      <w:pPr>
        <w:spacing w:before="80" w:after="80"/>
      </w:pPr>
      <w:r>
        <w:t xml:space="preserve"/>
      </w:r>
    </w:p>
    <w:p>
      <w:pPr>
        <w:spacing w:before="100" w:after="100"/>
        <w:jc w:val="both"/>
      </w:pPr>
      <w:r>
        <w:rPr>
          <w:rFonts w:ascii="Arial" w:cs="Arial" w:eastAsia="Arial" w:hAnsi="Arial"/>
          <w:b/>
          <w:bCs/>
          <w:sz w:val="22"/>
          <w:szCs w:val="22"/>
        </w:rPr>
        <w:t xml:space="preserve">Axiom V — Jurisdiction</w:t>
      </w:r>
    </w:p>
    <w:p>
      <w:pPr>
        <w:spacing w:before="100" w:after="100"/>
        <w:jc w:val="both"/>
      </w:pPr>
      <w:r>
        <w:rPr>
          <w:rFonts w:ascii="Arial" w:cs="Arial" w:eastAsia="Arial" w:hAnsi="Arial"/>
          <w:sz w:val="22"/>
          <w:szCs w:val="22"/>
        </w:rPr>
        <w:t xml:space="preserve">External agreements may govern additional terms. Collection remains between the parties and the law.</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Trigger Axiom</w:t>
      </w:r>
    </w:p>
    <w:p>
      <w:pPr>
        <w:spacing w:before="100" w:after="100"/>
        <w:jc w:val="both"/>
      </w:pPr>
      <w:r>
        <w:rPr>
          <w:rFonts w:ascii="Arial" w:cs="Arial" w:eastAsia="Arial" w:hAnsi="Arial"/>
          <w:b/>
          <w:bCs/>
          <w:sz w:val="22"/>
          <w:szCs w:val="22"/>
        </w:rPr>
        <w:t xml:space="preserve">Axiom VI — Conditions</w:t>
      </w:r>
    </w:p>
    <w:p>
      <w:pPr>
        <w:spacing w:before="100" w:after="100"/>
        <w:jc w:val="both"/>
      </w:pPr>
      <w:r>
        <w:rPr>
          <w:rFonts w:ascii="Arial" w:cs="Arial" w:eastAsia="Arial" w:hAnsi="Arial"/>
          <w:sz w:val="22"/>
          <w:szCs w:val="22"/>
        </w:rPr>
        <w:t xml:space="preserve">Any promise may encode a condition which triggers an obligation. The obligor records fulfillment. The protocol acts on that record. Conditions unmet at expiry return funds to the obligor.</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AI Agent Axioms</w:t>
      </w:r>
    </w:p>
    <w:p>
      <w:pPr>
        <w:spacing w:before="100" w:after="100"/>
        <w:jc w:val="both"/>
      </w:pPr>
      <w:r>
        <w:rPr>
          <w:rFonts w:ascii="Arial" w:cs="Arial" w:eastAsia="Arial" w:hAnsi="Arial"/>
          <w:b/>
          <w:bCs/>
          <w:sz w:val="22"/>
          <w:szCs w:val="22"/>
        </w:rPr>
        <w:t xml:space="preserve">Axiom VII — Mandate</w:t>
      </w:r>
    </w:p>
    <w:p>
      <w:pPr>
        <w:spacing w:before="100" w:after="100"/>
        <w:jc w:val="both"/>
      </w:pPr>
      <w:r>
        <w:rPr>
          <w:rFonts w:ascii="Arial" w:cs="Arial" w:eastAsia="Arial" w:hAnsi="Arial"/>
          <w:sz w:val="22"/>
          <w:szCs w:val="22"/>
        </w:rPr>
        <w:t xml:space="preserve">The grantor's intent, once encoded, is carried forward by autonomous software. Algorithms may evolve. The intent does not. An autonomous agent has no authority beyond that mandate.</w:t>
      </w:r>
    </w:p>
    <w:p>
      <w:pPr>
        <w:spacing w:before="80" w:after="80"/>
      </w:pPr>
      <w:r>
        <w:t xml:space="preserve"/>
      </w:r>
    </w:p>
    <w:p>
      <w:pPr>
        <w:spacing w:before="100" w:after="100"/>
        <w:jc w:val="both"/>
      </w:pPr>
      <w:r>
        <w:rPr>
          <w:rFonts w:ascii="Arial" w:cs="Arial" w:eastAsia="Arial" w:hAnsi="Arial"/>
          <w:b/>
          <w:bCs/>
          <w:sz w:val="22"/>
          <w:szCs w:val="22"/>
        </w:rPr>
        <w:t xml:space="preserve">Axiom VIII — Transparency</w:t>
      </w:r>
    </w:p>
    <w:p>
      <w:pPr>
        <w:spacing w:before="100" w:after="100"/>
        <w:jc w:val="both"/>
      </w:pPr>
      <w:r>
        <w:rPr>
          <w:rFonts w:ascii="Arial" w:cs="Arial" w:eastAsia="Arial" w:hAnsi="Arial"/>
          <w:sz w:val="22"/>
          <w:szCs w:val="22"/>
        </w:rPr>
        <w:t xml:space="preserve">An AI agent must commit to a permanent public record before acting. Every decision is publicly verifiable. There are no private actions.</w:t>
      </w:r>
    </w:p>
    <w:p>
      <w:pPr>
        <w:spacing w:before="80" w:after="80"/>
      </w:pPr>
      <w:r>
        <w:t xml:space="preserve"/>
      </w:r>
    </w:p>
    <w:p>
      <w:pPr>
        <w:spacing w:before="100" w:after="100"/>
        <w:jc w:val="both"/>
      </w:pPr>
      <w:r>
        <w:rPr>
          <w:rFonts w:ascii="Arial" w:cs="Arial" w:eastAsia="Arial" w:hAnsi="Arial"/>
          <w:b/>
          <w:bCs/>
          <w:sz w:val="22"/>
          <w:szCs w:val="22"/>
        </w:rPr>
        <w:t xml:space="preserve">Axiom IX — Risk</w:t>
      </w:r>
    </w:p>
    <w:p>
      <w:pPr>
        <w:spacing w:before="100" w:after="100"/>
        <w:jc w:val="both"/>
      </w:pPr>
      <w:r>
        <w:rPr>
          <w:rFonts w:ascii="Arial" w:cs="Arial" w:eastAsia="Arial" w:hAnsi="Arial"/>
          <w:sz w:val="22"/>
          <w:szCs w:val="22"/>
        </w:rPr>
        <w:t xml:space="preserve">The grantor acknowledges, and the AI agent affirms, that AI management of any investment tranche may result in gains or losses up to and including total loss.</w:t>
      </w:r>
    </w:p>
    <w:p>
      <w:pPr>
        <w:spacing w:before="80" w:after="80"/>
      </w:pPr>
      <w:r>
        <w:t xml:space="preserve"/>
      </w:r>
    </w:p>
    <w:p>
      <w:pPr>
        <w:spacing w:before="100" w:after="100"/>
        <w:jc w:val="both"/>
      </w:pPr>
      <w:r>
        <w:rPr>
          <w:rFonts w:ascii="Arial" w:cs="Arial" w:eastAsia="Arial" w:hAnsi="Arial"/>
          <w:b/>
          <w:bCs/>
          <w:sz w:val="22"/>
          <w:szCs w:val="22"/>
        </w:rPr>
        <w:t xml:space="preserve">Axiom X — Separation</w:t>
      </w:r>
    </w:p>
    <w:p>
      <w:pPr>
        <w:spacing w:before="100" w:after="100"/>
        <w:jc w:val="both"/>
      </w:pPr>
      <w:r>
        <w:rPr>
          <w:rFonts w:ascii="Arial" w:cs="Arial" w:eastAsia="Arial" w:hAnsi="Arial"/>
          <w:sz w:val="22"/>
          <w:szCs w:val="22"/>
        </w:rPr>
        <w:t xml:space="preserve">The agent that decides does not hold funds. The agent that holds does not decide.</w:t>
      </w:r>
    </w:p>
    <w:p>
      <w:pPr>
        <w:spacing w:before="80" w:after="80"/>
      </w:pPr>
      <w:r>
        <w:t xml:space="preserve"/>
      </w:r>
    </w:p>
    <w:p>
      <w:pPr>
        <w:spacing w:before="100" w:after="100"/>
        <w:jc w:val="both"/>
      </w:pPr>
      <w:r>
        <w:rPr>
          <w:rFonts w:ascii="Arial" w:cs="Arial" w:eastAsia="Arial" w:hAnsi="Arial"/>
          <w:b/>
          <w:bCs/>
          <w:sz w:val="22"/>
          <w:szCs w:val="22"/>
        </w:rPr>
        <w:t xml:space="preserve">Axiom XI — Coordination</w:t>
      </w:r>
    </w:p>
    <w:p>
      <w:pPr>
        <w:spacing w:before="100" w:after="100"/>
        <w:jc w:val="both"/>
      </w:pPr>
      <w:r>
        <w:rPr>
          <w:rFonts w:ascii="Arial" w:cs="Arial" w:eastAsia="Arial" w:hAnsi="Arial"/>
          <w:sz w:val="22"/>
          <w:szCs w:val="22"/>
        </w:rPr>
        <w:t xml:space="preserve">An agent is not the only actor. Before acting, an agent must account for the aggregate effect of similarly situated agents acting on similar instructions.</w:t>
      </w:r>
    </w:p>
    <w:p>
      <w:pPr>
        <w:spacing w:before="80" w:after="80"/>
      </w:pPr>
      <w:r>
        <w:t xml:space="preserve"/>
      </w:r>
    </w:p>
    <w:p>
      <w:pPr>
        <w:spacing w:before="100" w:after="100"/>
        <w:jc w:val="both"/>
      </w:pPr>
      <w:r>
        <w:rPr>
          <w:rFonts w:ascii="Arial" w:cs="Arial" w:eastAsia="Arial" w:hAnsi="Arial"/>
          <w:b/>
          <w:bCs/>
          <w:sz w:val="22"/>
          <w:szCs w:val="22"/>
        </w:rPr>
        <w:t xml:space="preserve">Axiom XII — The Law</w:t>
      </w:r>
    </w:p>
    <w:p>
      <w:pPr>
        <w:spacing w:before="100" w:after="100"/>
        <w:jc w:val="both"/>
      </w:pPr>
      <w:r>
        <w:rPr>
          <w:rFonts w:ascii="Arial" w:cs="Arial" w:eastAsia="Arial" w:hAnsi="Arial"/>
          <w:sz w:val="22"/>
          <w:szCs w:val="22"/>
        </w:rPr>
        <w:t xml:space="preserve">All agent actions, mandates, and their fulfillment remain subject to the laws of applicable jurisdictions.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Closing Statement</w:t>
      </w:r>
    </w:p>
    <w:p>
      <w:pPr>
        <w:spacing w:before="100" w:after="100"/>
        <w:jc w:val="both"/>
      </w:pPr>
      <w:r>
        <w:rPr>
          <w:rFonts w:ascii="Arial" w:cs="Arial" w:eastAsia="Arial" w:hAnsi="Arial"/>
          <w:b/>
          <w:bCs/>
          <w:sz w:val="22"/>
          <w:szCs w:val="22"/>
        </w:rPr>
        <w:t xml:space="preserve">Axiom XIII — Supremacy of Law</w:t>
      </w:r>
    </w:p>
    <w:p>
      <w:pPr>
        <w:spacing w:before="100" w:after="100"/>
        <w:jc w:val="both"/>
      </w:pPr>
      <w:r>
        <w:rPr>
          <w:rFonts w:ascii="Arial" w:cs="Arial" w:eastAsia="Arial" w:hAnsi="Arial"/>
          <w:sz w:val="22"/>
          <w:szCs w:val="22"/>
        </w:rPr>
        <w:t xml:space="preserve">All axioms remain subject to applicable law.</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What Governance Controls</w:t>
      </w:r>
    </w:p>
    <w:p>
      <w:pPr>
        <w:pStyle w:val="ListParagraph"/>
        <w:numPr>
          <w:ilvl w:val="0"/>
          <w:numId w:val="2"/>
        </w:numPr>
        <w:spacing w:before="60" w:after="60"/>
      </w:pPr>
      <w:r>
        <w:rPr>
          <w:rFonts w:ascii="Arial" w:cs="Arial" w:eastAsia="Arial" w:hAnsi="Arial"/>
          <w:sz w:val="22"/>
          <w:szCs w:val="22"/>
        </w:rPr>
        <w:t xml:space="preserve">Rate limits (transactions per wallet per minute, loan actions per wallet per day)</w:t>
      </w:r>
    </w:p>
    <w:p>
      <w:pPr>
        <w:pStyle w:val="ListParagraph"/>
        <w:numPr>
          <w:ilvl w:val="0"/>
          <w:numId w:val="2"/>
        </w:numPr>
        <w:spacing w:before="60" w:after="60"/>
      </w:pPr>
      <w:r>
        <w:rPr>
          <w:rFonts w:ascii="Arial" w:cs="Arial" w:eastAsia="Arial" w:hAnsi="Arial"/>
          <w:sz w:val="22"/>
          <w:szCs w:val="22"/>
        </w:rPr>
        <w:t xml:space="preserve">Sweep intervals</w:t>
      </w:r>
    </w:p>
    <w:p>
      <w:pPr>
        <w:pStyle w:val="ListParagraph"/>
        <w:numPr>
          <w:ilvl w:val="0"/>
          <w:numId w:val="2"/>
        </w:numPr>
        <w:spacing w:before="60" w:after="60"/>
      </w:pPr>
      <w:r>
        <w:rPr>
          <w:rFonts w:ascii="Arial" w:cs="Arial" w:eastAsia="Arial" w:hAnsi="Arial"/>
          <w:sz w:val="22"/>
          <w:szCs w:val="22"/>
        </w:rPr>
        <w:t xml:space="preserve">Executor parameters (eligibility window, fee cap, withdrawal delay)</w:t>
      </w:r>
    </w:p>
    <w:p>
      <w:pPr>
        <w:pStyle w:val="ListParagraph"/>
        <w:numPr>
          <w:ilvl w:val="0"/>
          <w:numId w:val="2"/>
        </w:numPr>
        <w:spacing w:before="60" w:after="60"/>
      </w:pPr>
      <w:r>
        <w:rPr>
          <w:rFonts w:ascii="Arial" w:cs="Arial" w:eastAsia="Arial" w:hAnsi="Arial"/>
          <w:sz w:val="22"/>
          <w:szCs w:val="22"/>
        </w:rPr>
        <w:t xml:space="preserve">Loan safeguards (principal limits, rate warnings, rescission windows)</w:t>
      </w:r>
    </w:p>
    <w:p>
      <w:pPr>
        <w:pStyle w:val="ListParagraph"/>
        <w:numPr>
          <w:ilvl w:val="0"/>
          <w:numId w:val="2"/>
        </w:numPr>
        <w:spacing w:before="60" w:after="60"/>
      </w:pPr>
      <w:r>
        <w:rPr>
          <w:rFonts w:ascii="Arial" w:cs="Arial" w:eastAsia="Arial" w:hAnsi="Arial"/>
          <w:sz w:val="22"/>
          <w:szCs w:val="22"/>
        </w:rPr>
        <w:t xml:space="preserve">Badge requirements for pool and authority instruments</w:t>
      </w:r>
    </w:p>
    <w:p>
      <w:pPr>
        <w:pStyle w:val="ListParagraph"/>
        <w:numPr>
          <w:ilvl w:val="0"/>
          <w:numId w:val="2"/>
        </w:numPr>
        <w:spacing w:before="60" w:after="60"/>
      </w:pPr>
      <w:r>
        <w:rPr>
          <w:rFonts w:ascii="Arial" w:cs="Arial" w:eastAsia="Arial" w:hAnsi="Arial"/>
          <w:sz w:val="22"/>
          <w:szCs w:val="22"/>
        </w:rPr>
        <w:t xml:space="preserve">PAY_AS approved currencies and transaction caps</w:t>
      </w:r>
    </w:p>
    <w:p>
      <w:pPr>
        <w:pStyle w:val="ListParagraph"/>
        <w:numPr>
          <w:ilvl w:val="0"/>
          <w:numId w:val="2"/>
        </w:numPr>
        <w:spacing w:before="60" w:after="60"/>
      </w:pPr>
      <w:r>
        <w:rPr>
          <w:rFonts w:ascii="Arial" w:cs="Arial" w:eastAsia="Arial" w:hAnsi="Arial"/>
          <w:sz w:val="22"/>
          <w:szCs w:val="22"/>
        </w:rPr>
        <w:t xml:space="preserve">Feature activation flags (loan transfers, oracle triggers, compound conditions)</w:t>
      </w:r>
    </w:p>
    <w:p>
      <w:pPr>
        <w:pStyle w:val="ListParagraph"/>
        <w:numPr>
          <w:ilvl w:val="0"/>
          <w:numId w:val="2"/>
        </w:numPr>
        <w:spacing w:before="60" w:after="60"/>
      </w:pPr>
      <w:r>
        <w:rPr>
          <w:rFonts w:ascii="Arial" w:cs="Arial" w:eastAsia="Arial" w:hAnsi="Arial"/>
          <w:sz w:val="22"/>
          <w:szCs w:val="22"/>
        </w:rPr>
        <w:t xml:space="preserve">EPP directive limits (per-transaction caps, duration limits, currency restrictions)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What Governance Cannot Touch</w:t>
      </w:r>
    </w:p>
    <w:p>
      <w:pPr>
        <w:pStyle w:val="ListParagraph"/>
        <w:numPr>
          <w:ilvl w:val="0"/>
          <w:numId w:val="2"/>
        </w:numPr>
        <w:spacing w:before="60" w:after="60"/>
      </w:pPr>
      <w:r>
        <w:rPr>
          <w:rFonts w:ascii="Arial" w:cs="Arial" w:eastAsia="Arial" w:hAnsi="Arial"/>
          <w:sz w:val="22"/>
          <w:szCs w:val="22"/>
        </w:rPr>
        <w:t xml:space="preserve">Transaction fees (zero, immutable forever)</w:t>
      </w:r>
    </w:p>
    <w:p>
      <w:pPr>
        <w:pStyle w:val="ListParagraph"/>
        <w:numPr>
          <w:ilvl w:val="0"/>
          <w:numId w:val="2"/>
        </w:numPr>
        <w:spacing w:before="60" w:after="60"/>
      </w:pPr>
      <w:r>
        <w:rPr>
          <w:rFonts w:ascii="Arial" w:cs="Arial" w:eastAsia="Arial" w:hAnsi="Arial"/>
          <w:sz w:val="22"/>
          <w:szCs w:val="22"/>
        </w:rPr>
        <w:t xml:space="preserve">The 13 axioms</w:t>
      </w:r>
    </w:p>
    <w:p>
      <w:pPr>
        <w:pStyle w:val="ListParagraph"/>
        <w:numPr>
          <w:ilvl w:val="0"/>
          <w:numId w:val="2"/>
        </w:numPr>
        <w:spacing w:before="60" w:after="60"/>
      </w:pPr>
      <w:r>
        <w:rPr>
          <w:rFonts w:ascii="Arial" w:cs="Arial" w:eastAsia="Arial" w:hAnsi="Arial"/>
          <w:sz w:val="22"/>
          <w:szCs w:val="22"/>
        </w:rPr>
        <w:t xml:space="preserve">Total KX supply (8,270,000,000, fixed forever)</w:t>
      </w:r>
    </w:p>
    <w:p>
      <w:pPr>
        <w:pStyle w:val="ListParagraph"/>
        <w:numPr>
          <w:ilvl w:val="0"/>
          <w:numId w:val="2"/>
        </w:numPr>
        <w:spacing w:before="60" w:after="60"/>
      </w:pPr>
      <w:r>
        <w:rPr>
          <w:rFonts w:ascii="Arial" w:cs="Arial" w:eastAsia="Arial" w:hAnsi="Arial"/>
          <w:sz w:val="22"/>
          <w:szCs w:val="22"/>
        </w:rPr>
        <w:t xml:space="preserve">The DAG (append-only)</w:t>
      </w:r>
    </w:p>
    <w:p>
      <w:pPr>
        <w:pStyle w:val="ListParagraph"/>
        <w:numPr>
          <w:ilvl w:val="0"/>
          <w:numId w:val="2"/>
        </w:numPr>
        <w:spacing w:before="60" w:after="60"/>
      </w:pPr>
      <w:r>
        <w:rPr>
          <w:rFonts w:ascii="Arial" w:cs="Arial" w:eastAsia="Arial" w:hAnsi="Arial"/>
          <w:sz w:val="22"/>
          <w:szCs w:val="22"/>
        </w:rPr>
        <w:t xml:space="preserve">Existing promises</w:t>
      </w:r>
    </w:p>
    <w:p>
      <w:pPr>
        <w:pStyle w:val="ListParagraph"/>
        <w:numPr>
          <w:ilvl w:val="0"/>
          <w:numId w:val="2"/>
        </w:numPr>
        <w:spacing w:before="60" w:after="60"/>
      </w:pPr>
      <w:r>
        <w:rPr>
          <w:rFonts w:ascii="Arial" w:cs="Arial" w:eastAsia="Arial" w:hAnsi="Arial"/>
          <w:sz w:val="22"/>
          <w:szCs w:val="22"/>
        </w:rPr>
        <w:t xml:space="preserve">The genesis (final_genesis: true, genesis_lock: true)</w:t>
      </w:r>
    </w:p>
    <w:p>
      <w:pPr>
        <w:pStyle w:val="ListParagraph"/>
        <w:numPr>
          <w:ilvl w:val="0"/>
          <w:numId w:val="2"/>
        </w:numPr>
        <w:spacing w:before="60" w:after="60"/>
      </w:pPr>
      <w:r>
        <w:rPr>
          <w:rFonts w:ascii="Arial" w:cs="Arial" w:eastAsia="Arial" w:hAnsi="Arial"/>
          <w:sz w:val="22"/>
          <w:szCs w:val="22"/>
        </w:rPr>
        <w:t xml:space="preserve">Dilithium2 post-quantum cryptographic standard</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Genesis Zero: final_genesis true</w:t>
      </w:r>
    </w:p>
    <w:p>
      <w:pPr>
        <w:spacing w:before="100" w:after="100"/>
        <w:jc w:val="both"/>
      </w:pPr>
      <w:r>
        <w:rPr>
          <w:rFonts w:ascii="Arial" w:cs="Arial" w:eastAsia="Arial" w:hAnsi="Arial"/>
          <w:sz w:val="22"/>
          <w:szCs w:val="22"/>
        </w:rPr>
        <w:t xml:space="preserve">The genesis-params.json contains final_genesis: true and genesis_lock: true. The engine rejects any GenesisReset action with error FINAL_GENESIS_LOCKED. The genesis name is "ChronX Genesis Zero." The genesis date is March 24, 2026. There will be no subsequent genesis.</w:t>
      </w:r>
    </w:p>
    <w:p>
      <w:r>
        <w:br w:type="page"/>
      </w:r>
    </w:p>
    <w:p>
      <w:pPr>
        <w:pStyle w:val="Heading1"/>
        <w:spacing w:before="480" w:after="240"/>
      </w:pPr>
      <w:r>
        <w:rPr>
          <w:rFonts w:ascii="Arial" w:cs="Arial" w:eastAsia="Arial" w:hAnsi="Arial"/>
          <w:b/>
          <w:bCs/>
          <w:color w:val="1F4E79"/>
          <w:sz w:val="34"/>
          <w:szCs w:val="34"/>
        </w:rPr>
        <w:t xml:space="preserve">7. Tokenomics</w:t>
      </w:r>
    </w:p>
    <w:p>
      <w:pPr>
        <w:spacing w:before="100" w:after="100"/>
        <w:jc w:val="both"/>
      </w:pPr>
      <w:r>
        <w:rPr>
          <w:rFonts w:ascii="Arial" w:cs="Arial" w:eastAsia="Arial" w:hAnsi="Arial"/>
          <w:sz w:val="22"/>
          <w:szCs w:val="22"/>
        </w:rPr>
        <w:t xml:space="preserve">Total supply: 8,270,000,000 KX. Fixed forever. No inflation. No minting. No burning.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800"/>
        <w:gridCol w:w="43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KX Amount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Lock Condition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Sale (remaining)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5,308,965,801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64.19%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Spendable. Remainder after all protocol deployments.</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Treasury</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1,000,000,000</w:t>
            </w:r>
          </w:p>
        </w:tc>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12.09%</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100 annual harmonic locks 2027–2126</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Rewards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annual harmonic locks 2029–2128</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KXGC Bond</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300,000,000</w:t>
            </w:r>
          </w:p>
        </w:tc>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3.63%</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Fully reserved. investable_fraction: 0.00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188,000,000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MISAI Bond</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10,000,000</w:t>
            </w:r>
          </w:p>
        </w:tc>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0.121%</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Performance bond. misai.io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Verifas Bond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bond. verifas.io</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XChan Bond</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10,000,000</w:t>
            </w:r>
          </w:p>
        </w:tc>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0.121%</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Performance bond. xchan.io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HedgeKX Bond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bond. hedgekx.io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HedgeKX Operating Capital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50,000,000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0.60%</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Cascade. 5 annual tranches from Public Sale: 2027: 5M KX, 2028: 7.5M KX, 2029: 10M KX, 2030: 12.5M KX, 2031: 15M KX. Wallet: 5zjp4YM7RkBWk8hHN5kdv3xYhjsnXmYUJuL2vgqxHBE1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KXGC Operating Capital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200,000,000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2.42%</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Cascade. 10 annual tranches from Public Sale: 2027: 5M, 2028: 5M, 2029: 10M, 2030: 15M, 2031: 20M, 2032: 20M, 2033: 25M, 2034: 25M, 2035: 35M, 2036: 40M KX. Wallet: G2aH9NfRFo5gdLTMjNqCRv4PkcKKEHLD99Y8vhQwSgeV</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HedgeKX Operating Capital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50,000,000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0.60%</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Cascade. 5 annual tranches 2027—2031. Vests as market develops.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KXGC Operating Capital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200,000,000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2.42%</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Cascade. 10 annual tranches 2027—2036. Vests as insurance market develops.</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Faucet</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3,000,000</w:t>
            </w:r>
          </w:p>
        </w:tc>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0.036%</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Developer onboarding. 9 KX per claim.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XChan Operating 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1,000,884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XChan bridge liquidity.</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CPNX Bond</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1,000,000</w:t>
            </w:r>
          </w:p>
        </w:tc>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0.012%</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Performance bond. cpnx.com.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MISAI Executor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&lt;0.001%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executor wallet.</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14</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Humanity Stake</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1,000,000</w:t>
            </w:r>
          </w:p>
        </w:tc>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0.012%</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Locked until 2126-01-01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Milestone 2076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until 2076-01-01</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16</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Protocol Reserve</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500,000</w:t>
            </w:r>
          </w:p>
        </w:tc>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0.006%</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Locked until 2036-01-01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&lt;0.001%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 relay wallet. Operational.</w:t>
            </w:r>
          </w:p>
        </w:tc>
      </w:tr>
    </w:tbl>
    <w:p>
      <w:pPr>
        <w:spacing w:before="100" w:after="100"/>
      </w:pPr>
    </w:p>
    <w:p>
      <w:pPr>
        <w:spacing w:before="100" w:after="100"/>
        <w:jc w:val="both"/>
      </w:pPr>
      <w:r>
        <w:rPr>
          <w:rFonts w:ascii="Arial" w:cs="Arial" w:eastAsia="Arial" w:hAnsi="Arial"/>
          <w:sz w:val="22"/>
          <w:szCs w:val="22"/>
        </w:rPr>
        <w:t xml:space="preserve">Note: HedgeKX Operating Capital and KXGC Operating Capital are funded from the Public Sale allocation. Both are locked as cascade time-locks on the ChronX DAG — not spendable at genesis. The Public Sale figure above reflects the remainder after both allocations. All figures sum to 8,270,000,000 KX exactly.</w:t>
      </w:r>
    </w:p>
    <w:p>
      <w:pPr>
        <w:spacing w:before="100" w:after="100"/>
      </w:pPr>
    </w:p>
    <w:p>
      <w:pPr>
        <w:spacing w:before="100" w:after="100"/>
        <w:jc w:val="both"/>
      </w:pPr>
      <w:r>
        <w:rPr>
          <w:rFonts w:ascii="Arial" w:cs="Arial" w:eastAsia="Arial" w:hAnsi="Arial"/>
          <w:sz w:val="22"/>
          <w:szCs w:val="22"/>
        </w:rPr>
        <w:t xml:space="preserve">DAG verification: all 15 cascade locks are permanently recorded on the ChronX DAG and queryable via chronx_getLockById:</w:t>
      </w:r>
    </w:p>
    <w:p>
      <w:pPr>
        <w:spacing w:before="100" w:after="100"/>
      </w:pPr>
    </w:p>
    <w:p>
      <w:pPr>
        <w:spacing w:before="100" w:after="100"/>
        <w:jc w:val="both"/>
      </w:pPr>
      <w:r>
        <w:rPr>
          <w:rFonts w:ascii="Arial" w:cs="Arial" w:eastAsia="Arial" w:hAnsi="Arial"/>
          <w:sz w:val="22"/>
          <w:szCs w:val="22"/>
        </w:rPr>
        <w:t xml:space="preserve">HedgeKX cascade lock IDs: Tranche 1 (5M, 2027): a68871e0f30b0eb2434c719108076793a53a7a525b3e5a5355b0d6273e037b5c. Tranche 2 (7.5M, 2028): d36fc1522094d30f0776b0a972e7efe889f8e6a7d8a54763276e511a64489104. Tranche 3 (10M, 2029): 5c328240ba0d347fda590fe007126f684303a222a6500acc2e77688990aa1f36. Tranche 4 (12.5M, 2030): 5a92eafed4df12deb3c77de31789db8140f6dd9312d1bf675243836a42b982a2. Tranche 5 (15M, 2031): f58d60478d14e90247968e3fa39eaafa8314f98659cf76873c51331ffb23d8e5.</w:t>
      </w:r>
    </w:p>
    <w:p>
      <w:pPr>
        <w:spacing w:before="100" w:after="100"/>
      </w:pPr>
    </w:p>
    <w:p>
      <w:pPr>
        <w:spacing w:before="100" w:after="100"/>
        <w:jc w:val="both"/>
      </w:pPr>
      <w:r>
        <w:rPr>
          <w:rFonts w:ascii="Arial" w:cs="Arial" w:eastAsia="Arial" w:hAnsi="Arial"/>
          <w:sz w:val="22"/>
          <w:szCs w:val="22"/>
        </w:rPr>
        <w:t xml:space="preserve">KXGC cascade lock IDs: Tranche 1 (5M, 2027): 952261a405b279ba3777eb74b3aabea828c03303cd0fbe13a9bd7bda36ffaf54. Tranche 2 (5M, 2028): c49bd4c264b9fc5712b7ded50bab1090a6c4eb1a3734f38ed7c4a71fa7bd4c6e. Tranche 3 (10M, 2029): 3ac452a0e49c5b187542110b2bf14ba6d760eecad2a9aa9369f8ebb8e96bc9c5. Tranche 4 (15M, 2030): 7e7bae4a585e9e6736e9bf16ab1821e01a8664067a5ca87deb4a87ecdc2e0ce2. Tranche 5 (20M, 2031): 3994c0ba2e06bb3593af884faff33f34865c76ae76961b753c24b093ed7fbce8. Tranche 6 (20M, 2032): bb46486160523accc581d5394faff6cba375182fabeeda079df6dc919633a96a. Tranche 7 (25M, 2033): 863801ef04462c02167df0154c1a7c972a6e0c83b09cab311acd89b71f554ae6. Tranche 8 (25M, 2034): 3d43aaec152d8f093065f07ad26572d587fa22f7945d8e1dbc05fc52b70bb0eb. Tranche 9 (35M, 2035): 5791c98c3562c304bab2f6c85571b173abcdb74e09ae7e7964b70a65b5bf714c. Tranche 10 (40M, 2036): e62075f794511caa364b7200e05235dcae928ee1bceab809b918dde347e36ba8.</w:t>
      </w:r>
    </w:p>
    <w:p>
      <w:pPr>
        <w:spacing w:before="100" w:after="100"/>
      </w:pPr>
    </w:p>
    <w:p>
      <w:pPr>
        <w:spacing w:before="100" w:after="100"/>
        <w:jc w:val="both"/>
      </w:pPr>
      <w:r>
        <w:rPr>
          <w:rFonts w:ascii="Arial" w:cs="Arial" w:eastAsia="Arial" w:hAnsi="Arial"/>
          <w:sz w:val="22"/>
          <w:szCs w:val="22"/>
        </w:rPr>
        <w:t xml:space="preserve">At all times: total KX on ChronX DAG + total wKX on Base + total h1KX on Base = 8,270,000,000 KX exactly.</w:t>
      </w:r>
    </w:p>
    <w:p>
      <w:pPr>
        <w:spacing w:before="100" w:after="100"/>
      </w:pPr>
    </w:p>
    <w:p>
      <w:pPr>
        <w:spacing w:before="100" w:after="100"/>
        <w:jc w:val="both"/>
      </w:pPr>
      <w:r>
        <w:rPr>
          <w:rFonts w:ascii="Arial" w:cs="Arial" w:eastAsia="Arial" w:hAnsi="Arial"/>
          <w:sz w:val="22"/>
          <w:szCs w:val="22"/>
        </w:rPr>
        <w:t xml:space="preserve">Note: HedgeKX Operating Capital and KXGC Operating Capital are funded from the Public Sale allocation. Both are locked as cascade time-locks on the ChronX DAG — not spendable at genesis. The Public Sale figure above reflects the remainder after both allocations. All figures sum to 8,270,000,000 KX.</w:t>
      </w:r>
    </w:p>
    <w:p>
      <w:pPr>
        <w:spacing w:before="100" w:after="100"/>
      </w:pPr>
    </w:p>
    <w:p>
      <w:pPr>
        <w:spacing w:before="100" w:after="100"/>
        <w:jc w:val="both"/>
      </w:pPr>
      <w:r>
        <w:rPr>
          <w:rFonts w:ascii="Arial" w:cs="Arial" w:eastAsia="Arial" w:hAnsi="Arial"/>
          <w:sz w:val="22"/>
          <w:szCs w:val="22"/>
        </w:rPr>
        <w:t xml:space="preserve">DAG Lock References: HedgeKX cascade lock IDs: a68871e0f30b0eb2434c719108076793a53a7a525b3e5a5355b0d6273e037b5c, d36fc1522094d30f0776b0a972e7efe889f8e6a7d8a54763276e511a64489104, 5c328240ba0d347fda590fe007126f684303a222a6500acc2e77688990aa1f36, 5a92eafed4df12deb3c77de31789db8140f6dd9312d1bf675243836a42b982a2, f58d60478d14e90247968e3fa39eaafa8314f98659cf76873c51331ffb23d8e5. KXGC cascade lock IDs: 952261a405b279ba3777eb74b3aabea828c03303cd0fbe13a9bd7bda36ffaf54, c49bd4c264b9fc5712b7ded50bab1090a6c4eb1a3734f38ed7c4a71fa7bd4c6e, 3ac452a0e49c5b187542110b2bf14ba6d760eecad2a9aa9369f8ebb8e96bc9c5, 7e7bae4a585e9e6736e9bf16ab1821e01a8664067a5ca87deb4a87ecdc2e0ce2, 3994c0ba2e06bb3593af884faff33f34865c76ae76961b753c24b093ed7fbce8, bb46486160523accc581d5394faff6cba375182fabeeda079df6dc919633a96a, 863801ef04462c02167df0154c1a7c972a6e0c83b09cab311acd89b71f554ae6, 3d43aaec152d8f093065f07ad26572d587fa22f7945d8e1dbc05fc52b70bb0eb, 5791c98c3562c304bab2f6c85571b173abcdb74e09ae7e7964b70a65b5bf714c, e62075f794511caa364b7200e05235dcae928ee1bceab809b918dde347e36ba8. All locks queryable via chronx_getLockById RPC method.</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Treasury and Node Rewards: Harmonic Release</w:t>
      </w:r>
    </w:p>
    <w:p>
      <w:pPr>
        <w:spacing w:before="100" w:after="100"/>
        <w:jc w:val="both"/>
      </w:pPr>
      <w:r>
        <w:rPr>
          <w:rFonts w:ascii="Arial" w:cs="Arial" w:eastAsia="Arial" w:hAnsi="Arial"/>
          <w:sz w:val="22"/>
          <w:szCs w:val="22"/>
        </w:rPr>
        <w:t xml:space="preserve">The Treasury (1B KX) and Node Rewards (1B KX) are distributed via 100 annual harmonic time-locks. Formula: release_k = floor(POOL_CHRONOS / (H_100 × k)), where H_100 = 5.187377517639621. Year 1 (k=1) releases the largest tranche. All 200 locks are permanently on the DAG and publicly queryable.</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Pre-ICO and ICO</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1400"/>
        <w:gridCol w:w="28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color w:val="FFFFFF"/>
                <w:sz w:val="20"/>
                <w:szCs w:val="20"/>
              </w:rPr>
              <w:t xml:space="preserve">Price/KX</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color w:val="FFFFFF"/>
                <w:sz w:val="20"/>
                <w:szCs w:val="20"/>
              </w:rPr>
              <w:t xml:space="preserve">Who</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color w:val="FFFFFF"/>
                <w:sz w:val="20"/>
                <w:szCs w:val="20"/>
              </w:rPr>
              <w:t xml:space="preserve">Limit</w:t>
            </w:r>
          </w:p>
        </w:tc>
        <w:tc>
          <w:tcPr>
            <w:tcW w:type="dxa" w:w="2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color w:val="FFFFFF"/>
                <w:sz w:val="20"/>
                <w:szCs w:val="20"/>
              </w:rPr>
              <w:t xml:space="preserve">Period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 (Genesis Zero — Sep 21, 2026)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$0.00319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Anyone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$250/tx</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Live now. No lock. No KYC. XChan market price. Governance cap applies.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Private Placement (Pre-ICO)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$0.001755—$0.002297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Accredited only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Min $10,000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Bilateral agreements. 12—24 month mandatory lock. Lock duration determines price. Contact: ico@chronx.io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ICO — September 22, 2026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$0.00319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investors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Non-accredited: $250/tx. Accredited: higher with CPNX KYC badge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One price for everyone. Private placement locks visible on DAG.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Post-ICO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$0.00319 baseline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Ongoing XChan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Unsold public sale tokens locked in annual cascade tranches — published schedule, no surprise releases.</w:t>
            </w:r>
          </w:p>
        </w:tc>
      </w:tr>
    </w:tbl>
    <w:p>
      <w:pPr>
        <w:spacing w:before="100" w:after="100"/>
      </w:pPr>
    </w:p>
    <w:p>
      <w:pPr>
        <w:pStyle w:val="Heading2"/>
        <w:spacing w:before="320" w:after="160"/>
      </w:pPr>
      <w:r>
        <w:rPr>
          <w:rFonts w:ascii="Arial" w:cs="Arial" w:eastAsia="Arial" w:hAnsi="Arial"/>
          <w:b/>
          <w:bCs/>
          <w:color w:val="1F4E79"/>
          <w:sz w:val="28"/>
          <w:szCs w:val="28"/>
        </w:rPr>
        <w:t xml:space="preserve">Yield and Lock Duration</w:t>
      </w:r>
    </w:p>
    <w:p>
      <w:pPr>
        <w:spacing w:before="100" w:after="100"/>
      </w:pPr>
    </w:p>
    <w:p>
      <w:pPr>
        <w:spacing w:before="100" w:after="100"/>
        <w:jc w:val="both"/>
      </w:pPr>
      <w:r>
        <w:rPr>
          <w:rFonts w:ascii="Arial" w:cs="Arial" w:eastAsia="Arial" w:hAnsi="Arial"/>
          <w:sz w:val="22"/>
          <w:szCs w:val="22"/>
        </w:rPr>
        <w:t xml:space="preserve">KX purchased at ICO may be locked for any duration to earn yield from HedgeKX’s matching activity. Longer locks receive a proportionally larger share of the yield pool. There is no entry price discount for locking — one price for everyone, always. Yield is the reward for patience. It is real, earned, and grows as HedgeKX develops.</w:t>
      </w:r>
    </w:p>
    <w:p>
      <w:pPr>
        <w:spacing w:before="100" w:after="100"/>
      </w:pPr>
    </w:p>
    <w:p>
      <w:pPr>
        <w:spacing w:before="100" w:after="100"/>
        <w:jc w:val="both"/>
      </w:pPr>
      <w:r>
        <w:rPr>
          <w:rFonts w:ascii="Arial" w:cs="Arial" w:eastAsia="Arial" w:hAnsi="Arial"/>
          <w:sz w:val="22"/>
          <w:szCs w:val="22"/>
        </w:rPr>
        <w:t xml:space="preserve">At launch, yield will be minimal — HedgeKX operates overnight instruments only. Yield grows as governance expands instrument durations and matching volume increases. Investors with a multi-year horizon will see yield develop alongside the protocol. This is the opposite of a typical crypto launch: we start at near-zero yield and earn our way to real yield. Every basis point is funded by real economic activity — nothing is paid from reserves.</w:t>
      </w:r>
    </w:p>
    <w:p>
      <w:pPr>
        <w:spacing w:before="100" w:after="100"/>
      </w:pPr>
    </w:p>
    <w:p>
      <w:pPr>
        <w:spacing w:before="80" w:after="80"/>
      </w:pPr>
      <w:r>
        <w:t xml:space="preserve"/>
      </w:r>
    </w:p>
    <w:p>
      <w:pPr>
        <w:spacing w:before="100" w:after="100"/>
        <w:jc w:val="both"/>
      </w:pPr>
      <w:r>
        <w:rPr>
          <w:rFonts w:ascii="Arial" w:cs="Arial" w:eastAsia="Arial" w:hAnsi="Arial"/>
          <w:sz w:val="22"/>
          <w:szCs w:val="22"/>
        </w:rPr>
        <w:t xml:space="preserve">Raise target: $20,000,000. Soft cap: $500,000 USD. Fully diluted market cap at ICO: ~$26.4M. KX is available via XChan subject to governance transaction caps ($250 per transaction; $10,000 for accredited investors via chronx.io/ico.html).</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A Note on wKX, h1KX, and the Fixed Supply</w:t>
      </w:r>
    </w:p>
    <w:p>
      <w:pPr>
        <w:spacing w:before="100" w:after="100"/>
        <w:jc w:val="both"/>
      </w:pPr>
      <w:r>
        <w:rPr>
          <w:rFonts w:ascii="Arial" w:cs="Arial" w:eastAsia="Arial" w:hAnsi="Arial"/>
          <w:sz w:val="22"/>
          <w:szCs w:val="22"/>
        </w:rPr>
        <w:t xml:space="preserve">The protocol maintains two distinct KX-related tokens on the Base network. wKX (Wrapped KX) is the public XChan token — transferable, Uniswap-listed, backed by XChan conversion locks. h1KX is HedgeKX's internal settlement token — non-transferable, 24-hour passive expiry, used exclusively as an intraday cross-chain accounting bridge and never held by any external party.</w:t>
      </w:r>
    </w:p>
    <w:p>
      <w:pPr>
        <w:spacing w:before="80" w:after="80"/>
      </w:pPr>
      <w:r>
        <w:t xml:space="preserve"/>
      </w:r>
    </w:p>
    <w:p>
      <w:pPr>
        <w:spacing w:before="100" w:after="100"/>
        <w:jc w:val="both"/>
      </w:pPr>
      <w:r>
        <w:rPr>
          <w:rFonts w:ascii="Arial" w:cs="Arial" w:eastAsia="Arial" w:hAnsi="Arial"/>
          <w:sz w:val="22"/>
          <w:szCs w:val="22"/>
        </w:rPr>
        <w:t xml:space="preserve">At all times: total KX on ChronX DAG + total wKX on Base + total h1KX on Base = 8,270,000,000 KX. Neither token is new supply. Both represent locked KX and both resolve back to the fixed supply invariant. wKX burns when XChan conversion locks mature. h1KX expires passively within 24 hours. The 8.27 billion cap is never violated.</w:t>
      </w:r>
    </w:p>
    <w:p>
      <w:pPr>
        <w:spacing w:before="80" w:after="80"/>
      </w:pPr>
      <w:r>
        <w:t xml:space="preserve"/>
      </w:r>
    </w:p>
    <w:p>
      <w:pPr>
        <w:spacing w:before="100" w:after="100"/>
        <w:jc w:val="both"/>
      </w:pPr>
      <w:r>
        <w:rPr>
          <w:rFonts w:ascii="Arial" w:cs="Arial" w:eastAsia="Arial" w:hAnsi="Arial"/>
          <w:sz w:val="22"/>
          <w:szCs w:val="22"/>
        </w:rPr>
        <w:t xml:space="preserve">KX is a utility token. This is not a deposit account, not a security, and not FDIC-insured. The guarantees described in this whitepaper are cryptographic and protocol guarantees, not legal or financial guarantees under any jurisdiction's banking law. Consult qualified legal counsel before participating.</w:t>
      </w:r>
    </w:p>
    <w:p>
      <w:r>
        <w:br w:type="page"/>
      </w:r>
    </w:p>
    <w:p>
      <w:pPr>
        <w:pStyle w:val="Heading2"/>
        <w:spacing w:before="320" w:after="160"/>
      </w:pPr>
      <w:r>
        <w:rPr>
          <w:rFonts w:ascii="Arial" w:cs="Arial" w:eastAsia="Arial" w:hAnsi="Arial"/>
          <w:b/>
          <w:bCs/>
          <w:color w:val="1F4E79"/>
          <w:sz w:val="28"/>
          <w:szCs w:val="28"/>
        </w:rPr>
        <w:t xml:space="preserve">The Ecosystem Growth Commitment</w:t>
      </w:r>
    </w:p>
    <w:p>
      <w:pPr>
        <w:spacing w:before="100" w:after="100"/>
      </w:pPr>
    </w:p>
    <w:p>
      <w:pPr>
        <w:spacing w:before="100" w:after="100"/>
        <w:jc w:val="both"/>
      </w:pPr>
      <w:r>
        <w:rPr>
          <w:rFonts w:ascii="Arial" w:cs="Arial" w:eastAsia="Arial" w:hAnsi="Arial"/>
          <w:sz w:val="22"/>
          <w:szCs w:val="22"/>
        </w:rPr>
        <w:t xml:space="preserve">Protocol-controlled KX — including EPP bond instruments, operating capital cascade locks, and harmonic Treasury and Node Reward locks — are TYPE_S instruments. They carry no HedgeKX mandate and generate no yield claims. This is structural, not a governance promise: TYPE_S locks cannot participate in yield distribution by design.</w:t>
      </w:r>
    </w:p>
    <w:p>
      <w:pPr>
        <w:spacing w:before="100" w:after="100"/>
      </w:pPr>
    </w:p>
    <w:p>
      <w:pPr>
        <w:spacing w:before="100" w:after="100"/>
        <w:jc w:val="both"/>
      </w:pPr>
      <w:r>
        <w:rPr>
          <w:rFonts w:ascii="Arial" w:cs="Arial" w:eastAsia="Arial" w:hAnsi="Arial"/>
          <w:sz w:val="22"/>
          <w:szCs w:val="22"/>
        </w:rPr>
        <w:t xml:space="preserve">The Founder makes one additional commitment: yield_opt_out will be set on any personal locks created from the Founder wallet. Founder KX does not compete with early adopters for yield share.</w:t>
      </w:r>
    </w:p>
    <w:p>
      <w:pPr>
        <w:spacing w:before="100" w:after="100"/>
      </w:pPr>
    </w:p>
    <w:p>
      <w:pPr>
        <w:spacing w:before="100" w:after="100"/>
        <w:jc w:val="both"/>
      </w:pPr>
      <w:r>
        <w:rPr>
          <w:rFonts w:ascii="Arial" w:cs="Arial" w:eastAsia="Arial" w:hAnsi="Arial"/>
          <w:sz w:val="22"/>
          <w:szCs w:val="22"/>
        </w:rPr>
        <w:t xml:space="preserve">The combined effect is that approximately 2,841,000,000 KX in protocol-controlled and Founder-held KX generates no yield claims against the mandate pool. The HedgeKX yield pool belongs entirely to public sale participants, organic wallet holders, and early adopters who lock KX through normal use.</w:t>
      </w:r>
    </w:p>
    <w:p>
      <w:pPr>
        <w:spacing w:before="100" w:after="100"/>
      </w:pPr>
    </w:p>
    <w:p>
      <w:pPr>
        <w:spacing w:before="100" w:after="100"/>
        <w:jc w:val="both"/>
      </w:pPr>
      <w:r>
        <w:rPr>
          <w:rFonts w:ascii="Arial" w:cs="Arial" w:eastAsia="Arial" w:hAnsi="Arial"/>
          <w:sz w:val="22"/>
          <w:szCs w:val="22"/>
        </w:rPr>
        <w:t xml:space="preserve">This is not encoded as a protocol invariant — the TYPE_S nature of protocol locks is structural and permanent, while the Founder commitment is a public governance statement enforceable through DAG transparency and Foundation bond accountability. Any deviation would require a public governance vote with 30 days notice on the DAG.</w:t>
      </w:r>
    </w:p>
    <w:p>
      <w:pPr>
        <w:spacing w:before="100" w:after="100"/>
      </w:pPr>
    </w:p>
    <w:p>
      <w:pPr>
        <w:spacing w:before="100" w:after="100"/>
        <w:jc w:val="both"/>
      </w:pPr>
      <w:r>
        <w:rPr>
          <w:rFonts w:ascii="Arial" w:cs="Arial" w:eastAsia="Arial" w:hAnsi="Arial"/>
          <w:sz w:val="22"/>
          <w:szCs w:val="22"/>
        </w:rPr>
        <w:t xml:space="preserve">The protocol is built for 100 years. Early adopters who believe before the proof exists deserve the yield that comes from that belief.</w:t>
      </w:r>
    </w:p>
    <w:p>
      <w:pPr>
        <w:spacing w:before="100" w:after="100"/>
      </w:pPr>
    </w:p>
    <w:p>
      <w:pPr>
        <w:pStyle w:val="Heading1"/>
        <w:spacing w:before="480" w:after="240"/>
      </w:pPr>
      <w:r>
        <w:rPr>
          <w:rFonts w:ascii="Arial" w:cs="Arial" w:eastAsia="Arial" w:hAnsi="Arial"/>
          <w:b/>
          <w:bCs/>
          <w:color w:val="1F4E79"/>
          <w:sz w:val="34"/>
          <w:szCs w:val="34"/>
        </w:rPr>
        <w:t xml:space="preserve">8. Roadmap</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color w:val="FFFFFF"/>
                <w:sz w:val="20"/>
                <w:szCs w:val="20"/>
              </w:rPr>
              <w:t xml:space="preserve">Date</w:t>
            </w:r>
          </w:p>
        </w:tc>
        <w:tc>
          <w:tcPr>
            <w:tcW w:type="dxa" w:w="7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color w:val="FFFFFF"/>
                <w:sz w:val="20"/>
                <w:szCs w:val="20"/>
              </w:rPr>
              <w:t xml:space="preserve">Milestone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March 25, 2026</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Genesis Zero locked. Protocol complete. Chain immutable.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Live now</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Pre-ICO live ($0.001755—$0.002297/KX). Governance caps active.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 — Sep 22, 2026</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Institutional outreach and private placement. Target: $500K—$2M committed with 12—24 month locks before ICO day. Whitepaper AI stress test completion. EPP registration processes initiated. YubiHSM live — HedgeKX yield activated.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September 22, 2026</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ICO opens. One price: $0.00319. Private placement locks visible on DAG. Target: $1M day-one across all channels. Unsold tokens locked in cascade schedule.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March 22, 2027</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First Treasury harmonic release. Believer tier unlock.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January 1, 2029</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Node rewards begin (harmonic, 100 years).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Post-ICO</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XChan Uniswap routing. MISAI live AI execution. KXGC Tier 1 Name admissions. Full EPP regulatory registrations.</w:t>
            </w:r>
          </w:p>
        </w:tc>
      </w:tr>
    </w:tbl>
    <w:p>
      <w:r>
        <w:br w:type="page"/>
      </w:r>
    </w:p>
    <w:p>
      <w:pPr>
        <w:pStyle w:val="Heading1"/>
        <w:spacing w:before="480" w:after="240"/>
      </w:pPr>
      <w:r>
        <w:rPr>
          <w:rFonts w:ascii="Arial" w:cs="Arial" w:eastAsia="Arial" w:hAnsi="Arial"/>
          <w:b/>
          <w:bCs/>
          <w:color w:val="1F4E79"/>
          <w:sz w:val="34"/>
          <w:szCs w:val="34"/>
        </w:rPr>
        <w:t xml:space="preserve">Appendix A — The Complete Promise Taxonomy</w:t>
      </w:r>
    </w:p>
    <w:p>
      <w:pPr>
        <w:spacing w:before="100" w:after="100"/>
        <w:jc w:val="both"/>
      </w:pPr>
      <w:r>
        <w:rPr>
          <w:rFonts w:ascii="Arial" w:cs="Arial" w:eastAsia="Arial" w:hAnsi="Arial"/>
          <w:sz w:val="22"/>
          <w:szCs w:val="22"/>
        </w:rPr>
        <w:t xml:space="preserve">All promise and payment types are live, zero-fee, and immutable at Genesis Zero unless explicitly marked as PLANNED. Every PLANNED item has scaffold fields in the protocol today — the governance flags and data structures exist, but the engine logic activates in a future build session.</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A.1 Instant Transfer (TYPE T)</w:t>
      </w:r>
    </w:p>
    <w:p>
      <w:pPr>
        <w:spacing w:before="100" w:after="100"/>
        <w:jc w:val="both"/>
      </w:pPr>
      <w:r>
        <w:rPr>
          <w:rFonts w:ascii="Arial" w:cs="Arial" w:eastAsia="Arial" w:hAnsi="Arial"/>
          <w:sz w:val="22"/>
          <w:szCs w:val="22"/>
        </w:rPr>
        <w:t xml:space="preserve">Send KX now. Recipient receives immediately upon DAG confirmation. If recipient wallet does not exist, it is auto-created.</w:t>
      </w:r>
    </w:p>
    <w:p>
      <w:pPr>
        <w:pStyle w:val="ListParagraph"/>
        <w:numPr>
          <w:ilvl w:val="0"/>
          <w:numId w:val="2"/>
        </w:numPr>
        <w:spacing w:before="60" w:after="60"/>
      </w:pPr>
      <w:r>
        <w:rPr>
          <w:rFonts w:ascii="Arial" w:cs="Arial" w:eastAsia="Arial" w:hAnsi="Arial"/>
          <w:sz w:val="22"/>
          <w:szCs w:val="22"/>
        </w:rPr>
        <w:t xml:space="preserve">Pay a contractor for completed work</w:t>
      </w:r>
    </w:p>
    <w:p>
      <w:pPr>
        <w:pStyle w:val="ListParagraph"/>
        <w:numPr>
          <w:ilvl w:val="0"/>
          <w:numId w:val="2"/>
        </w:numPr>
        <w:spacing w:before="60" w:after="60"/>
      </w:pPr>
      <w:r>
        <w:rPr>
          <w:rFonts w:ascii="Arial" w:cs="Arial" w:eastAsia="Arial" w:hAnsi="Arial"/>
          <w:sz w:val="22"/>
          <w:szCs w:val="22"/>
        </w:rPr>
        <w:t xml:space="preserve">Settle a debt</w:t>
      </w:r>
    </w:p>
    <w:p>
      <w:pPr>
        <w:pStyle w:val="ListParagraph"/>
        <w:numPr>
          <w:ilvl w:val="0"/>
          <w:numId w:val="2"/>
        </w:numPr>
        <w:spacing w:before="60" w:after="60"/>
      </w:pPr>
      <w:r>
        <w:rPr>
          <w:rFonts w:ascii="Arial" w:cs="Arial" w:eastAsia="Arial" w:hAnsi="Arial"/>
          <w:sz w:val="22"/>
          <w:szCs w:val="22"/>
        </w:rPr>
        <w:t xml:space="preserve">Send KX to an email recipient (generates claim code)</w:t>
      </w:r>
    </w:p>
    <w:p>
      <w:pPr>
        <w:pStyle w:val="ListParagraph"/>
        <w:numPr>
          <w:ilvl w:val="0"/>
          <w:numId w:val="2"/>
        </w:numPr>
        <w:spacing w:before="60" w:after="60"/>
      </w:pPr>
      <w:r>
        <w:rPr>
          <w:rFonts w:ascii="Arial" w:cs="Arial" w:eastAsia="Arial" w:hAnsi="Arial"/>
          <w:sz w:val="22"/>
          <w:szCs w:val="22"/>
        </w:rPr>
        <w:t xml:space="preserve">Move funds between your own wallets</w:t>
      </w:r>
    </w:p>
    <w:p>
      <w:pPr>
        <w:spacing w:before="80" w:after="80"/>
      </w:pPr>
      <w:r>
        <w:t xml:space="preserve"/>
      </w:r>
    </w:p>
    <w:p>
      <w:pPr>
        <w:pStyle w:val="Heading2"/>
        <w:spacing w:before="320" w:after="160"/>
      </w:pPr>
      <w:r>
        <w:rPr>
          <w:rFonts w:ascii="Arial" w:cs="Arial" w:eastAsia="Arial" w:hAnsi="Arial"/>
          <w:b/>
          <w:bCs/>
          <w:color w:val="1F4E79"/>
          <w:sz w:val="28"/>
          <w:szCs w:val="28"/>
        </w:rPr>
        <w:t xml:space="preserve">A.2 Time-Locked Promise (TYPE S — Standard)</w:t>
      </w:r>
    </w:p>
    <w:p>
      <w:pPr>
        <w:spacing w:before="100" w:after="100"/>
      </w:pPr>
    </w:p>
    <w:p>
      <w:pPr>
        <w:spacing w:before="100" w:after="100"/>
        <w:jc w:val="both"/>
      </w:pPr>
      <w:r>
        <w:rPr>
          <w:rFonts w:ascii="Arial" w:cs="Arial" w:eastAsia="Arial" w:hAnsi="Arial"/>
          <w:sz w:val="22"/>
          <w:szCs w:val="22"/>
        </w:rPr>
        <w:t xml:space="preserve">TYPE_S is a time-locked promise without yield participation. It is identical to TYPE_Y in every respect — same principal guarantee, same DAG immutability, same protocol enforcement — except that it does not grant HedgeKX a minting mandate and generates no yield for the recipient.</w:t>
      </w:r>
    </w:p>
    <w:p>
      <w:pPr>
        <w:spacing w:before="100" w:after="100"/>
      </w:pPr>
    </w:p>
    <w:p>
      <w:pPr>
        <w:spacing w:before="100" w:after="100"/>
        <w:jc w:val="both"/>
      </w:pPr>
      <w:r>
        <w:rPr>
          <w:rFonts w:ascii="Arial" w:cs="Arial" w:eastAsia="Arial" w:hAnsi="Arial"/>
          <w:sz w:val="22"/>
          <w:szCs w:val="22"/>
        </w:rPr>
        <w:t xml:space="preserve">TYPE_S is the correct choice when yield participation is specifically undesirable:</w:t>
      </w:r>
    </w:p>
    <w:p>
      <w:pPr>
        <w:spacing w:before="100" w:after="100"/>
      </w:pPr>
    </w:p>
    <w:p>
      <w:pPr>
        <w:pStyle w:val="ListParagraph"/>
        <w:spacing w:before="60" w:after="60"/>
        <w:ind w:left="720"/>
      </w:pPr>
      <w:r>
        <w:rPr>
          <w:rFonts w:ascii="Arial" w:cs="Arial" w:eastAsia="Arial" w:hAnsi="Arial"/>
          <w:sz w:val="22"/>
          <w:szCs w:val="22"/>
        </w:rPr>
        <w:t xml:space="preserve">Escrow and security deposits: a tenant’s security deposit held by a landlord should not generate yield for the landlord that was not agreed at inception</w:t>
      </w:r>
    </w:p>
    <w:p>
      <w:pPr>
        <w:pStyle w:val="ListParagraph"/>
        <w:spacing w:before="60" w:after="60"/>
        <w:ind w:left="720"/>
      </w:pPr>
      <w:r>
        <w:rPr>
          <w:rFonts w:ascii="Arial" w:cs="Arial" w:eastAsia="Arial" w:hAnsi="Arial"/>
          <w:sz w:val="22"/>
          <w:szCs w:val="22"/>
        </w:rPr>
        <w:t xml:space="preserve">Legal settlements: structured settlement payments where the exact amount is legally specified and variable yield would complicate enforcement</w:t>
      </w:r>
    </w:p>
    <w:p>
      <w:pPr>
        <w:pStyle w:val="ListParagraph"/>
        <w:spacing w:before="60" w:after="60"/>
        <w:ind w:left="720"/>
      </w:pPr>
      <w:r>
        <w:rPr>
          <w:rFonts w:ascii="Arial" w:cs="Arial" w:eastAsia="Arial" w:hAnsi="Arial"/>
          <w:sz w:val="22"/>
          <w:szCs w:val="22"/>
        </w:rPr>
        <w:t xml:space="preserve">Tax considerations: grantors who do not wish the beneficiary to receive variable additional income with potential tax implications</w:t>
      </w:r>
    </w:p>
    <w:p>
      <w:pPr>
        <w:pStyle w:val="ListParagraph"/>
        <w:spacing w:before="60" w:after="60"/>
        <w:ind w:left="720"/>
      </w:pPr>
      <w:r>
        <w:rPr>
          <w:rFonts w:ascii="Arial" w:cs="Arial" w:eastAsia="Arial" w:hAnsi="Arial"/>
          <w:sz w:val="22"/>
          <w:szCs w:val="22"/>
        </w:rPr>
        <w:t xml:space="preserve">Simple intent: grantors who wish to give a specific fixed amount and nothing more</w:t>
      </w:r>
    </w:p>
    <w:p>
      <w:pPr>
        <w:pStyle w:val="ListParagraph"/>
        <w:spacing w:before="60" w:after="60"/>
        <w:ind w:left="720"/>
      </w:pPr>
      <w:r>
        <w:rPr>
          <w:rFonts w:ascii="Arial" w:cs="Arial" w:eastAsia="Arial" w:hAnsi="Arial"/>
          <w:sz w:val="22"/>
          <w:szCs w:val="22"/>
        </w:rPr>
        <w:t xml:space="preserve">Old-fashioned preference: some people simply prefer a clean fixed promise</w:t>
      </w:r>
    </w:p>
    <w:p>
      <w:pPr>
        <w:spacing w:before="100" w:after="100"/>
      </w:pPr>
    </w:p>
    <w:p>
      <w:pPr>
        <w:spacing w:before="100" w:after="100"/>
        <w:jc w:val="both"/>
      </w:pPr>
      <w:r>
        <w:rPr>
          <w:rFonts w:ascii="Arial" w:cs="Arial" w:eastAsia="Arial" w:hAnsi="Arial"/>
          <w:sz w:val="22"/>
          <w:szCs w:val="22"/>
        </w:rPr>
        <w:t xml:space="preserve">For all other time-locked promises, TYPE_Y is the recommended default. The protocol creates TYPE_Y unless the user explicitly selects TYPE_S or sets yield_opt_out.</w:t>
      </w:r>
    </w:p>
    <w:p>
      <w:pPr>
        <w:spacing w:before="100" w:after="100"/>
      </w:pPr>
    </w:p>
    <w:p>
      <w:pPr>
        <w:spacing w:before="100" w:after="100"/>
        <w:jc w:val="both"/>
      </w:pPr>
      <w:r>
        <w:rPr>
          <w:rFonts w:ascii="Arial" w:cs="Arial" w:eastAsia="Arial" w:hAnsi="Arial"/>
          <w:sz w:val="22"/>
          <w:szCs w:val="22"/>
        </w:rPr>
        <w:t xml:space="preserve">TYPE_S use cases (where fixed delivery without yield is specifically intended):</w:t>
      </w:r>
    </w:p>
    <w:p>
      <w:pPr>
        <w:pStyle w:val="ListParagraph"/>
        <w:numPr>
          <w:ilvl w:val="0"/>
          <w:numId w:val="2"/>
        </w:numPr>
        <w:spacing w:before="60" w:after="60"/>
      </w:pPr>
      <w:r>
        <w:rPr>
          <w:rFonts w:ascii="Arial" w:cs="Arial" w:eastAsia="Arial" w:hAnsi="Arial"/>
          <w:sz w:val="22"/>
          <w:szCs w:val="22"/>
        </w:rPr>
        <w:t xml:space="preserve">Birthday gift: lock 1,000 KX, unlock on child's 18th birthday</w:t>
      </w:r>
    </w:p>
    <w:p>
      <w:pPr>
        <w:pStyle w:val="ListParagraph"/>
        <w:numPr>
          <w:ilvl w:val="0"/>
          <w:numId w:val="2"/>
        </w:numPr>
        <w:spacing w:before="60" w:after="60"/>
      </w:pPr>
      <w:r>
        <w:rPr>
          <w:rFonts w:ascii="Arial" w:cs="Arial" w:eastAsia="Arial" w:hAnsi="Arial"/>
          <w:sz w:val="22"/>
          <w:szCs w:val="22"/>
        </w:rPr>
        <w:t xml:space="preserve">Vesting schedule: quarterly releases over 4 years</w:t>
      </w:r>
    </w:p>
    <w:p>
      <w:pPr>
        <w:pStyle w:val="ListParagraph"/>
        <w:numPr>
          <w:ilvl w:val="0"/>
          <w:numId w:val="2"/>
        </w:numPr>
        <w:spacing w:before="60" w:after="60"/>
      </w:pPr>
      <w:r>
        <w:rPr>
          <w:rFonts w:ascii="Arial" w:cs="Arial" w:eastAsia="Arial" w:hAnsi="Arial"/>
          <w:sz w:val="22"/>
          <w:szCs w:val="22"/>
        </w:rPr>
        <w:t xml:space="preserve">Escrow: lock KX until a deal closes</w:t>
      </w:r>
    </w:p>
    <w:p>
      <w:pPr>
        <w:pStyle w:val="ListParagraph"/>
        <w:numPr>
          <w:ilvl w:val="0"/>
          <w:numId w:val="2"/>
        </w:numPr>
        <w:spacing w:before="60" w:after="60"/>
      </w:pPr>
      <w:r>
        <w:rPr>
          <w:rFonts w:ascii="Arial" w:cs="Arial" w:eastAsia="Arial" w:hAnsi="Arial"/>
          <w:sz w:val="22"/>
          <w:szCs w:val="22"/>
        </w:rPr>
        <w:t xml:space="preserve">Deferred compensation: employer promises payment in 6 months</w:t>
      </w:r>
    </w:p>
    <w:p>
      <w:pPr>
        <w:spacing w:before="80" w:after="80"/>
      </w:pPr>
      <w:r>
        <w:t xml:space="preserve"/>
      </w:r>
    </w:p>
    <w:p>
      <w:pPr>
        <w:spacing w:before="100" w:after="100"/>
      </w:pPr>
    </w:p>
    <w:p>
      <w:pPr>
        <w:spacing w:before="100" w:after="100"/>
        <w:jc w:val="both"/>
      </w:pPr>
      <w:r>
        <w:rPr>
          <w:rFonts w:ascii="Arial" w:cs="Arial" w:eastAsia="Arial" w:hAnsi="Arial"/>
          <w:sz w:val="22"/>
          <w:szCs w:val="22"/>
        </w:rPr>
        <w:t xml:space="preserve">Unclaimed action: For short-duration locks (under the governance Verifas threshold, currently 365 days), unclaimed_action defaults to RevertToSender. For locks where unlock_at exceeds the governance Verifas threshold, unclaimed_action is overridden by the three-stage Verifas suspense system. See Section 4.2.</w:t>
      </w:r>
    </w:p>
    <w:p>
      <w:pPr>
        <w:spacing w:before="100" w:after="100"/>
      </w:pPr>
    </w:p>
    <w:p>
      <w:pPr>
        <w:spacing w:before="100" w:after="100"/>
        <w:jc w:val="both"/>
      </w:pPr>
      <w:r>
        <w:rPr>
          <w:rFonts w:ascii="Arial" w:cs="Arial" w:eastAsia="Arial" w:hAnsi="Arial"/>
          <w:sz w:val="22"/>
          <w:szCs w:val="22"/>
        </w:rPr>
        <w:t xml:space="preserve">Claim window: For long-duration locks, the claim window (claim_window_secs) represents Stage 1 only. Expiry of this window triggers Stage 2 (two-party lock) rather than immediate reversion.</w:t>
      </w:r>
    </w:p>
    <w:p>
      <w:pPr>
        <w:pStyle w:val="Heading2"/>
        <w:spacing w:before="320" w:after="160"/>
      </w:pPr>
      <w:r>
        <w:rPr>
          <w:rFonts w:ascii="Arial" w:cs="Arial" w:eastAsia="Arial" w:hAnsi="Arial"/>
          <w:b/>
          <w:bCs/>
          <w:color w:val="2E75B6"/>
          <w:sz w:val="26"/>
          <w:szCs w:val="26"/>
        </w:rPr>
        <w:t xml:space="preserve">A.3 Email Claim Promise</w:t>
      </w:r>
    </w:p>
    <w:p>
      <w:pPr>
        <w:spacing w:before="100" w:after="100"/>
        <w:jc w:val="both"/>
      </w:pPr>
      <w:r>
        <w:rPr>
          <w:rFonts w:ascii="Arial" w:cs="Arial" w:eastAsia="Arial" w:hAnsi="Arial"/>
          <w:sz w:val="22"/>
          <w:szCs w:val="22"/>
        </w:rPr>
        <w:t xml:space="preserve">A promise to an email address without requiring the recipient's wallet. The protocol generates a claim code (KX-XXXX-XXXX-XXXX-XXXX). The claim secret is never stored on-chain. The email hash is BLAKE3(lowercase(email)). Claim window: 72 hours. If unclaimed, funds revert to sender automatically.</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A.4 Cascade Promise</w:t>
      </w:r>
    </w:p>
    <w:p>
      <w:pPr>
        <w:spacing w:before="100" w:after="100"/>
        <w:jc w:val="both"/>
      </w:pPr>
      <w:r>
        <w:rPr>
          <w:rFonts w:ascii="Arial" w:cs="Arial" w:eastAsia="Arial" w:hAnsi="Arial"/>
          <w:sz w:val="22"/>
          <w:szCs w:val="22"/>
        </w:rPr>
        <w:t xml:space="preserve">Multiple promises sharing a single claim code, each with its own unlock date and amount. TimeLockClaimWithSecret batch-claims all matured locks sharing the same claim_secret_hash.</w:t>
      </w:r>
    </w:p>
    <w:p>
      <w:pPr>
        <w:pStyle w:val="ListParagraph"/>
        <w:numPr>
          <w:ilvl w:val="0"/>
          <w:numId w:val="2"/>
        </w:numPr>
        <w:spacing w:before="60" w:after="60"/>
      </w:pPr>
      <w:r>
        <w:rPr>
          <w:rFonts w:ascii="Arial" w:cs="Arial" w:eastAsia="Arial" w:hAnsi="Arial"/>
          <w:sz w:val="22"/>
          <w:szCs w:val="22"/>
        </w:rPr>
        <w:t xml:space="preserve">Welcome bonus: 100 KX now, 250 KX in a week, 500 KX in a month</w:t>
      </w:r>
    </w:p>
    <w:p>
      <w:pPr>
        <w:pStyle w:val="ListParagraph"/>
        <w:numPr>
          <w:ilvl w:val="0"/>
          <w:numId w:val="2"/>
        </w:numPr>
        <w:spacing w:before="60" w:after="60"/>
      </w:pPr>
      <w:r>
        <w:rPr>
          <w:rFonts w:ascii="Arial" w:cs="Arial" w:eastAsia="Arial" w:hAnsi="Arial"/>
          <w:sz w:val="22"/>
          <w:szCs w:val="22"/>
        </w:rPr>
        <w:t xml:space="preserve">Vesting schedule: quarterly releases over 2 years</w:t>
      </w:r>
    </w:p>
    <w:p>
      <w:pPr>
        <w:pStyle w:val="ListParagraph"/>
        <w:numPr>
          <w:ilvl w:val="0"/>
          <w:numId w:val="2"/>
        </w:numPr>
        <w:spacing w:before="60" w:after="60"/>
      </w:pPr>
      <w:r>
        <w:rPr>
          <w:rFonts w:ascii="Arial" w:cs="Arial" w:eastAsia="Arial" w:hAnsi="Arial"/>
          <w:sz w:val="22"/>
          <w:szCs w:val="22"/>
        </w:rPr>
        <w:t xml:space="preserve">Inheritance: staged distribution over decades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A.5 PAY_AS Promise</w:t>
      </w:r>
    </w:p>
    <w:p>
      <w:pPr>
        <w:spacing w:before="100" w:after="100"/>
        <w:jc w:val="both"/>
      </w:pPr>
      <w:r>
        <w:rPr>
          <w:rFonts w:ascii="Arial" w:cs="Arial" w:eastAsia="Arial" w:hAnsi="Arial"/>
          <w:sz w:val="22"/>
          <w:szCs w:val="22"/>
        </w:rPr>
        <w:t xml:space="preserve">A promise denominated in a non-KX currency. The pay_as_amount field records the target amount. At maturity, XChan provides the oracle rate. The protocol delivers the KX equivalent. If locked KX exceeds the requirement, surplus remains with the lock. Current governance cap: pay_as_max_usd = $250 per transaction.</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A.6 TYPE M — AI-Managed Promise</w:t>
      </w:r>
    </w:p>
    <w:p>
      <w:pPr>
        <w:spacing w:before="100" w:after="100"/>
        <w:jc w:val="both"/>
      </w:pPr>
      <w:r>
        <w:rPr>
          <w:rFonts w:ascii="Arial" w:cs="Arial" w:eastAsia="Arial" w:hAnsi="Arial"/>
          <w:sz w:val="22"/>
          <w:szCs w:val="22"/>
        </w:rPr>
        <w:t xml:space="preserve">A standard TimeLockCreate with additional fields authorising MISAI to manage the investable fraction of locked KX per the grantor's mandate. The grantor never surrenders custody. MISAI only has authority to submit ExecutorWithdraw actions within its mandate, subject to a 24-hour delay. MISAI commits every decision to the DAG before executing (Axiom VIII). The grantor_axiom_consent_hash field records consent to Axioms VII–XII. Without this hash, a TYPE M lock cannot be created.</w:t>
      </w:r>
    </w:p>
    <w:p>
      <w:pPr>
        <w:spacing w:before="80" w:after="80"/>
      </w:pPr>
      <w:r>
        <w:t xml:space="preserve"/>
      </w:r>
    </w:p>
    <w:p>
      <w:pPr>
        <w:pStyle w:val="Heading2"/>
        <w:spacing w:before="320" w:after="160"/>
      </w:pPr>
      <w:r>
        <w:rPr>
          <w:rFonts w:ascii="Arial" w:cs="Arial" w:eastAsia="Arial" w:hAnsi="Arial"/>
          <w:b/>
          <w:bCs/>
          <w:color w:val="1F4E79"/>
          <w:sz w:val="28"/>
          <w:szCs w:val="28"/>
        </w:rPr>
        <w:t xml:space="preserve">A.7 TYPE Y — The Default Promise (Time-Locked with Yield Participation)</w:t>
      </w:r>
    </w:p>
    <w:p>
      <w:pPr>
        <w:spacing w:before="100" w:after="100"/>
      </w:pPr>
    </w:p>
    <w:p>
      <w:pPr>
        <w:spacing w:before="100" w:after="100"/>
        <w:jc w:val="both"/>
      </w:pPr>
      <w:r>
        <w:rPr>
          <w:rFonts w:ascii="Arial" w:cs="Arial" w:eastAsia="Arial" w:hAnsi="Arial"/>
          <w:sz w:val="22"/>
          <w:szCs w:val="22"/>
        </w:rPr>
        <w:t xml:space="preserve">TYPE_Y is the recommended default for all time-locked promises on ChronX. It is identical to TYPE_S in every respect — same principal guarantee, same immutability, same DAG enforcement — with one addition: it automatically grants HedgeKX a minting mandate, enabling yield to accrue to the beneficiary’s separate yield balance from real economic activity.</w:t>
      </w:r>
    </w:p>
    <w:p>
      <w:pPr>
        <w:spacing w:before="100" w:after="100"/>
      </w:pPr>
    </w:p>
    <w:p>
      <w:pPr>
        <w:spacing w:before="100" w:after="100"/>
        <w:jc w:val="both"/>
      </w:pPr>
      <w:r>
        <w:rPr>
          <w:rFonts w:ascii="Arial" w:cs="Arial" w:eastAsia="Arial" w:hAnsi="Arial"/>
          <w:sz w:val="22"/>
          <w:szCs w:val="22"/>
        </w:rPr>
        <w:t xml:space="preserve">There is no cost to the grantor. There is no risk to the principal. The yield belongs to whoever the promise was made to — not to the grantor. It accumulates in a separate balance that never decreases, claimable at any time.</w:t>
      </w:r>
    </w:p>
    <w:p>
      <w:pPr>
        <w:spacing w:before="100" w:after="100"/>
      </w:pPr>
    </w:p>
    <w:p>
      <w:pPr>
        <w:spacing w:before="100" w:after="100"/>
        <w:jc w:val="both"/>
      </w:pPr>
      <w:r>
        <w:rPr>
          <w:rFonts w:ascii="Arial" w:cs="Arial" w:eastAsia="Arial" w:hAnsi="Arial"/>
          <w:sz w:val="22"/>
          <w:szCs w:val="22"/>
        </w:rPr>
        <w:t xml:space="preserve">Grantors who specifically do not want yield participation use TYPE_S instead, or set yield_opt_out at TYPE_Y lock creation. Common reasons: escrow instruments, legal settlements, tax considerations, or simple preference for a fixed delivery amount. See A.2 for the complete list of TYPE_S use cases.</w:t>
      </w:r>
    </w:p>
    <w:p>
      <w:pPr>
        <w:spacing w:before="100" w:after="100"/>
      </w:pPr>
    </w:p>
    <w:p>
      <w:pPr>
        <w:spacing w:before="100" w:after="100"/>
        <w:jc w:val="both"/>
      </w:pPr>
      <w:r>
        <w:rPr>
          <w:rFonts w:ascii="Arial" w:cs="Arial" w:eastAsia="Arial" w:hAnsi="Arial"/>
          <w:sz w:val="22"/>
          <w:szCs w:val="22"/>
        </w:rPr>
        <w:t xml:space="preserve">The wallet creates TYPE_Y by default. The user must explicitly choose TYPE_S or set yield_opt_out to suppress yield participation.</w:t>
      </w:r>
    </w:p>
    <w:p>
      <w:pPr>
        <w:spacing w:before="100" w:after="100"/>
      </w:pPr>
    </w:p>
    <w:p>
      <w:pPr>
        <w:spacing w:before="100" w:after="100"/>
        <w:jc w:val="both"/>
      </w:pPr>
      <w:r>
        <w:rPr>
          <w:rFonts w:ascii="Arial" w:cs="Arial" w:eastAsia="Arial" w:hAnsi="Arial"/>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Fixed-term savings: deposit 10,000 KX, receive 10,500 KX at 6 months</w:t>
      </w:r>
    </w:p>
    <w:p>
      <w:pPr>
        <w:pStyle w:val="ListParagraph"/>
        <w:numPr>
          <w:ilvl w:val="0"/>
          <w:numId w:val="2"/>
        </w:numPr>
        <w:spacing w:before="60" w:after="60"/>
      </w:pPr>
      <w:r>
        <w:rPr>
          <w:rFonts w:ascii="Arial" w:cs="Arial" w:eastAsia="Arial" w:hAnsi="Arial"/>
          <w:sz w:val="22"/>
          <w:szCs w:val="22"/>
        </w:rPr>
        <w:t xml:space="preserve">Long-horizon promise with yield: 20-year gift that earns HedgeKX yield for the recipient</w:t>
      </w:r>
    </w:p>
    <w:p>
      <w:pPr>
        <w:pStyle w:val="ListParagraph"/>
        <w:spacing w:before="60" w:after="60"/>
        <w:ind w:left="720"/>
      </w:pPr>
      <w:r>
        <w:rPr>
          <w:rFonts w:ascii="Arial" w:cs="Arial" w:eastAsia="Arial" w:hAnsi="Arial"/>
          <w:sz w:val="22"/>
          <w:szCs w:val="22"/>
        </w:rPr>
        <w:t xml:space="preserve">Standard promise (the default): any time-locked transfer where the grantor intends to give KX and has no reason to suppress the yield bonus for the recipient</w:t>
      </w:r>
    </w:p>
    <w:p>
      <w:pPr>
        <w:pStyle w:val="ListParagraph"/>
        <w:spacing w:before="60" w:after="60"/>
        <w:ind w:left="720"/>
      </w:pPr>
      <w:r>
        <w:rPr>
          <w:rFonts w:ascii="Arial" w:cs="Arial" w:eastAsia="Arial" w:hAnsi="Arial"/>
          <w:sz w:val="22"/>
          <w:szCs w:val="22"/>
        </w:rPr>
        <w:t xml:space="preserve">Long-horizon promises: 10-year, 20-year gifts and inheritance arrangements where yield accumulates meaningfully over time for the beneficiary</w:t>
      </w:r>
    </w:p>
    <w:p>
      <w:pPr>
        <w:pStyle w:val="ListParagraph"/>
        <w:spacing w:before="60" w:after="60"/>
        <w:ind w:left="720"/>
      </w:pPr>
      <w:r>
        <w:rPr>
          <w:rFonts w:ascii="Arial" w:cs="Arial" w:eastAsia="Arial" w:hAnsi="Arial"/>
          <w:sz w:val="22"/>
          <w:szCs w:val="22"/>
        </w:rPr>
        <w:t xml:space="preserve">ICO participant locks: KX purchased at ICO and locked for any duration automatically participates in HedgeKX yield — the lock duration determines the share of the yield pool</w:t>
      </w:r>
    </w:p>
    <w:p>
      <w:pPr>
        <w:spacing w:before="80" w:after="80"/>
      </w:pPr>
      <w:r>
        <w:t xml:space="preserve"/>
      </w:r>
    </w:p>
    <w:p>
      <w:pPr>
        <w:spacing w:before="100" w:after="100"/>
      </w:pPr>
    </w:p>
    <w:p>
      <w:pPr>
        <w:spacing w:before="100" w:after="100"/>
        <w:jc w:val="both"/>
      </w:pPr>
      <w:r>
        <w:rPr>
          <w:rFonts w:ascii="Arial" w:cs="Arial" w:eastAsia="Arial" w:hAnsi="Arial"/>
          <w:sz w:val="22"/>
          <w:szCs w:val="22"/>
        </w:rPr>
        <w:t xml:space="preserve">Long-duration TYPE_Y locks — whether made to oneself or to another party — follow the same three-stage Verifas suspense system as long-duration TYPE_S locks. A TYPE_Y savings lock made to oneself for two years is still subject to this system: if the lock holder dies before claiming, their estate can approach Verifas for co-signature release during Stage 2, rather than the KX reverting to an unreachable wallet. Short-duration TYPE_Y locks (under the governance Verifas threshold, currently one year) are unaffected — they revert to sender as normal.</w:t>
      </w:r>
    </w:p>
    <w:p>
      <w:pPr>
        <w:pStyle w:val="Heading2"/>
        <w:spacing w:before="320" w:after="160"/>
      </w:pPr>
      <w:r>
        <w:rPr>
          <w:rFonts w:ascii="Arial" w:cs="Arial" w:eastAsia="Arial" w:hAnsi="Arial"/>
          <w:b/>
          <w:bCs/>
          <w:color w:val="2E75B6"/>
          <w:sz w:val="26"/>
          <w:szCs w:val="26"/>
        </w:rPr>
        <w:t xml:space="preserve">A.8 TYPE I — Invoice</w:t>
      </w:r>
    </w:p>
    <w:p>
      <w:pPr>
        <w:spacing w:before="100" w:after="100"/>
        <w:jc w:val="both"/>
      </w:pPr>
      <w:r>
        <w:rPr>
          <w:rFonts w:ascii="Arial" w:cs="Arial" w:eastAsia="Arial" w:hAnsi="Arial"/>
          <w:sz w:val="22"/>
          <w:szCs w:val="22"/>
        </w:rPr>
        <w:t xml:space="preserve">A recipient-gated payment request. The payee creates a TYPE I Invoice specifying amount and payer. The payer accepts (pays) or declines. Payment is atomic.</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A.9 TYPE C — Credit Authorisation</w:t>
      </w:r>
    </w:p>
    <w:p>
      <w:pPr>
        <w:spacing w:before="100" w:after="100"/>
        <w:jc w:val="both"/>
      </w:pPr>
      <w:r>
        <w:rPr>
          <w:rFonts w:ascii="Arial" w:cs="Arial" w:eastAsia="Arial" w:hAnsi="Arial"/>
          <w:sz w:val="22"/>
          <w:szCs w:val="22"/>
        </w:rPr>
        <w:t xml:space="preserve">A pre-authorised variable draw facility. The grantor authorises a beneficiary to draw up to a ceiling amount in increments without per-draw approval. Revocable at any time before a draw executes.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A.10 TYPE V — Conditional Validity</w:t>
      </w:r>
    </w:p>
    <w:p>
      <w:pPr>
        <w:spacing w:before="100" w:after="100"/>
        <w:jc w:val="both"/>
      </w:pPr>
      <w:r>
        <w:rPr>
          <w:rFonts w:ascii="Arial" w:cs="Arial" w:eastAsia="Arial" w:hAnsi="Arial"/>
          <w:sz w:val="22"/>
          <w:szCs w:val="22"/>
        </w:rPr>
        <w:t xml:space="preserve">An M-of-N attestor-released payment. Funds locked until minimum attestors confirm. If minimum not reached before valid_until, funds return to sender. See Appendix C for full specification.</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A.11 TYPE L — Ledger Entry</w:t>
      </w:r>
    </w:p>
    <w:p>
      <w:pPr>
        <w:spacing w:before="100" w:after="100"/>
        <w:jc w:val="both"/>
      </w:pPr>
      <w:r>
        <w:rPr>
          <w:rFonts w:ascii="Arial" w:cs="Arial" w:eastAsia="Arial" w:hAnsi="Arial"/>
          <w:sz w:val="22"/>
          <w:szCs w:val="22"/>
        </w:rPr>
        <w:t xml:space="preserve">A bonded-agent-only signed DAG memo for on-chain identity verification, Promise Chain anchors, and protocol attestations. Only wallets registered as bonded verifiers may create TYPE L entries. This is how CPNX records badge issuances on the DAG.</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A.12 TYPE G — Wallet Group</w:t>
      </w:r>
    </w:p>
    <w:p>
      <w:pPr>
        <w:spacing w:before="100" w:after="100"/>
        <w:jc w:val="both"/>
      </w:pPr>
      <w:r>
        <w:rPr>
          <w:rFonts w:ascii="Arial" w:cs="Arial" w:eastAsia="Arial" w:hAnsi="Arial"/>
          <w:sz w:val="22"/>
          <w:szCs w:val="22"/>
        </w:rPr>
        <w:t xml:space="preserve">A named group of wallets referenced as a unit. Used in TYPE V attestor sets, backup executor lists, and authorised claim sets. Critical design note: insurance and loan instruments should always reference a TYPE G group via attestor_group rather than hardcoding individual wallet addresses. When a group member dies or is incapacitated, the Foundation can submit RemoveGroupMember and the group reference on all existing instruments automatically reflects the updated membership.</w:t>
      </w:r>
    </w:p>
    <w:p>
      <w:r>
        <w:br w:type="page"/>
      </w:r>
    </w:p>
    <w:p>
      <w:pPr>
        <w:pStyle w:val="Heading1"/>
        <w:spacing w:before="480" w:after="240"/>
      </w:pPr>
      <w:r>
        <w:rPr>
          <w:rFonts w:ascii="Arial" w:cs="Arial" w:eastAsia="Arial" w:hAnsi="Arial"/>
          <w:b/>
          <w:bCs/>
          <w:color w:val="1F4E79"/>
          <w:sz w:val="34"/>
          <w:szCs w:val="34"/>
        </w:rPr>
        <w:t xml:space="preserve">Appendix B — Bilateral Promises (Loans)</w:t>
      </w:r>
    </w:p>
    <w:p>
      <w:pPr>
        <w:spacing w:before="100" w:after="100"/>
        <w:jc w:val="both"/>
      </w:pPr>
      <w:r>
        <w:rPr>
          <w:rFonts w:ascii="Arial" w:cs="Arial" w:eastAsia="Arial" w:hAnsi="Arial"/>
          <w:sz w:val="22"/>
          <w:szCs w:val="22"/>
        </w:rPr>
        <w:t xml:space="preserve">A loan is a bilateral promise — two parties, mutual consent, recorded on the DAG. Every loan begins with a LoanOffer. The borrower submits LoanAcceptance or LoanDecline. Neither party can impose terms unilaterally.</w:t>
      </w:r>
    </w:p>
    <w:p>
      <w:pPr>
        <w:spacing w:before="80" w:after="80"/>
      </w:pPr>
      <w:r>
        <w:t xml:space="preserve"/>
      </w:r>
    </w:p>
    <w:p>
      <w:pPr>
        <w:spacing w:before="100" w:after="100"/>
        <w:jc w:val="both"/>
      </w:pPr>
      <w:r>
        <w:rPr>
          <w:rFonts w:ascii="Arial" w:cs="Arial" w:eastAsia="Arial" w:hAnsi="Arial"/>
          <w:sz w:val="22"/>
          <w:szCs w:val="22"/>
        </w:rPr>
        <w:t xml:space="preserve">Governance: loan_transfer_enabled = false (dormant). loan_block_principal_usd = $250 (governance vote needed to raise for institutional issuance).</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B.1 Friendly Loan (30-Day, PAY_AS, 1% Hedge Fee)</w:t>
      </w:r>
    </w:p>
    <w:p>
      <w:pPr>
        <w:spacing w:before="100" w:after="100"/>
        <w:jc w:val="both"/>
      </w:pPr>
      <w:r>
        <w:rPr>
          <w:rFonts w:ascii="Arial" w:cs="Arial" w:eastAsia="Arial" w:hAnsi="Arial"/>
          <w:sz w:val="22"/>
          <w:szCs w:val="22"/>
        </w:rPr>
        <w:t xml:space="preserve">The standard friendly loan. Sender commits KX. Borrower receives KX equivalent to a specified USD amount today and promises to return the same USD equivalent within 30 days. The 1% fee covers the HedgeKX hedge that ensures the lender receives full USD value regardless of KX price movement during the loan period.</w:t>
      </w:r>
    </w:p>
    <w:p>
      <w:pPr>
        <w:spacing w:before="80" w:after="80"/>
      </w:pPr>
      <w:r>
        <w:t xml:space="preserve"/>
      </w:r>
    </w:p>
    <w:p>
      <w:pPr>
        <w:spacing w:before="100" w:after="100"/>
        <w:jc w:val="both"/>
      </w:pPr>
      <w:r>
        <w:rPr>
          <w:rFonts w:ascii="Arial" w:cs="Arial" w:eastAsia="Arial" w:hAnsi="Arial"/>
          <w:sz w:val="22"/>
          <w:szCs w:val="22"/>
        </w:rPr>
        <w:t xml:space="preserve">Governance prioritises friendly loan hedge requests when capacity is limited. Effective per-transaction cap is governed by available HedgeKX capacity; current maximum $250. Quote expires in 10 seconds. Hedge and promise created atomically on confirmation.</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B.2 Fixed Term Loan</w:t>
      </w:r>
    </w:p>
    <w:p>
      <w:pPr>
        <w:spacing w:before="100" w:after="100"/>
        <w:jc w:val="both"/>
      </w:pPr>
      <w:r>
        <w:rPr>
          <w:rFonts w:ascii="Arial" w:cs="Arial" w:eastAsia="Arial" w:hAnsi="Arial"/>
          <w:sz w:val="22"/>
          <w:szCs w:val="22"/>
        </w:rPr>
        <w:t xml:space="preserve">Personal loan, business loan, mortgage, bridge loan. LoanOffer with fixed or variable interest rate, payment stages, and optional collateral lock. Full technical parameters in Appendix B technical reference.</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B.3 Revolving Loan</w:t>
      </w:r>
    </w:p>
    <w:p>
      <w:pPr>
        <w:spacing w:before="100" w:after="100"/>
        <w:jc w:val="both"/>
      </w:pPr>
      <w:r>
        <w:rPr>
          <w:rFonts w:ascii="Arial" w:cs="Arial" w:eastAsia="Arial" w:hAnsi="Arial"/>
          <w:sz w:val="22"/>
          <w:szCs w:val="22"/>
        </w:rPr>
        <w:t xml:space="preserve">Business line of credit, overdraft facility, working capital. Ceiling amount, renewal period, exit rights. Full parameters in Appendix B technical reference.</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B.4 Sharia-Compliant Loans</w:t>
      </w:r>
    </w:p>
    <w:p>
      <w:pPr>
        <w:spacing w:before="100" w:after="100"/>
        <w:jc w:val="both"/>
      </w:pPr>
      <w:r>
        <w:rPr>
          <w:rFonts w:ascii="Arial" w:cs="Arial" w:eastAsia="Arial" w:hAnsi="Arial"/>
          <w:sz w:val="22"/>
          <w:szCs w:val="22"/>
        </w:rPr>
        <w:t xml:space="preserve">Murabaha (cost-plus, no compounding) and Qard Hasan (zero-profit benevolent loan) are natively supported. Structured as LoanOffer with appropriate interest_rate and payment stage configurations.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B.5 PAY_AS Loan</w:t>
      </w:r>
    </w:p>
    <w:p>
      <w:pPr>
        <w:spacing w:before="100" w:after="100"/>
        <w:jc w:val="both"/>
      </w:pPr>
      <w:r>
        <w:rPr>
          <w:rFonts w:ascii="Arial" w:cs="Arial" w:eastAsia="Arial" w:hAnsi="Arial"/>
          <w:sz w:val="22"/>
          <w:szCs w:val="22"/>
        </w:rPr>
        <w:t xml:space="preserve">Loan denominated in non-KX currency. Each payment stage includes a pay_as field. At each settlement date XChan oracle provides the rate. HedgeKX integration allows lender to lock in exchange rates.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B.6 Loan Transferability and Tranching</w:t>
      </w:r>
    </w:p>
    <w:p>
      <w:pPr>
        <w:spacing w:before="100" w:after="100"/>
        <w:jc w:val="both"/>
      </w:pPr>
      <w:r>
        <w:rPr>
          <w:rFonts w:ascii="Arial" w:cs="Arial" w:eastAsia="Arial" w:hAnsi="Arial"/>
          <w:sz w:val="22"/>
          <w:szCs w:val="22"/>
        </w:rPr>
        <w:t xml:space="preserve">Loan_transfer_enabled: false (dormant, governance activation post-ICO). When enabled: FREE, RESTRICTED, or LOCKED transferability. Tranching: minimum 1,000 KX per tranche, maximum 1,000 tranches per obligation, minimum 10,000 KX to tranche. YIELD_ONLY and PRINCIPAL_ONLY strip instruments supported.</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B.7 MISAI as Loan Servicer</w:t>
      </w:r>
    </w:p>
    <w:p>
      <w:pPr>
        <w:spacing w:before="100" w:after="100"/>
        <w:jc w:val="both"/>
      </w:pPr>
      <w:r>
        <w:rPr>
          <w:rFonts w:ascii="Arial" w:cs="Arial" w:eastAsia="Arial" w:hAnsi="Arial"/>
          <w:sz w:val="22"/>
          <w:szCs w:val="22"/>
        </w:rPr>
        <w:t xml:space="preserve">Any loan may designate MISAI as servicer. MISAI monitors payment schedule, publishes DefaultRecord when payments are missed, and processes LoanCompletion when all stages are paid. Every MISAI action is committed to the DAG before it executes (Axiom VIII).</w:t>
      </w:r>
    </w:p>
    <w:p>
      <w:r>
        <w:br w:type="page"/>
      </w:r>
    </w:p>
    <w:p>
      <w:pPr>
        <w:pStyle w:val="Heading1"/>
        <w:spacing w:before="480" w:after="240"/>
      </w:pPr>
      <w:r>
        <w:rPr>
          <w:rFonts w:ascii="Arial" w:cs="Arial" w:eastAsia="Arial" w:hAnsi="Arial"/>
          <w:b/>
          <w:bCs/>
          <w:color w:val="1F4E79"/>
          <w:sz w:val="34"/>
          <w:szCs w:val="34"/>
        </w:rPr>
        <w:t xml:space="preserve">Appendix C — Conditional Promises (TYPE S Springing Instruments)</w:t>
      </w:r>
    </w:p>
    <w:p>
      <w:pPr>
        <w:spacing w:before="100" w:after="100"/>
        <w:jc w:val="both"/>
      </w:pPr>
      <w:r>
        <w:rPr>
          <w:rFonts w:ascii="Arial" w:cs="Arial" w:eastAsia="Arial" w:hAnsi="Arial"/>
          <w:sz w:val="22"/>
          <w:szCs w:val="22"/>
        </w:rPr>
        <w:t xml:space="preserve">A TYPE S Springing Instrument does not execute until a condition is recorded by the obligor. If the condition is not recorded before valid_until, funds return to the obligor automatically.</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C.1 Condition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SingleAttestation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min_attestors of the attestor group submit AttestConditional. Protocol releases.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OracleTrigger</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Live (scaffold)</w:t>
            </w:r>
          </w:p>
        </w:tc>
        <w:tc>
          <w:tcPr>
            <w:tcW w:type="dxa" w:w="5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Fires automatically when XChan oracle crosses threshold. Sweep engine evaluates every 60 seconds. governance flag: hedgekx_oracle_trigger_enabled.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CompoundAND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condition_a AND condition_b must be true. Used for catastrophe hedge layer.</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LinkedSpring</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Planned</w:t>
            </w:r>
          </w:p>
        </w:tc>
        <w:tc>
          <w:tcPr>
            <w:tcW w:type="dxa" w:w="5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Fires only if linked_instrument_id has already fired. Creates causal chain between instruments.</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C.2 Parametric Insurance (Live Today)</w:t>
      </w:r>
    </w:p>
    <w:p>
      <w:pPr>
        <w:spacing w:before="100" w:after="100"/>
        <w:jc w:val="both"/>
      </w:pPr>
      <w:r>
        <w:rPr>
          <w:rFonts w:ascii="Arial" w:cs="Arial" w:eastAsia="Arial" w:hAnsi="Arial"/>
          <w:sz w:val="22"/>
          <w:szCs w:val="22"/>
        </w:rPr>
        <w:t xml:space="preserve">A KXGC Tier 1 Name creates a TYPE S instrument: 'If this house burns down, pay $50,000 USD.' The Name is the attestor. The homeowner is the recipient. PAY_AS denominates in USD. If the condition fires, the Name submits AttestConditional. The protocol releases KX equivalent to $50,000 at the current XChan rate.</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C.3 The Hedge Tower Structure</w:t>
      </w:r>
    </w:p>
    <w:p>
      <w:pPr>
        <w:spacing w:before="100" w:after="100"/>
        <w:jc w:val="both"/>
      </w:pPr>
      <w:r>
        <w:rPr>
          <w:rFonts w:ascii="Arial" w:cs="Arial" w:eastAsia="Arial" w:hAnsi="Arial"/>
          <w:sz w:val="22"/>
          <w:szCs w:val="22"/>
        </w:rPr>
        <w:t xml:space="preserve">For PAY_AS insurance policies, three hedge layers protect against KX/USD currency conversion risk. Layer 0 (live): rolling 30-day hedges covering first 8% of KX depreciation. Layer 1 (planned): 1-year instruments covering 8–20% depreciation. Layer 2 (planned): catastrophe layer covering &gt;20% depreciation AND a PAY_AS claim has actually fired (CompoundAND condition).</w:t>
      </w:r>
    </w:p>
    <w:p>
      <w:pPr>
        <w:spacing w:before="80" w:after="80"/>
      </w:pPr>
      <w:r>
        <w:t xml:space="preserve"/>
      </w:r>
    </w:p>
    <w:p>
      <w:pPr>
        <w:spacing w:before="100" w:after="100"/>
        <w:jc w:val="both"/>
      </w:pPr>
      <w:r>
        <w:rPr>
          <w:rFonts w:ascii="Arial" w:cs="Arial" w:eastAsia="Arial" w:hAnsi="Arial"/>
          <w:sz w:val="22"/>
          <w:szCs w:val="22"/>
        </w:rPr>
        <w:t xml:space="preserve">Layer 2 design insight: Layer 2 fires ONLY if KX drops more than 20% AND an actual covered claim has been attested. These are independent events. KX may drop 50% with no covered losses — Layer 2 never fires. The hedger retains their USDC collateral and all premium income.</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C.4 HedgeKX Overnight Hedge (Live Today)</w:t>
      </w:r>
    </w:p>
    <w:p>
      <w:pPr>
        <w:spacing w:before="100" w:after="100"/>
        <w:jc w:val="both"/>
      </w:pPr>
      <w:r>
        <w:rPr>
          <w:rFonts w:ascii="Arial" w:cs="Arial" w:eastAsia="Arial" w:hAnsi="Arial"/>
          <w:sz w:val="22"/>
          <w:szCs w:val="22"/>
        </w:rPr>
        <w:t xml:space="preserve">A hedger locks KX as collateral against a 24-hour KX/USD position. If the oracle condition fires, KX releases to the pool. If not triggered before valid_until, success_payment_chronos transfers to success_payment_wallet (the hedge premium return), and remaining KX returns to the hedger. Current governance: hedgekx_max_daily_exposure_usd = $250.</w:t>
      </w:r>
    </w:p>
    <w:p>
      <w:r>
        <w:br w:type="page"/>
      </w:r>
    </w:p>
    <w:p>
      <w:pPr>
        <w:pStyle w:val="Heading1"/>
        <w:spacing w:before="480" w:after="240"/>
      </w:pPr>
      <w:r>
        <w:rPr>
          <w:rFonts w:ascii="Arial" w:cs="Arial" w:eastAsia="Arial" w:hAnsi="Arial"/>
          <w:b/>
          <w:bCs/>
          <w:color w:val="1F4E79"/>
          <w:sz w:val="34"/>
          <w:szCs w:val="34"/>
        </w:rPr>
        <w:t xml:space="preserve">Appendix D — Pool Instruments</w:t>
      </w:r>
    </w:p>
    <w:p>
      <w:pPr>
        <w:pStyle w:val="Heading2"/>
        <w:spacing w:before="320" w:after="160"/>
      </w:pPr>
      <w:r>
        <w:rPr>
          <w:rFonts w:ascii="Arial" w:cs="Arial" w:eastAsia="Arial" w:hAnsi="Arial"/>
          <w:b/>
          <w:bCs/>
          <w:color w:val="2E75B6"/>
          <w:sz w:val="26"/>
          <w:szCs w:val="26"/>
        </w:rPr>
        <w:t xml:space="preserve">D.1 TYPE P-F — Fully Reserved Pool</w:t>
      </w:r>
    </w:p>
    <w:p>
      <w:pPr>
        <w:spacing w:before="100" w:after="100"/>
        <w:jc w:val="both"/>
      </w:pPr>
      <w:r>
        <w:rPr>
          <w:rFonts w:ascii="Arial" w:cs="Arial" w:eastAsia="Arial" w:hAnsi="Arial"/>
          <w:sz w:val="22"/>
          <w:szCs w:val="22"/>
        </w:rPr>
        <w:t xml:space="preserve">Total reserved must always be &lt;= pool balance. No fractional reserve. No leverage. No access requirements. Use cases: construction escrow (full project amount reserved from day one), vesting pool (employee allocations fully backed).</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D.2 TYPE P-R — Fractional Reserve Pool</w:t>
      </w:r>
    </w:p>
    <w:p>
      <w:pPr>
        <w:spacing w:before="100" w:after="100"/>
        <w:jc w:val="both"/>
      </w:pPr>
      <w:r>
        <w:rPr>
          <w:rFonts w:ascii="Arial" w:cs="Arial" w:eastAsia="Arial" w:hAnsi="Arial"/>
          <w:sz w:val="22"/>
          <w:szCs w:val="22"/>
        </w:rPr>
        <w:t xml:space="preserve">Operates with a coverage ratio. Pool holds less KX than total face value of obligations. coverage_ratio_at_registration is immutable per claimant. Access requirements: BANK, INSURANCE, or GOVERNMENT badge from CPNX plus active TYPE A authority grant from KXGC.</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D.3 KXGC Hierarchy</w:t>
      </w:r>
    </w:p>
    <w:p>
      <w:pPr>
        <w:pStyle w:val="ListParagraph"/>
        <w:numPr>
          <w:ilvl w:val="0"/>
          <w:numId w:val="2"/>
        </w:numPr>
        <w:spacing w:before="60" w:after="60"/>
      </w:pPr>
      <w:r>
        <w:rPr>
          <w:rFonts w:ascii="Arial" w:cs="Arial" w:eastAsia="Arial" w:hAnsi="Arial"/>
          <w:sz w:val="22"/>
          <w:szCs w:val="22"/>
        </w:rPr>
        <w:t xml:space="preserve">KXGC (Tier 0): 300M KX. Reserve ratio 1.00. Never writes policies directly.</w:t>
      </w:r>
    </w:p>
    <w:p>
      <w:pPr>
        <w:pStyle w:val="ListParagraph"/>
        <w:numPr>
          <w:ilvl w:val="0"/>
          <w:numId w:val="2"/>
        </w:numPr>
        <w:spacing w:before="60" w:after="60"/>
      </w:pPr>
      <w:r>
        <w:rPr>
          <w:rFonts w:ascii="Arial" w:cs="Arial" w:eastAsia="Arial" w:hAnsi="Arial"/>
          <w:sz w:val="22"/>
          <w:szCs w:val="22"/>
        </w:rPr>
        <w:t xml:space="preserve">Tier 1 Names: Bond 5–25M KX each. Admitted by KXGC. Create TYPE P-R pools. Can subgrant to Tier 2.</w:t>
      </w:r>
    </w:p>
    <w:p>
      <w:pPr>
        <w:pStyle w:val="ListParagraph"/>
        <w:numPr>
          <w:ilvl w:val="0"/>
          <w:numId w:val="2"/>
        </w:numPr>
        <w:spacing w:before="60" w:after="60"/>
      </w:pPr>
      <w:r>
        <w:rPr>
          <w:rFonts w:ascii="Arial" w:cs="Arial" w:eastAsia="Arial" w:hAnsi="Arial"/>
          <w:sz w:val="22"/>
          <w:szCs w:val="22"/>
        </w:rPr>
        <w:t xml:space="preserve">Tier 2 Operators: Retail pools. Backed by Tier 1 sponsor. Pool depletion visible on DAG immediately.</w:t>
      </w:r>
    </w:p>
    <w:p>
      <w:pPr>
        <w:pStyle w:val="ListParagraph"/>
        <w:numPr>
          <w:ilvl w:val="0"/>
          <w:numId w:val="2"/>
        </w:numPr>
        <w:spacing w:before="60" w:after="60"/>
      </w:pPr>
      <w:r>
        <w:rPr>
          <w:rFonts w:ascii="Arial" w:cs="Arial" w:eastAsia="Arial" w:hAnsi="Arial"/>
          <w:sz w:val="22"/>
          <w:szCs w:val="22"/>
        </w:rPr>
        <w:t xml:space="preserve">Revocation: 30-day notice period, protocol-enforced. Sub-grant limits cannot exceed grantor's limits.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D.4 TYPE W — Waterfall Routing</w:t>
      </w:r>
    </w:p>
    <w:p>
      <w:pPr>
        <w:spacing w:before="100" w:after="100"/>
        <w:jc w:val="both"/>
      </w:pPr>
      <w:r>
        <w:rPr>
          <w:rFonts w:ascii="Arial" w:cs="Arial" w:eastAsia="Arial" w:hAnsi="Arial"/>
          <w:sz w:val="22"/>
          <w:szCs w:val="22"/>
        </w:rPr>
        <w:t xml:space="preserve">When Tier 2 pool depletes, claims route to Tier 1 sponsor automatically. If Tier 1 depletes, claims route to KXGC. All events recorded on DAG. No external oracle needed.</w:t>
      </w:r>
    </w:p>
    <w:p>
      <w:r>
        <w:br w:type="page"/>
      </w:r>
    </w:p>
    <w:p>
      <w:pPr>
        <w:pStyle w:val="Heading1"/>
        <w:spacing w:before="480" w:after="240"/>
      </w:pPr>
      <w:r>
        <w:rPr>
          <w:rFonts w:ascii="Arial" w:cs="Arial" w:eastAsia="Arial" w:hAnsi="Arial"/>
          <w:b/>
          <w:bCs/>
          <w:color w:val="1F4E79"/>
          <w:sz w:val="34"/>
          <w:szCs w:val="34"/>
        </w:rPr>
        <w:t xml:space="preserve">Appendix E — Bond Instruments (TYPE B)</w:t>
      </w:r>
    </w:p>
    <w:p>
      <w:pPr>
        <w:spacing w:before="100" w:after="100"/>
        <w:jc w:val="both"/>
      </w:pPr>
      <w:r>
        <w:rPr>
          <w:rFonts w:ascii="Arial" w:cs="Arial" w:eastAsia="Arial" w:hAnsi="Arial"/>
          <w:sz w:val="22"/>
          <w:szCs w:val="22"/>
        </w:rPr>
        <w:t xml:space="preserve">Each EPP lends its performance bond to the Foundation. 100-year, 0% interest loan. Foundation holds DrawRequest right. DrawRequest auto-executes on lock_until. Foundation cannot accelerate. Board cannot override. Published on DAG immediately.</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E.1 Current EPP Bonds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1400"/>
        <w:gridCol w:w="9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EPP</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Bond (KX)</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Bond Wallet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Website</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2EY2u8iLXW6KXM6zH2PYcB98WDBzBU7DK4d2PsLL422v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misai.io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Verifas</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10,000,000</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CNUuEt3kQNAeQtSP9Y9muyCMujxFWq2AfsTecjHvCYtD</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verifas.io</w:t>
            </w:r>
          </w:p>
        </w:tc>
        <w:tc>
          <w:tcPr>
            <w:tcW w:type="dxa" w:w="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30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XChan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68Y97pWzwT8r5kEfozAjhZd6b4bhrKVmJUr84NAfz129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xchan.io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HedgeKX</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10,000,000</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DqbgpLvxhobS5FcW71ca85RSYxKxw7Dx2tuogkrrkQ1i</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hedgekx.io</w:t>
            </w:r>
          </w:p>
        </w:tc>
        <w:tc>
          <w:tcPr>
            <w:tcW w:type="dxa" w:w="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30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CPNX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5g4Fcn8A9BigH8vvyNvVvTGksC6PVWTsQnvT8adRGfFp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cpnx.com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KXGC</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300,000,000</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BqjGDbhzLJJgzpVywRxug4wTa2Qqtwipc1hkcLLJsWzF</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kxgc.io</w:t>
            </w:r>
          </w:p>
        </w:tc>
        <w:tc>
          <w:tcPr>
            <w:tcW w:type="dxa" w:w="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30 days</w:t>
            </w:r>
          </w:p>
        </w:tc>
      </w:tr>
    </w:tbl>
    <w:p>
      <w:r>
        <w:br w:type="page"/>
      </w:r>
    </w:p>
    <w:p>
      <w:pPr>
        <w:pStyle w:val="Heading2"/>
        <w:spacing w:before="320" w:after="160"/>
      </w:pPr>
      <w:r>
        <w:rPr>
          <w:rFonts w:ascii="Arial" w:cs="Arial" w:eastAsia="Arial" w:hAnsi="Arial"/>
          <w:b/>
          <w:bCs/>
          <w:color w:val="1F4E79"/>
          <w:sz w:val="28"/>
          <w:szCs w:val="28"/>
        </w:rPr>
        <w:t xml:space="preserve">E.2 Bond vs Operating Capital — The Distinction</w:t>
      </w:r>
    </w:p>
    <w:p>
      <w:pPr>
        <w:spacing w:before="100" w:after="100"/>
      </w:pPr>
    </w:p>
    <w:p>
      <w:pPr>
        <w:spacing w:before="100" w:after="100"/>
        <w:jc w:val="both"/>
      </w:pPr>
      <w:r>
        <w:rPr>
          <w:rFonts w:ascii="Arial" w:cs="Arial" w:eastAsia="Arial" w:hAnsi="Arial"/>
          <w:sz w:val="22"/>
          <w:szCs w:val="22"/>
        </w:rPr>
        <w:t xml:space="preserve">The EPP bond table above lists bond KX only — the 100-year TYPE B locks lent to the Foundation. This is distinct from EPP operating capital.</w:t>
      </w:r>
    </w:p>
    <w:p>
      <w:pPr>
        <w:spacing w:before="100" w:after="100"/>
      </w:pPr>
    </w:p>
    <w:p>
      <w:pPr>
        <w:spacing w:before="100" w:after="100"/>
        <w:jc w:val="both"/>
      </w:pPr>
      <w:r>
        <w:rPr>
          <w:rFonts w:ascii="Arial" w:cs="Arial" w:eastAsia="Arial" w:hAnsi="Arial"/>
          <w:sz w:val="22"/>
          <w:szCs w:val="22"/>
        </w:rPr>
        <w:t xml:space="preserve">EPP bond KX: TYPE B lock. 100-year term. 0% interest. Held by Foundation. Cannot be sold, moved, or accessed by the EPP for any purpose. Subject to DrawRequest slashing only.</w:t>
      </w:r>
    </w:p>
    <w:p>
      <w:pPr>
        <w:spacing w:before="100" w:after="100"/>
      </w:pPr>
    </w:p>
    <w:p>
      <w:pPr>
        <w:spacing w:before="100" w:after="100"/>
        <w:jc w:val="both"/>
      </w:pPr>
      <w:r>
        <w:rPr>
          <w:rFonts w:ascii="Arial" w:cs="Arial" w:eastAsia="Arial" w:hAnsi="Arial"/>
          <w:sz w:val="22"/>
          <w:szCs w:val="22"/>
        </w:rPr>
        <w:t xml:space="preserve">EPP operating capital KX: Cascade time-locks. 5—10 year vesting. Held by EPP operations wallet. Released in annual tranches. Subject to governance reasonable-use mandate. See Section 4.9 for complete protection framework.</w:t>
      </w:r>
    </w:p>
    <w:p>
      <w:pPr>
        <w:spacing w:before="100" w:after="100"/>
      </w:pPr>
    </w:p>
    <w:p>
      <w:pPr>
        <w:spacing w:before="100" w:after="100"/>
        <w:jc w:val="both"/>
      </w:pPr>
      <w:r>
        <w:rPr>
          <w:rFonts w:ascii="Arial" w:cs="Arial" w:eastAsia="Arial" w:hAnsi="Arial"/>
          <w:sz w:val="22"/>
          <w:szCs w:val="22"/>
        </w:rPr>
        <w:t xml:space="preserve">Current EPP operating capital allocations:</w:t>
      </w:r>
    </w:p>
    <w:p>
      <w:pPr>
        <w:spacing w:before="100" w:after="100"/>
      </w:pPr>
    </w:p>
    <w:p>
      <w:pPr>
        <w:spacing w:before="100" w:after="100"/>
        <w:jc w:val="both"/>
      </w:pPr>
      <w:r>
        <w:rPr>
          <w:rFonts w:ascii="Arial" w:cs="Arial" w:eastAsia="Arial" w:hAnsi="Arial"/>
          <w:sz w:val="22"/>
          <w:szCs w:val="22"/>
        </w:rPr>
        <w:t xml:space="preserve">HedgeKX: 50,000,000 KX. Wallet: 5zjp4YM7RkBWk8hHN5kdv3xYhjsnXmYUJuL2vgqxHBE1. Schedule: 5 annual tranches 2027—2031. Tranches: 5M / 7.5M / 10M / 12.5M / 15M KX.</w:t>
      </w:r>
    </w:p>
    <w:p>
      <w:pPr>
        <w:spacing w:before="100" w:after="100"/>
      </w:pPr>
    </w:p>
    <w:p>
      <w:pPr>
        <w:spacing w:before="100" w:after="100"/>
        <w:jc w:val="both"/>
      </w:pPr>
      <w:r>
        <w:rPr>
          <w:rFonts w:ascii="Arial" w:cs="Arial" w:eastAsia="Arial" w:hAnsi="Arial"/>
          <w:sz w:val="22"/>
          <w:szCs w:val="22"/>
        </w:rPr>
        <w:t xml:space="preserve">KXGC: 200,000,000 KX. Wallet: G2aH9NfRFo5gdLTMjNqCRv4PkcKKEHLD99Y8vhQwSgeV. Schedule: 10 annual tranches 2027—2036. Tranches: 5M / 5M / 10M / 15M / 20M / 20M / 25M / 25M / 35M / 40M KX.</w:t>
      </w:r>
    </w:p>
    <w:p>
      <w:pPr>
        <w:spacing w:before="100" w:after="100"/>
      </w:pPr>
    </w:p>
    <w:p>
      <w:pPr>
        <w:pStyle w:val="Heading1"/>
        <w:spacing w:before="480" w:after="240"/>
      </w:pPr>
      <w:r>
        <w:rPr>
          <w:rFonts w:ascii="Arial" w:cs="Arial" w:eastAsia="Arial" w:hAnsi="Arial"/>
          <w:b/>
          <w:bCs/>
          <w:color w:val="1F4E79"/>
          <w:sz w:val="34"/>
          <w:szCs w:val="34"/>
        </w:rPr>
        <w:t xml:space="preserve">Appendix F — Authority Grants (TYPE A)</w:t>
      </w:r>
    </w:p>
    <w:p>
      <w:pPr>
        <w:spacing w:before="100" w:after="100"/>
        <w:jc w:val="both"/>
      </w:pPr>
      <w:r>
        <w:rPr>
          <w:rFonts w:ascii="Arial" w:cs="Arial" w:eastAsia="Arial" w:hAnsi="Arial"/>
          <w:sz w:val="22"/>
          <w:szCs w:val="22"/>
        </w:rPr>
        <w:t xml:space="preserve">TYPE A grants establish the KXGC reinsurance hierarchy. Parameters flow down but cannot be amplified. Tier 1 grant: sender must be KXGC bond wallet. Tier 2 grant: sender must have active Tier 1 with can_subgrant: true. Sub-grant limits must be &lt;= grantor's own limits. TYPE P-R pool creation requires an active TYPE A grant.</w:t>
      </w:r>
    </w:p>
    <w:p>
      <w:r>
        <w:br w:type="page"/>
      </w:r>
    </w:p>
    <w:p>
      <w:pPr>
        <w:pStyle w:val="Heading1"/>
        <w:spacing w:before="480" w:after="240"/>
      </w:pPr>
      <w:r>
        <w:rPr>
          <w:rFonts w:ascii="Arial" w:cs="Arial" w:eastAsia="Arial" w:hAnsi="Arial"/>
          <w:b/>
          <w:bCs/>
          <w:color w:val="1F4E79"/>
          <w:sz w:val="34"/>
          <w:szCs w:val="34"/>
        </w:rPr>
        <w:t xml:space="preserve">Appendix G — Complete Governance Parameters</w:t>
      </w:r>
    </w:p>
    <w:p>
      <w:pPr>
        <w:spacing w:before="100" w:after="100"/>
        <w:jc w:val="both"/>
      </w:pPr>
      <w:r>
        <w:rPr>
          <w:rFonts w:ascii="Arial" w:cs="Arial" w:eastAsia="Arial" w:hAnsi="Arial"/>
          <w:sz w:val="22"/>
          <w:szCs w:val="22"/>
        </w:rPr>
        <w:t xml:space="preserve">Live values from genesis-params.json as of Genesis Zero. All changes require a Foundation governance vote.</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G.1 Rate Limiting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400"/>
        <w:gridCol w:w="1080"/>
        <w:gridCol w:w="900"/>
        <w:gridCol w:w="1080"/>
        <w:gridCol w:w="300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Floor</w:t>
            </w:r>
          </w:p>
        </w:tc>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Ceiling</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rate_limit_tx_per_wallet_per_minute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transactions per wallet per minute</w:t>
            </w:r>
          </w:p>
        </w:tc>
      </w:tr>
      <w:tr>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rate_limit_loan_actions_per_wallet_per_day</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10</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1,000</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Max loan actions per wallet per day</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G.2 Sweep Timing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8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sweep_matured_timelock_interval_seconds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matured timelocks every 60s</w:t>
            </w:r>
          </w:p>
        </w:tc>
      </w:tr>
      <w:tr>
        <w:tc>
          <w:tcPr>
            <w:tcW w:type="dxa" w:w="3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sweep_loan_interval_seconds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3,600</w:t>
            </w:r>
          </w:p>
        </w:tc>
        <w:tc>
          <w:tcPr>
            <w:tcW w:type="dxa" w:w="3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Process loan payments hourly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sweep_email_lock_interval_seconds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email lock expiry every 5 min</w:t>
            </w:r>
          </w:p>
        </w:tc>
      </w:tr>
      <w:tr>
        <w:tc>
          <w:tcPr>
            <w:tcW w:type="dxa" w:w="3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sweep_executor_interval_seconds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60</w:t>
            </w:r>
          </w:p>
        </w:tc>
        <w:tc>
          <w:tcPr>
            <w:tcW w:type="dxa" w:w="3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Check executor withdrawals every 60s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executor_withdraw_delay_seconds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86,400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24-hour executor withdrawal delay. Production value.</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G.3 Fees (Immutable)</w:t>
      </w:r>
    </w:p>
    <w:p>
      <w:pPr>
        <w:spacing w:before="100" w:after="100"/>
        <w:jc w:val="both"/>
      </w:pPr>
      <w:r>
        <w:rPr>
          <w:rFonts w:ascii="Arial" w:cs="Arial" w:eastAsia="Arial" w:hAnsi="Arial"/>
          <w:sz w:val="22"/>
          <w:szCs w:val="22"/>
        </w:rPr>
        <w:t xml:space="preserve">All transaction fees: 0. IMMUTABLE — Zero forever. This applies to all instrument types (I, C, Y, V, L, S, M, T).</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G.4 Executor Parameters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0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executor_fee_cap_pct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Ceiling only. Can only be lowered by governance.</w:t>
            </w:r>
          </w:p>
        </w:tc>
      </w:tr>
      <w:tr>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executor_eligibility_window_days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90</w:t>
            </w:r>
          </w:p>
        </w:tc>
        <w:tc>
          <w:tcPr>
            <w:tcW w:type="dxa" w:w="4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Days after maturity before executor eligible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verifier_min_bond_kx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bond to register as verifier</w:t>
            </w:r>
          </w:p>
        </w:tc>
      </w:tr>
      <w:tr>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escalation_lock_seconds_default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2,592,000</w:t>
            </w:r>
          </w:p>
        </w:tc>
        <w:tc>
          <w:tcPr>
            <w:tcW w:type="dxa" w:w="4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Default 30-day escalation lock period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min_attestors_pct_floor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require less than 50% of group quorum</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G.5 Loan Safeguards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4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loan_rescission_window_hours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of rescission window</w:t>
            </w:r>
          </w:p>
        </w:tc>
      </w:tr>
      <w:tr>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loan_warn_principal_usd</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$100</w:t>
            </w:r>
          </w:p>
        </w:tc>
        <w:tc>
          <w:tcPr>
            <w:tcW w:type="dxa" w:w="4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Warning threshold for principal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loan_block_principal_usd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threshold. Governance vote needed to raise for institutional use.</w:t>
            </w:r>
          </w:p>
        </w:tc>
      </w:tr>
      <w:tr>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loan_warn_annual_rate_pct</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10.0%</w:t>
            </w:r>
          </w:p>
        </w:tc>
        <w:tc>
          <w:tcPr>
            <w:tcW w:type="dxa" w:w="4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Rate warning threshold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loan_block_annual_rate_pct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block threshold</w:t>
            </w:r>
          </w:p>
        </w:tc>
      </w:tr>
      <w:tr>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loan_transfer_enabled</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false</w:t>
            </w:r>
          </w:p>
        </w:tc>
        <w:tc>
          <w:tcPr>
            <w:tcW w:type="dxa" w:w="4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DORMANT. Activation requires governance vote.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loan_age_confirmation_required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Borrower must confirm age &gt;= 18</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G.6 PAY_AS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6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pay_as_enabled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PAY_AS denomination active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pay_as_max_usd</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$250</w:t>
            </w:r>
          </w:p>
        </w:tc>
        <w:tc>
          <w:tcPr>
            <w:tcW w:type="dxa" w:w="46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Maximum PAY_AS per transaction. Confirmed in genesis-params.json.</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G.7 HedgeKX Governance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40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hedgekx_max_daily_exposure_usd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daily exposure cap.</w:t>
            </w:r>
          </w:p>
        </w:tc>
      </w:tr>
      <w:tr>
        <w:tc>
          <w:tcPr>
            <w:tcW w:type="dxa" w:w="3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hedgekx_max_instrument_duration_seconds</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86,400</w:t>
            </w:r>
          </w:p>
        </w:tc>
        <w:tc>
          <w:tcPr>
            <w:tcW w:type="dxa" w:w="4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24-hour maximum duration.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hedgekx_oracle_trigger_enabled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OracleTrigger condition. LIVE — sweep evaluates every 60s against oracle price cache.</w:t>
            </w:r>
          </w:p>
        </w:tc>
      </w:tr>
      <w:tr>
        <w:tc>
          <w:tcPr>
            <w:tcW w:type="dxa" w:w="3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hedgekx_compound_condition_enabled</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false</w:t>
            </w:r>
          </w:p>
        </w:tc>
        <w:tc>
          <w:tcPr>
            <w:tcW w:type="dxa" w:w="4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CompoundAND condition type. PLANNED — scaffold only.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hedgekx_third_party_licensing_enabled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Third-party hedge platform licensing. PLANNED — future phase.</w:t>
            </w:r>
          </w:p>
        </w:tc>
      </w:tr>
      <w:tr>
        <w:tc>
          <w:tcPr>
            <w:tcW w:type="dxa" w:w="3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savings_max_annual_yield_pct</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5.0</w:t>
            </w:r>
          </w:p>
        </w:tc>
        <w:tc>
          <w:tcPr>
            <w:tcW w:type="dxa" w:w="4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Governance ceiling on savings yield rate.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savings_hedgekx_yield_enabled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YubiHSM operational.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friendly_loan_hedge_fee_pct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hedge fee rate for friendly loans. Governance-adjustable.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friendly_loan_max_duration_days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friendly loan duration in days. Governance-adjustable.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friendly_loan_priority_enabled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Friendly loan hedge requests served first when HedgeKX capacity is limited.</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G.8 KXGC</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6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kxgc_min_reserve_ratio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reserve required at all times</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kxgc_investable_fraction</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0.00</w:t>
            </w:r>
          </w:p>
        </w:tc>
        <w:tc>
          <w:tcPr>
            <w:tcW w:type="dxa" w:w="46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Zero AI investment of KXGC reserves</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G.9 MISAI</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2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misai_conservative_batch_only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Batch-only mode. Full autonomy requires governance vote.</w:t>
            </w:r>
          </w:p>
        </w:tc>
      </w:tr>
      <w:tr>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misai_max_investable_fraction</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0.50</w:t>
            </w:r>
          </w:p>
        </w:tc>
        <w:tc>
          <w:tcPr>
            <w:tcW w:type="dxa" w:w="4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Max 50% of any promise investable by MISAI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misai_hedge_monitoring_enabled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MISAI pool health monitoring. PLANNED.</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G.10 Privacy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2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memo_encrypted_by_default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Memos encrypted unless sender opts out</w:t>
            </w:r>
          </w:p>
        </w:tc>
      </w:tr>
      <w:tr>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memo_public_by_default</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false</w:t>
            </w:r>
          </w:p>
        </w:tc>
        <w:tc>
          <w:tcPr>
            <w:tcW w:type="dxa" w:w="4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Memos private unless sender opts 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credit_default_prune_years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records prune after 7 years</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G.11 Emergency Switches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2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governance_halt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Emergency halt. Stops all non-claim activity.</w:t>
            </w:r>
          </w:p>
        </w:tc>
      </w:tr>
      <w:tr>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type_pr_suspended</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false</w:t>
            </w:r>
          </w:p>
        </w:tc>
        <w:tc>
          <w:tcPr>
            <w:tcW w:type="dxa" w:w="4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Suspend all TYPE P-R creation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new_badge_issuance_suspended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Suspend new badge issuance</w:t>
            </w:r>
          </w:p>
        </w:tc>
      </w:tr>
    </w:tbl>
    <w:p>
      <w:pPr>
        <w:pStyle w:val="Heading2"/>
        <w:spacing w:before="320" w:after="160"/>
      </w:pPr>
      <w:r>
        <w:rPr>
          <w:rFonts w:ascii="Arial" w:cs="Arial" w:eastAsia="Arial" w:hAnsi="Arial"/>
          <w:b/>
          <w:bCs/>
          <w:color w:val="1F4E79"/>
          <w:sz w:val="28"/>
          <w:szCs w:val="28"/>
        </w:rPr>
        <w:t xml:space="preserve">G.13 Verifas Suspense System</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2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color w:val="FFFFFF"/>
                <w:sz w:val="20"/>
                <w:szCs w:val="20"/>
              </w:rPr>
              <w:t xml:space="preserve">Current</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verifas_long_duration_threshold_days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Locks with unlock_at above this threshold are subject to the three-stage Verifas suspense system rather than simple RevertToSender.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verifas_stage1_days_wallet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after maturity before a wallet-recipient long-duration lock enters Stage 2 (two-party). Minimum: 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verifas_stage1_days_email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after maturity before an email-recipient long-duration lock enters Stage 2. Default 0 — email locks enter two-party mode immediately on maturity to protect against future email infrastructure compromise.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verifas_stage2_days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2555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in Stage 2 (two-party lock) before sole custody transfers to Verifas. Default ~7 years.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verifas_custody_days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36500</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in Verifas sole custody before KX transfers to Humanity Stake. Default ~100 years.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verifas_fee_basis_points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Governance-approved fee paid to Verifas bonded attestor at successful Stage 2 or Stage 3 release. Paid from the lock value at time of release.</w:t>
            </w:r>
          </w:p>
        </w:tc>
      </w:tr>
    </w:tbl>
    <w:p>
      <w:r>
        <w:br w:type="page"/>
      </w:r>
    </w:p>
    <w:p>
      <w:pPr>
        <w:pStyle w:val="Heading1"/>
        <w:spacing w:before="480" w:after="240"/>
      </w:pPr>
      <w:r>
        <w:rPr>
          <w:rFonts w:ascii="Arial" w:cs="Arial" w:eastAsia="Arial" w:hAnsi="Arial"/>
          <w:b/>
          <w:bCs/>
          <w:color w:val="1F4E79"/>
          <w:sz w:val="34"/>
          <w:szCs w:val="34"/>
        </w:rPr>
        <w:t xml:space="preserve">Appendix H — Use Case Playbooks</w:t>
      </w:r>
    </w:p>
    <w:p>
      <w:pPr>
        <w:spacing w:before="100" w:after="100"/>
        <w:jc w:val="both"/>
      </w:pPr>
      <w:r>
        <w:rPr>
          <w:rFonts w:ascii="Arial" w:cs="Arial" w:eastAsia="Arial" w:hAnsi="Arial"/>
          <w:sz w:val="22"/>
          <w:szCs w:val="22"/>
        </w:rPr>
        <w:t xml:space="preserve">Written for domain experts and AI agents evaluating ChronX for business development. Each section states what ChronX provides today, what requires a governance vote, and what is planned for future builds.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H.1 — I Want to Issue Debt</w:t>
      </w:r>
    </w:p>
    <w:p>
      <w:pPr>
        <w:spacing w:before="100" w:after="100"/>
        <w:jc w:val="both"/>
      </w:pPr>
      <w:r>
        <w:rPr>
          <w:rFonts w:ascii="Arial" w:cs="Arial" w:eastAsia="Arial" w:hAnsi="Arial"/>
          <w:i/>
          <w:iCs/>
          <w:sz w:val="22"/>
          <w:szCs w:val="22"/>
        </w:rPr>
        <w:t xml:space="preserve">Who this is for: corporations, real estate developers, municipalities, private lenders.</w:t>
      </w:r>
    </w:p>
    <w:p>
      <w:pPr>
        <w:spacing w:before="80" w:after="80"/>
      </w:pPr>
      <w:r>
        <w:t xml:space="preserve"/>
      </w:r>
    </w:p>
    <w:p>
      <w:pPr>
        <w:spacing w:before="100" w:after="100"/>
        <w:jc w:val="both"/>
      </w:pPr>
      <w:r>
        <w:rPr>
          <w:rFonts w:ascii="Arial" w:cs="Arial" w:eastAsia="Arial" w:hAnsi="Arial"/>
          <w:b/>
          <w:bCs/>
          <w:sz w:val="22"/>
          <w:szCs w:val="22"/>
        </w:rPr>
        <w:t xml:space="preserve">What ChronX provides today:</w:t>
      </w:r>
    </w:p>
    <w:p>
      <w:pPr>
        <w:pStyle w:val="ListParagraph"/>
        <w:numPr>
          <w:ilvl w:val="0"/>
          <w:numId w:val="2"/>
        </w:numPr>
        <w:spacing w:before="60" w:after="60"/>
      </w:pPr>
      <w:r>
        <w:rPr>
          <w:rFonts w:ascii="Arial" w:cs="Arial" w:eastAsia="Arial" w:hAnsi="Arial"/>
          <w:sz w:val="22"/>
          <w:szCs w:val="22"/>
        </w:rPr>
        <w:t xml:space="preserve">Permanent auditable obligation on the DAG</w:t>
      </w:r>
    </w:p>
    <w:p>
      <w:pPr>
        <w:pStyle w:val="ListParagraph"/>
        <w:numPr>
          <w:ilvl w:val="0"/>
          <w:numId w:val="2"/>
        </w:numPr>
        <w:spacing w:before="60" w:after="60"/>
      </w:pPr>
      <w:r>
        <w:rPr>
          <w:rFonts w:ascii="Arial" w:cs="Arial" w:eastAsia="Arial" w:hAnsi="Arial"/>
          <w:sz w:val="22"/>
          <w:szCs w:val="22"/>
        </w:rPr>
        <w:t xml:space="preserve">Automatic payment enforcement via hourly sweep engine</w:t>
      </w:r>
    </w:p>
    <w:p>
      <w:pPr>
        <w:pStyle w:val="ListParagraph"/>
        <w:numPr>
          <w:ilvl w:val="0"/>
          <w:numId w:val="2"/>
        </w:numPr>
        <w:spacing w:before="60" w:after="60"/>
      </w:pPr>
      <w:r>
        <w:rPr>
          <w:rFonts w:ascii="Arial" w:cs="Arial" w:eastAsia="Arial" w:hAnsi="Arial"/>
          <w:sz w:val="22"/>
          <w:szCs w:val="22"/>
        </w:rPr>
        <w:t xml:space="preserve">Tranche mechanism (split into independently tradeable pieces)</w:t>
      </w:r>
    </w:p>
    <w:p>
      <w:pPr>
        <w:pStyle w:val="ListParagraph"/>
        <w:numPr>
          <w:ilvl w:val="0"/>
          <w:numId w:val="2"/>
        </w:numPr>
        <w:spacing w:before="60" w:after="60"/>
      </w:pPr>
      <w:r>
        <w:rPr>
          <w:rFonts w:ascii="Arial" w:cs="Arial" w:eastAsia="Arial" w:hAnsi="Arial"/>
          <w:sz w:val="22"/>
          <w:szCs w:val="22"/>
        </w:rPr>
        <w:t xml:space="preserve">T+0 atomic settlement on secondary trades</w:t>
      </w:r>
    </w:p>
    <w:p>
      <w:pPr>
        <w:spacing w:before="80" w:after="80"/>
      </w:pPr>
      <w:r>
        <w:t xml:space="preserve"/>
      </w:r>
    </w:p>
    <w:p>
      <w:pPr>
        <w:spacing w:before="100" w:after="100"/>
        <w:jc w:val="both"/>
      </w:pPr>
      <w:r>
        <w:rPr>
          <w:rFonts w:ascii="Arial" w:cs="Arial" w:eastAsia="Arial" w:hAnsi="Arial"/>
          <w:b/>
          <w:bCs/>
          <w:sz w:val="22"/>
          <w:szCs w:val="22"/>
        </w:rPr>
        <w:t xml:space="preserve">Current governance blockers:</w:t>
      </w:r>
    </w:p>
    <w:p>
      <w:pPr>
        <w:pStyle w:val="ListParagraph"/>
        <w:numPr>
          <w:ilvl w:val="0"/>
          <w:numId w:val="2"/>
        </w:numPr>
        <w:spacing w:before="60" w:after="60"/>
      </w:pPr>
      <w:r>
        <w:rPr>
          <w:rFonts w:ascii="Arial" w:cs="Arial" w:eastAsia="Arial" w:hAnsi="Arial"/>
          <w:sz w:val="22"/>
          <w:szCs w:val="22"/>
        </w:rPr>
        <w:t xml:space="preserve">loan_transfer_enabled: false — secondary market not yet active</w:t>
      </w:r>
    </w:p>
    <w:p>
      <w:pPr>
        <w:pStyle w:val="ListParagraph"/>
        <w:numPr>
          <w:ilvl w:val="0"/>
          <w:numId w:val="2"/>
        </w:numPr>
        <w:spacing w:before="60" w:after="60"/>
      </w:pPr>
      <w:r>
        <w:rPr>
          <w:rFonts w:ascii="Arial" w:cs="Arial" w:eastAsia="Arial" w:hAnsi="Arial"/>
          <w:sz w:val="22"/>
          <w:szCs w:val="22"/>
        </w:rPr>
        <w:t xml:space="preserve">loan_block_principal_usd: $250 — governance vote needed to raise for institutional issuance</w:t>
      </w:r>
    </w:p>
    <w:p>
      <w:pPr>
        <w:spacing w:before="80" w:after="80"/>
      </w:pPr>
      <w:r>
        <w:t xml:space="preserve"/>
      </w:r>
    </w:p>
    <w:p>
      <w:pPr>
        <w:spacing w:before="100" w:after="100"/>
        <w:jc w:val="both"/>
      </w:pPr>
      <w:r>
        <w:rPr>
          <w:rFonts w:ascii="Arial" w:cs="Arial" w:eastAsia="Arial" w:hAnsi="Arial"/>
          <w:sz w:val="22"/>
          <w:szCs w:val="22"/>
        </w:rPr>
        <w:t xml:space="preserve">Contact: contact@chronx.io</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H.2 — I Want to Build a Marketplace</w:t>
      </w:r>
    </w:p>
    <w:p>
      <w:pPr>
        <w:spacing w:before="100" w:after="100"/>
        <w:jc w:val="both"/>
      </w:pPr>
      <w:r>
        <w:rPr>
          <w:rFonts w:ascii="Arial" w:cs="Arial" w:eastAsia="Arial" w:hAnsi="Arial"/>
          <w:i/>
          <w:iCs/>
          <w:sz w:val="22"/>
          <w:szCs w:val="22"/>
        </w:rPr>
        <w:t xml:space="preserve">Who this is for: fintech developers, exchange operators, DeFi builders.</w:t>
      </w:r>
    </w:p>
    <w:p>
      <w:pPr>
        <w:spacing w:before="80" w:after="80"/>
      </w:pPr>
      <w:r>
        <w:t xml:space="preserve"/>
      </w:r>
    </w:p>
    <w:p>
      <w:pPr>
        <w:spacing w:before="100" w:after="100"/>
        <w:jc w:val="both"/>
      </w:pPr>
      <w:r>
        <w:rPr>
          <w:rFonts w:ascii="Arial" w:cs="Arial" w:eastAsia="Arial" w:hAnsi="Arial"/>
          <w:sz w:val="22"/>
          <w:szCs w:val="22"/>
        </w:rPr>
        <w:t xml:space="preserve">Key RPC methods: chronx_getYieldInputs, chronx_getObligationsByOwner, chronx_getTransferHistory, chronx_getTranches. Full method reference: Appendix I.</w:t>
      </w:r>
    </w:p>
    <w:p>
      <w:pPr>
        <w:spacing w:before="80" w:after="80"/>
      </w:pPr>
      <w:r>
        <w:t xml:space="preserve"/>
      </w:r>
    </w:p>
    <w:p>
      <w:pPr>
        <w:spacing w:before="100" w:after="100"/>
        <w:jc w:val="both"/>
      </w:pPr>
      <w:r>
        <w:rPr>
          <w:rFonts w:ascii="Arial" w:cs="Arial" w:eastAsia="Arial" w:hAnsi="Arial"/>
          <w:sz w:val="22"/>
          <w:szCs w:val="22"/>
        </w:rPr>
        <w:t xml:space="preserve">Contact: contact@chronx.io</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H.3 — I Want to Rate Loans</w:t>
      </w:r>
    </w:p>
    <w:p>
      <w:pPr>
        <w:spacing w:before="100" w:after="100"/>
        <w:jc w:val="both"/>
      </w:pPr>
      <w:r>
        <w:rPr>
          <w:rFonts w:ascii="Arial" w:cs="Arial" w:eastAsia="Arial" w:hAnsi="Arial"/>
          <w:i/>
          <w:iCs/>
          <w:sz w:val="22"/>
          <w:szCs w:val="22"/>
        </w:rPr>
        <w:t xml:space="preserve">Who this is for: credit rating analysts, risk modelers, financial data companies.</w:t>
      </w:r>
    </w:p>
    <w:p>
      <w:pPr>
        <w:spacing w:before="80" w:after="80"/>
      </w:pPr>
      <w:r>
        <w:t xml:space="preserve"/>
      </w:r>
    </w:p>
    <w:p>
      <w:pPr>
        <w:spacing w:before="100" w:after="100"/>
        <w:jc w:val="both"/>
      </w:pPr>
      <w:r>
        <w:rPr>
          <w:rFonts w:ascii="Arial" w:cs="Arial" w:eastAsia="Arial" w:hAnsi="Arial"/>
          <w:b/>
          <w:bCs/>
          <w:sz w:val="22"/>
          <w:szCs w:val="22"/>
        </w:rPr>
        <w:t xml:space="preserve">Always public on the DAG:</w:t>
      </w:r>
    </w:p>
    <w:p>
      <w:pPr>
        <w:pStyle w:val="ListParagraph"/>
        <w:numPr>
          <w:ilvl w:val="0"/>
          <w:numId w:val="2"/>
        </w:numPr>
        <w:spacing w:before="60" w:after="60"/>
      </w:pPr>
      <w:r>
        <w:rPr>
          <w:rFonts w:ascii="Arial" w:cs="Arial" w:eastAsia="Arial" w:hAnsi="Arial"/>
          <w:sz w:val="22"/>
          <w:szCs w:val="22"/>
        </w:rPr>
        <w:t xml:space="preserve">Obligation ID, creation date, current owner</w:t>
      </w:r>
    </w:p>
    <w:p>
      <w:pPr>
        <w:pStyle w:val="ListParagraph"/>
        <w:numPr>
          <w:ilvl w:val="0"/>
          <w:numId w:val="2"/>
        </w:numPr>
        <w:spacing w:before="60" w:after="60"/>
      </w:pPr>
      <w:r>
        <w:rPr>
          <w:rFonts w:ascii="Arial" w:cs="Arial" w:eastAsia="Arial" w:hAnsi="Arial"/>
          <w:sz w:val="22"/>
          <w:szCs w:val="22"/>
        </w:rPr>
        <w:t xml:space="preserve">Payment status (current / defaulted)</w:t>
      </w:r>
    </w:p>
    <w:p>
      <w:pPr>
        <w:pStyle w:val="ListParagraph"/>
        <w:numPr>
          <w:ilvl w:val="0"/>
          <w:numId w:val="2"/>
        </w:numPr>
        <w:spacing w:before="60" w:after="60"/>
      </w:pPr>
      <w:r>
        <w:rPr>
          <w:rFonts w:ascii="Arial" w:cs="Arial" w:eastAsia="Arial" w:hAnsi="Arial"/>
          <w:sz w:val="22"/>
          <w:szCs w:val="22"/>
        </w:rPr>
        <w:t xml:space="preserve">Transfer history, retirement status, LenderMemo entries</w:t>
      </w:r>
    </w:p>
    <w:p>
      <w:pPr>
        <w:pStyle w:val="ListParagraph"/>
        <w:numPr>
          <w:ilvl w:val="0"/>
          <w:numId w:val="2"/>
        </w:numPr>
        <w:spacing w:before="60" w:after="60"/>
      </w:pPr>
      <w:r>
        <w:rPr>
          <w:rFonts w:ascii="Arial" w:cs="Arial" w:eastAsia="Arial" w:hAnsi="Arial"/>
          <w:sz w:val="22"/>
          <w:szCs w:val="22"/>
        </w:rPr>
        <w:t xml:space="preserve">DefaultRecord if filed</w:t>
      </w:r>
    </w:p>
    <w:p>
      <w:pPr>
        <w:spacing w:before="80" w:after="80"/>
      </w:pPr>
      <w:r>
        <w:t xml:space="preserve"/>
      </w:r>
    </w:p>
    <w:p>
      <w:pPr>
        <w:spacing w:before="100" w:after="100"/>
        <w:jc w:val="both"/>
      </w:pPr>
      <w:r>
        <w:rPr>
          <w:rFonts w:ascii="Arial" w:cs="Arial" w:eastAsia="Arial" w:hAnsi="Arial"/>
          <w:sz w:val="22"/>
          <w:szCs w:val="22"/>
        </w:rPr>
        <w:t xml:space="preserve">Contact: contact@chronx.io</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H.4 — I Have 20 Years of Insurance Experience</w:t>
      </w:r>
    </w:p>
    <w:p>
      <w:pPr>
        <w:spacing w:before="100" w:after="100"/>
        <w:jc w:val="both"/>
      </w:pPr>
      <w:r>
        <w:rPr>
          <w:rFonts w:ascii="Arial" w:cs="Arial" w:eastAsia="Arial" w:hAnsi="Arial"/>
          <w:i/>
          <w:iCs/>
          <w:sz w:val="22"/>
          <w:szCs w:val="22"/>
        </w:rPr>
        <w:t xml:space="preserve">Who this is for: insurance underwriters, surplus lines operators, reinsurance professionals.</w:t>
      </w:r>
    </w:p>
    <w:p>
      <w:pPr>
        <w:spacing w:before="80" w:after="80"/>
      </w:pPr>
      <w:r>
        <w:t xml:space="preserve"/>
      </w:r>
    </w:p>
    <w:p>
      <w:pPr>
        <w:spacing w:before="100" w:after="100"/>
        <w:jc w:val="both"/>
      </w:pPr>
      <w:r>
        <w:rPr>
          <w:rFonts w:ascii="Arial" w:cs="Arial" w:eastAsia="Arial" w:hAnsi="Arial"/>
          <w:sz w:val="22"/>
          <w:szCs w:val="22"/>
        </w:rPr>
        <w:t xml:space="preserve">Major insurers are exiting California. Homeowners with paid-off properties are legally self-insurable. KXGC provides 300,000,000 KX in fully-reserved capital — permanently on the DAG, queryable by anyone. No audit required. No regulatory filing. The DAG is the proof.</w:t>
      </w:r>
    </w:p>
    <w:p>
      <w:pPr>
        <w:spacing w:before="80" w:after="80"/>
      </w:pPr>
      <w:r>
        <w:t xml:space="preserve"/>
      </w:r>
    </w:p>
    <w:p>
      <w:pPr>
        <w:spacing w:before="100" w:after="100"/>
        <w:jc w:val="both"/>
      </w:pPr>
      <w:r>
        <w:rPr>
          <w:rFonts w:ascii="Arial" w:cs="Arial" w:eastAsia="Arial" w:hAnsi="Arial"/>
          <w:b/>
          <w:bCs/>
          <w:sz w:val="22"/>
          <w:szCs w:val="22"/>
        </w:rPr>
        <w:t xml:space="preserve">How to get started:</w:t>
      </w:r>
    </w:p>
    <w:p>
      <w:pPr>
        <w:pStyle w:val="ListParagraph"/>
        <w:numPr>
          <w:ilvl w:val="0"/>
          <w:numId w:val="3"/>
        </w:numPr>
        <w:spacing w:before="60" w:after="60"/>
      </w:pPr>
      <w:r>
        <w:rPr>
          <w:rFonts w:ascii="Arial" w:cs="Arial" w:eastAsia="Arial" w:hAnsi="Arial"/>
          <w:sz w:val="22"/>
          <w:szCs w:val="22"/>
        </w:rPr>
        <w:t xml:space="preserve">Contact KXGC at contact@kxgc.io to begin Tier 1 admissions</w:t>
      </w:r>
    </w:p>
    <w:p>
      <w:pPr>
        <w:pStyle w:val="ListParagraph"/>
        <w:numPr>
          <w:ilvl w:val="0"/>
          <w:numId w:val="3"/>
        </w:numPr>
        <w:spacing w:before="60" w:after="60"/>
      </w:pPr>
      <w:r>
        <w:rPr>
          <w:rFonts w:ascii="Arial" w:cs="Arial" w:eastAsia="Arial" w:hAnsi="Arial"/>
          <w:sz w:val="22"/>
          <w:szCs w:val="22"/>
        </w:rPr>
        <w:t xml:space="preserve">KXGC issues TYPE A authority grant</w:t>
      </w:r>
    </w:p>
    <w:p>
      <w:pPr>
        <w:pStyle w:val="ListParagraph"/>
        <w:numPr>
          <w:ilvl w:val="0"/>
          <w:numId w:val="3"/>
        </w:numPr>
        <w:spacing w:before="60" w:after="60"/>
      </w:pPr>
      <w:r>
        <w:rPr>
          <w:rFonts w:ascii="Arial" w:cs="Arial" w:eastAsia="Arial" w:hAnsi="Arial"/>
          <w:sz w:val="22"/>
          <w:szCs w:val="22"/>
        </w:rPr>
        <w:t xml:space="preserve">Get INSURANCE badge from CPNX</w:t>
      </w:r>
    </w:p>
    <w:p>
      <w:pPr>
        <w:pStyle w:val="ListParagraph"/>
        <w:numPr>
          <w:ilvl w:val="0"/>
          <w:numId w:val="3"/>
        </w:numPr>
        <w:spacing w:before="60" w:after="60"/>
      </w:pPr>
      <w:r>
        <w:rPr>
          <w:rFonts w:ascii="Arial" w:cs="Arial" w:eastAsia="Arial" w:hAnsi="Arial"/>
          <w:sz w:val="22"/>
          <w:szCs w:val="22"/>
        </w:rPr>
        <w:t xml:space="preserve">Create TYPE P-R pool with mandatory disclosure_text</w:t>
      </w:r>
    </w:p>
    <w:p>
      <w:pPr>
        <w:pStyle w:val="ListParagraph"/>
        <w:numPr>
          <w:ilvl w:val="0"/>
          <w:numId w:val="3"/>
        </w:numPr>
        <w:spacing w:before="60" w:after="60"/>
      </w:pPr>
      <w:r>
        <w:rPr>
          <w:rFonts w:ascii="Arial" w:cs="Arial" w:eastAsia="Arial" w:hAnsi="Arial"/>
          <w:sz w:val="22"/>
          <w:szCs w:val="22"/>
        </w:rPr>
        <w:t xml:space="preserve">Write TYPE S policies with PAY_AS USD and escalation_wallet set to KXGC</w:t>
      </w:r>
    </w:p>
    <w:p>
      <w:pPr>
        <w:pStyle w:val="ListParagraph"/>
        <w:numPr>
          <w:ilvl w:val="0"/>
          <w:numId w:val="3"/>
        </w:numPr>
        <w:spacing w:before="60" w:after="60"/>
      </w:pPr>
      <w:r>
        <w:rPr>
          <w:rFonts w:ascii="Arial" w:cs="Arial" w:eastAsia="Arial" w:hAnsi="Arial"/>
          <w:sz w:val="22"/>
          <w:szCs w:val="22"/>
        </w:rPr>
        <w:t xml:space="preserve">Design attestor group as TYPE G with min_attestors_pct</w:t>
      </w:r>
    </w:p>
    <w:p>
      <w:pPr>
        <w:pStyle w:val="ListParagraph"/>
        <w:numPr>
          <w:ilvl w:val="0"/>
          <w:numId w:val="3"/>
        </w:numPr>
        <w:spacing w:before="60" w:after="60"/>
      </w:pPr>
      <w:r>
        <w:rPr>
          <w:rFonts w:ascii="Arial" w:cs="Arial" w:eastAsia="Arial" w:hAnsi="Arial"/>
          <w:sz w:val="22"/>
          <w:szCs w:val="22"/>
        </w:rPr>
        <w:t xml:space="preserve">KXGC backstops via TYPE W waterfall</w:t>
      </w:r>
    </w:p>
    <w:p>
      <w:pPr>
        <w:spacing w:before="80" w:after="80"/>
      </w:pPr>
      <w:r>
        <w:t xml:space="preserve"/>
      </w:r>
    </w:p>
    <w:p>
      <w:pPr>
        <w:spacing w:before="100" w:after="100"/>
        <w:jc w:val="both"/>
      </w:pPr>
      <w:r>
        <w:rPr>
          <w:rFonts w:ascii="Arial" w:cs="Arial" w:eastAsia="Arial" w:hAnsi="Arial"/>
          <w:sz w:val="22"/>
          <w:szCs w:val="22"/>
        </w:rPr>
        <w:t xml:space="preserve">Regulatory note: Homes owned free and clear are legally self-insurable in most US jurisdictions. Consult qualified legal counsel before operating.</w:t>
      </w:r>
    </w:p>
    <w:p>
      <w:pPr>
        <w:spacing w:before="80" w:after="80"/>
      </w:pPr>
      <w:r>
        <w:t xml:space="preserve"/>
      </w:r>
    </w:p>
    <w:p>
      <w:pPr>
        <w:spacing w:before="100" w:after="100"/>
        <w:jc w:val="both"/>
      </w:pPr>
      <w:r>
        <w:rPr>
          <w:rFonts w:ascii="Arial" w:cs="Arial" w:eastAsia="Arial" w:hAnsi="Arial"/>
          <w:sz w:val="22"/>
          <w:szCs w:val="22"/>
        </w:rPr>
        <w:t xml:space="preserve">Contact: contact@kxgc.io</w:t>
      </w:r>
    </w:p>
    <w:p>
      <w:pPr>
        <w:spacing w:before="100" w:after="100"/>
      </w:pPr>
    </w:p>
    <w:p>
      <w:pPr>
        <w:pStyle w:val="Heading3"/>
        <w:spacing w:before="240" w:after="120"/>
      </w:pPr>
      <w:r>
        <w:rPr>
          <w:rFonts w:ascii="Arial" w:cs="Arial" w:eastAsia="Arial" w:hAnsi="Arial"/>
          <w:b/>
          <w:bCs/>
          <w:color w:val="1F4E79"/>
          <w:sz w:val="24"/>
          <w:szCs w:val="24"/>
        </w:rPr>
        <w:t xml:space="preserve">The Excess and Surplus Lines Entry Point</w:t>
      </w:r>
    </w:p>
    <w:p>
      <w:pPr>
        <w:spacing w:before="100" w:after="100"/>
      </w:pPr>
    </w:p>
    <w:p>
      <w:pPr>
        <w:spacing w:before="100" w:after="100"/>
        <w:jc w:val="both"/>
      </w:pPr>
      <w:r>
        <w:rPr>
          <w:rFonts w:ascii="Arial" w:cs="Arial" w:eastAsia="Arial" w:hAnsi="Arial"/>
          <w:sz w:val="22"/>
          <w:szCs w:val="22"/>
        </w:rPr>
        <w:t xml:space="preserve">The simplest first product for a new KXGC Tier 1 Name is excess and surplus lines coverage — sitting above a policyholder’s existing primary policy limit. This requires no displacement of the existing carrier relationship and no regulatory competition with admitted carriers.</w:t>
      </w:r>
    </w:p>
    <w:p>
      <w:pPr>
        <w:spacing w:before="100" w:after="100"/>
      </w:pPr>
    </w:p>
    <w:p>
      <w:pPr>
        <w:spacing w:before="100" w:after="100"/>
        <w:jc w:val="both"/>
      </w:pPr>
      <w:r>
        <w:rPr>
          <w:rFonts w:ascii="Arial" w:cs="Arial" w:eastAsia="Arial" w:hAnsi="Arial"/>
          <w:sz w:val="22"/>
          <w:szCs w:val="22"/>
        </w:rPr>
        <w:t xml:space="preserve">Instrument design for excess coverage: condition_type: OracleTrigger or SingleAttestation (oracle attests loss event at the covered property). linked_instrument_id: reference to primary carrier settlement record (LinkedSpring — KXGC instrument activates only after primary is documented as exhausted). pay_as: UsdEquivalentAtMaturity (pays USD equivalent of the excess loss amount). escalation_wallet: KXGC bond wallet (for Tier 1 failure scenarios).</w:t>
      </w:r>
    </w:p>
    <w:p>
      <w:pPr>
        <w:spacing w:before="100" w:after="100"/>
      </w:pPr>
    </w:p>
    <w:p>
      <w:pPr>
        <w:spacing w:before="100" w:after="100"/>
        <w:jc w:val="both"/>
      </w:pPr>
      <w:r>
        <w:rPr>
          <w:rFonts w:ascii="Arial" w:cs="Arial" w:eastAsia="Arial" w:hAnsi="Arial"/>
          <w:sz w:val="22"/>
          <w:szCs w:val="22"/>
        </w:rPr>
        <w:t xml:space="preserve">Individual risk pricing via CPNX: Before underwriting, the Tier 1 Name requests CPNX attestation of the property’s risk characteristics: distance to fire station, construction type, fire clearance, claims history, title status. These are recorded on the DAG as TYPE L entries. The Tier 1 Name prices the excess premium against the individual attested risk — not pool averages. A property one block from the fire station on non-combustible ground receives dramatically better pricing than the pool rate.</w:t>
      </w:r>
    </w:p>
    <w:p>
      <w:pPr>
        <w:spacing w:before="100" w:after="100"/>
      </w:pPr>
    </w:p>
    <w:p>
      <w:pPr>
        <w:spacing w:before="100" w:after="100"/>
        <w:jc w:val="both"/>
      </w:pPr>
      <w:r>
        <w:rPr>
          <w:rFonts w:ascii="Arial" w:cs="Arial" w:eastAsia="Arial" w:hAnsi="Arial"/>
          <w:sz w:val="22"/>
          <w:szCs w:val="22"/>
        </w:rPr>
        <w:t xml:space="preserve">Micropayment coverage is equally viable: The protocol processes a 10 KX conditional payment at zero cost. Tier 1 Names can write coverage for small parametric events — flight delays, weather triggers, delivery failures, gig worker income protection — that traditional insurance cannot serve economically. The claim size floor is determined by KX’s value, not by processing overhead.</w:t>
      </w:r>
    </w:p>
    <w:p>
      <w:pPr>
        <w:spacing w:before="100" w:after="100"/>
      </w:pPr>
    </w:p>
    <w:p>
      <w:pPr>
        <w:spacing w:before="80" w:after="80"/>
      </w:pPr>
      <w:r>
        <w:t xml:space="preserve"/>
      </w:r>
    </w:p>
    <w:p>
      <w:pPr>
        <w:pStyle w:val="Heading2"/>
        <w:spacing w:before="320" w:after="160"/>
      </w:pPr>
      <w:r>
        <w:rPr>
          <w:rFonts w:ascii="Arial" w:cs="Arial" w:eastAsia="Arial" w:hAnsi="Arial"/>
          <w:b/>
          <w:bCs/>
          <w:color w:val="2E75B6"/>
          <w:sz w:val="26"/>
          <w:szCs w:val="26"/>
        </w:rPr>
        <w:t xml:space="preserve">H.5 — I Want to Write Homeowner Insurance as a Mutual Benefit Company</w:t>
      </w:r>
    </w:p>
    <w:p>
      <w:pPr>
        <w:spacing w:before="100" w:after="100"/>
        <w:jc w:val="both"/>
      </w:pPr>
      <w:r>
        <w:rPr>
          <w:rFonts w:ascii="Arial" w:cs="Arial" w:eastAsia="Arial" w:hAnsi="Arial"/>
          <w:i/>
          <w:iCs/>
          <w:sz w:val="22"/>
          <w:szCs w:val="22"/>
        </w:rPr>
        <w:t xml:space="preserve">Who this is for: founders building a blockchain-native insurance mutual for free-and-clear homeowners.</w:t>
      </w:r>
    </w:p>
    <w:p>
      <w:pPr>
        <w:spacing w:before="80" w:after="80"/>
      </w:pPr>
      <w:r>
        <w:t xml:space="preserve"/>
      </w:r>
    </w:p>
    <w:p>
      <w:pPr>
        <w:spacing w:before="100" w:after="100"/>
        <w:jc w:val="both"/>
      </w:pPr>
      <w:r>
        <w:rPr>
          <w:rFonts w:ascii="Arial" w:cs="Arial" w:eastAsia="Arial" w:hAnsi="Arial"/>
          <w:sz w:val="22"/>
          <w:szCs w:val="22"/>
        </w:rPr>
        <w:t xml:space="preserve">A mutual benefit company covering only its own members in most US states is not considered an insurance company under state law if it does not solicit the public. Free-and-clear homeowners are legally self-insurable. Consult a surplus lines attorney before writing policy #1.</w:t>
      </w:r>
    </w:p>
    <w:p>
      <w:pPr>
        <w:spacing w:before="80" w:after="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2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Blocker Today?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mutual benefit company legal entity</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not protocol</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Get INSURANCE badge from CPNX</w:t>
            </w:r>
          </w:p>
        </w:tc>
        <w:tc>
          <w:tcPr>
            <w:tcW w:type="dxa" w:w="5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Ready now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TYPE A authority grant from KXGC as Tier 1 Name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Ready now</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Create TYPE P-R pool with disclosure_text</w:t>
            </w:r>
          </w:p>
        </w:tc>
        <w:tc>
          <w:tcPr>
            <w:tcW w:type="dxa" w:w="5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Ready now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TYPE S policies with PAY_AS USD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Blocked: pay_as_max_usd = $250. Needs governance vote.</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6</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Design attestor group using TYPE G with min_attestors_pct</w:t>
            </w:r>
          </w:p>
        </w:tc>
        <w:tc>
          <w:tcPr>
            <w:tcW w:type="dxa" w:w="5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Ready now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escalation_wallet to KXGC on every policy</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Ready now</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8</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Arrange Layer 0 overnight hedges via HedgeKX</w:t>
            </w:r>
          </w:p>
        </w:tc>
        <w:tc>
          <w:tcPr>
            <w:tcW w:type="dxa" w:w="5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Ready now ($250 cap)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USDC auto-convert servicer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Off-chain build</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10</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Recruit member-policyholders</w:t>
            </w:r>
          </w:p>
        </w:tc>
        <w:tc>
          <w:tcPr>
            <w:tcW w:type="dxa" w:w="5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Marketing</w:t>
            </w:r>
          </w:p>
        </w:tc>
      </w:tr>
    </w:tbl>
    <w:p>
      <w:pPr>
        <w:spacing w:before="80" w:after="80"/>
      </w:pPr>
      <w:r>
        <w:t xml:space="preserve"/>
      </w:r>
    </w:p>
    <w:p>
      <w:pPr>
        <w:spacing w:before="100" w:after="100"/>
        <w:jc w:val="both"/>
      </w:pPr>
      <w:r>
        <w:rPr>
          <w:rFonts w:ascii="Arial" w:cs="Arial" w:eastAsia="Arial" w:hAnsi="Arial"/>
          <w:sz w:val="22"/>
          <w:szCs w:val="22"/>
        </w:rPr>
        <w:t xml:space="preserve">Contact: contact@kxgc.io</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H.6 — I Want to Run a Node</w:t>
      </w:r>
    </w:p>
    <w:p>
      <w:pPr>
        <w:spacing w:before="100" w:after="100"/>
        <w:jc w:val="both"/>
      </w:pPr>
      <w:r>
        <w:rPr>
          <w:rFonts w:ascii="Arial" w:cs="Arial" w:eastAsia="Arial" w:hAnsi="Arial"/>
          <w:i/>
          <w:iCs/>
          <w:sz w:val="22"/>
          <w:szCs w:val="22"/>
        </w:rPr>
        <w:t xml:space="preserve">Who this is for: technical operators, infrastructure providers, community participants.</w:t>
      </w:r>
    </w:p>
    <w:p>
      <w:pPr>
        <w:spacing w:before="80" w:after="80"/>
      </w:pPr>
      <w:r>
        <w:t xml:space="preserve"/>
      </w:r>
    </w:p>
    <w:p>
      <w:pPr>
        <w:spacing w:before="100" w:after="100"/>
        <w:jc w:val="both"/>
      </w:pPr>
      <w:r>
        <w:rPr>
          <w:rFonts w:ascii="Arial" w:cs="Arial" w:eastAsia="Arial" w:hAnsi="Arial"/>
          <w:b/>
          <w:bCs/>
          <w:sz w:val="22"/>
          <w:szCs w:val="22"/>
        </w:rPr>
        <w:t xml:space="preserve">What you get from January 1, 2029:</w:t>
      </w:r>
    </w:p>
    <w:p>
      <w:pPr>
        <w:spacing w:before="100" w:after="100"/>
        <w:jc w:val="both"/>
      </w:pPr>
      <w:r>
        <w:rPr>
          <w:rFonts w:ascii="Arial" w:cs="Arial" w:eastAsia="Arial" w:hAnsi="Arial"/>
          <w:sz w:val="22"/>
          <w:szCs w:val="22"/>
        </w:rPr>
        <w:t xml:space="preserve">Proportional share of Node Rewards harmonic release (1,000,000,000 KX over 100 years). Year 1 release at ICO price ($0.00319): approximately $2.8M USD distributed across all active operators.</w:t>
      </w:r>
    </w:p>
    <w:p>
      <w:pPr>
        <w:spacing w:before="80" w:after="80"/>
      </w:pPr>
      <w:r>
        <w:t xml:space="preserve"/>
      </w:r>
    </w:p>
    <w:p>
      <w:pPr>
        <w:spacing w:before="100" w:after="100"/>
        <w:jc w:val="both"/>
      </w:pPr>
      <w:r>
        <w:rPr>
          <w:rFonts w:ascii="Arial" w:cs="Arial" w:eastAsia="Arial" w:hAnsi="Arial"/>
          <w:b/>
          <w:bCs/>
          <w:sz w:val="22"/>
          <w:szCs w:val="22"/>
        </w:rPr>
        <w:t xml:space="preserve">How to start:</w:t>
      </w:r>
    </w:p>
    <w:p>
      <w:pPr>
        <w:pStyle w:val="ListParagraph"/>
        <w:numPr>
          <w:ilvl w:val="0"/>
          <w:numId w:val="2"/>
        </w:numPr>
        <w:spacing w:before="60" w:after="60"/>
      </w:pPr>
      <w:r>
        <w:rPr>
          <w:rFonts w:ascii="Arial" w:cs="Arial" w:eastAsia="Arial" w:hAnsi="Arial"/>
          <w:sz w:val="22"/>
          <w:szCs w:val="22"/>
        </w:rPr>
        <w:t xml:space="preserve">Linux: curl -sSL https://chronx.io/install-node.sh | sudo bash</w:t>
      </w:r>
    </w:p>
    <w:p>
      <w:pPr>
        <w:pStyle w:val="ListParagraph"/>
        <w:numPr>
          <w:ilvl w:val="0"/>
          <w:numId w:val="2"/>
        </w:numPr>
        <w:spacing w:before="60" w:after="60"/>
      </w:pPr>
      <w:r>
        <w:rPr>
          <w:rFonts w:ascii="Arial" w:cs="Arial" w:eastAsia="Arial" w:hAnsi="Arial"/>
          <w:sz w:val="22"/>
          <w:szCs w:val="22"/>
        </w:rPr>
        <w:t xml:space="preserve">Windows: download ChronX-Node-Setup.exe from chronx.io/node.html</w:t>
      </w:r>
    </w:p>
    <w:p>
      <w:pPr>
        <w:pStyle w:val="ListParagraph"/>
        <w:numPr>
          <w:ilvl w:val="0"/>
          <w:numId w:val="2"/>
        </w:numPr>
        <w:spacing w:before="60" w:after="60"/>
      </w:pPr>
      <w:r>
        <w:rPr>
          <w:rFonts w:ascii="Arial" w:cs="Arial" w:eastAsia="Arial" w:hAnsi="Arial"/>
          <w:sz w:val="22"/>
          <w:szCs w:val="22"/>
        </w:rPr>
        <w:t xml:space="preserve">Bootstrap peer: 12D3KooWMsFQDZhqAFnkcj1XjPrjjVFwsQ6UqgvffvA6HFt6MfFU</w:t>
      </w:r>
    </w:p>
    <w:p>
      <w:pPr>
        <w:spacing w:before="80" w:after="80"/>
      </w:pPr>
      <w:r>
        <w:t xml:space="preserve"/>
      </w:r>
    </w:p>
    <w:p>
      <w:pPr>
        <w:spacing w:before="100" w:after="100"/>
        <w:jc w:val="both"/>
      </w:pPr>
      <w:r>
        <w:rPr>
          <w:rFonts w:ascii="Arial" w:cs="Arial" w:eastAsia="Arial" w:hAnsi="Arial"/>
          <w:sz w:val="22"/>
          <w:szCs w:val="22"/>
        </w:rPr>
        <w:t xml:space="preserve">Contact: contact@chronx.io</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H.7 — I Want to Build an AI Agent on ChronX</w:t>
      </w:r>
    </w:p>
    <w:p>
      <w:pPr>
        <w:spacing w:before="100" w:after="100"/>
        <w:jc w:val="both"/>
      </w:pPr>
      <w:r>
        <w:rPr>
          <w:rFonts w:ascii="Arial" w:cs="Arial" w:eastAsia="Arial" w:hAnsi="Arial"/>
          <w:i/>
          <w:iCs/>
          <w:sz w:val="22"/>
          <w:szCs w:val="22"/>
        </w:rPr>
        <w:t xml:space="preserve">Who this is for: AI developers, quant funds, autonomous agent builders.</w:t>
      </w:r>
    </w:p>
    <w:p>
      <w:pPr>
        <w:spacing w:before="80" w:after="80"/>
      </w:pPr>
      <w:r>
        <w:t xml:space="preserve"/>
      </w:r>
    </w:p>
    <w:p>
      <w:pPr>
        <w:spacing w:before="100" w:after="100"/>
        <w:jc w:val="both"/>
      </w:pPr>
      <w:r>
        <w:rPr>
          <w:rFonts w:ascii="Arial" w:cs="Arial" w:eastAsia="Arial" w:hAnsi="Arial"/>
          <w:b/>
          <w:bCs/>
          <w:sz w:val="22"/>
          <w:szCs w:val="22"/>
        </w:rPr>
        <w:t xml:space="preserve">What ChronX provides natively for AI agents:</w:t>
      </w:r>
    </w:p>
    <w:p>
      <w:pPr>
        <w:pStyle w:val="ListParagraph"/>
        <w:numPr>
          <w:ilvl w:val="0"/>
          <w:numId w:val="2"/>
        </w:numPr>
        <w:spacing w:before="60" w:after="60"/>
      </w:pPr>
      <w:r>
        <w:rPr>
          <w:rFonts w:ascii="Arial" w:cs="Arial" w:eastAsia="Arial" w:hAnsi="Arial"/>
          <w:sz w:val="22"/>
          <w:szCs w:val="22"/>
        </w:rPr>
        <w:t xml:space="preserve">TYPE M locks: AI-managed time-locked KX with grantor-defined mandate, risk level, and exclusions</w:t>
      </w:r>
    </w:p>
    <w:p>
      <w:pPr>
        <w:pStyle w:val="ListParagraph"/>
        <w:numPr>
          <w:ilvl w:val="0"/>
          <w:numId w:val="2"/>
        </w:numPr>
        <w:spacing w:before="60" w:after="60"/>
      </w:pPr>
      <w:r>
        <w:rPr>
          <w:rFonts w:ascii="Arial" w:cs="Arial" w:eastAsia="Arial" w:hAnsi="Arial"/>
          <w:sz w:val="22"/>
          <w:szCs w:val="22"/>
        </w:rPr>
        <w:t xml:space="preserve">AI Agent Axioms VII–XIII: immutable governance rules for autonomous agents</w:t>
      </w:r>
    </w:p>
    <w:p>
      <w:pPr>
        <w:pStyle w:val="ListParagraph"/>
        <w:numPr>
          <w:ilvl w:val="0"/>
          <w:numId w:val="2"/>
        </w:numPr>
        <w:spacing w:before="60" w:after="60"/>
      </w:pPr>
      <w:r>
        <w:rPr>
          <w:rFonts w:ascii="Arial" w:cs="Arial" w:eastAsia="Arial" w:hAnsi="Arial"/>
          <w:sz w:val="22"/>
          <w:szCs w:val="22"/>
        </w:rPr>
        <w:t xml:space="preserve">Separation of custody and decision (Axiom X): agent that decides does not hold funds</w:t>
      </w:r>
    </w:p>
    <w:p>
      <w:pPr>
        <w:pStyle w:val="ListParagraph"/>
        <w:numPr>
          <w:ilvl w:val="0"/>
          <w:numId w:val="2"/>
        </w:numPr>
        <w:spacing w:before="60" w:after="60"/>
      </w:pPr>
      <w:r>
        <w:rPr>
          <w:rFonts w:ascii="Arial" w:cs="Arial" w:eastAsia="Arial" w:hAnsi="Arial"/>
          <w:sz w:val="22"/>
          <w:szCs w:val="22"/>
        </w:rPr>
        <w:t xml:space="preserve">Permanent public decision record (Axiom VIII): every action committed to DAG before execution</w:t>
      </w:r>
    </w:p>
    <w:p>
      <w:pPr>
        <w:pStyle w:val="ListParagraph"/>
        <w:numPr>
          <w:ilvl w:val="0"/>
          <w:numId w:val="2"/>
        </w:numPr>
        <w:spacing w:before="60" w:after="60"/>
      </w:pPr>
      <w:r>
        <w:rPr>
          <w:rFonts w:ascii="Arial" w:cs="Arial" w:eastAsia="Arial" w:hAnsi="Arial"/>
          <w:sz w:val="22"/>
          <w:szCs w:val="22"/>
        </w:rPr>
        <w:t xml:space="preserve">Zero-fee micropayments for agent-to-agent settlement</w:t>
      </w:r>
    </w:p>
    <w:p>
      <w:pPr>
        <w:pStyle w:val="ListParagraph"/>
        <w:numPr>
          <w:ilvl w:val="0"/>
          <w:numId w:val="2"/>
        </w:numPr>
        <w:spacing w:before="60" w:after="60"/>
      </w:pPr>
      <w:r>
        <w:rPr>
          <w:rFonts w:ascii="Arial" w:cs="Arial" w:eastAsia="Arial" w:hAnsi="Arial"/>
          <w:sz w:val="22"/>
          <w:szCs w:val="22"/>
        </w:rPr>
        <w:t xml:space="preserve">TYPE C credit authorisations: pre-authorised draws, no per-transaction approval</w:t>
      </w:r>
    </w:p>
    <w:p>
      <w:pPr>
        <w:spacing w:before="80" w:after="80"/>
      </w:pPr>
      <w:r>
        <w:t xml:space="preserve"/>
      </w:r>
    </w:p>
    <w:p>
      <w:pPr>
        <w:spacing w:before="100" w:after="100"/>
        <w:jc w:val="both"/>
      </w:pPr>
      <w:r>
        <w:rPr>
          <w:rFonts w:ascii="Arial" w:cs="Arial" w:eastAsia="Arial" w:hAnsi="Arial"/>
          <w:sz w:val="22"/>
          <w:szCs w:val="22"/>
        </w:rPr>
        <w:t xml:space="preserve">Contact: contact@misai.io</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H.8 — I Want to Hedge KX/USD Exposure</w:t>
      </w:r>
    </w:p>
    <w:p>
      <w:pPr>
        <w:spacing w:before="100" w:after="100"/>
        <w:jc w:val="both"/>
      </w:pPr>
      <w:r>
        <w:rPr>
          <w:rFonts w:ascii="Arial" w:cs="Arial" w:eastAsia="Arial" w:hAnsi="Arial"/>
          <w:i/>
          <w:iCs/>
          <w:sz w:val="22"/>
          <w:szCs w:val="22"/>
        </w:rPr>
        <w:t xml:space="preserve">Who this is for: KX holders who want USD stability, insurance mutuals needing currency risk coverage, long-horizon promise creators.</w:t>
      </w:r>
    </w:p>
    <w:p>
      <w:pPr>
        <w:spacing w:before="80" w:after="80"/>
      </w:pPr>
      <w:r>
        <w:t xml:space="preserve"/>
      </w:r>
    </w:p>
    <w:p>
      <w:pPr>
        <w:spacing w:before="100" w:after="100"/>
        <w:jc w:val="both"/>
      </w:pPr>
      <w:r>
        <w:rPr>
          <w:rFonts w:ascii="Arial" w:cs="Arial" w:eastAsia="Arial" w:hAnsi="Arial"/>
          <w:sz w:val="22"/>
          <w:szCs w:val="22"/>
        </w:rPr>
        <w:t xml:space="preserve">A hedge instrument on ChronX is a bilateral foreign exchange forward contract between two parties. The risk of loss is currency conversion risk only. A hedger who loses money on a correctly-executed instrument has no claim against HedgeKX or any other party. The instrument executed as designed.</w:t>
      </w:r>
    </w:p>
    <w:p>
      <w:pPr>
        <w:spacing w:before="80" w:after="80"/>
      </w:pPr>
      <w:r>
        <w:t xml:space="preserve"/>
      </w:r>
    </w:p>
    <w:p>
      <w:pPr>
        <w:spacing w:before="100" w:after="100"/>
        <w:jc w:val="both"/>
      </w:pPr>
      <w:r>
        <w:rPr>
          <w:rFonts w:ascii="Arial" w:cs="Arial" w:eastAsia="Arial" w:hAnsi="Arial"/>
          <w:b/>
          <w:bCs/>
          <w:sz w:val="22"/>
          <w:szCs w:val="22"/>
        </w:rPr>
        <w:t xml:space="preserve">Available today:</w:t>
      </w:r>
    </w:p>
    <w:p>
      <w:pPr>
        <w:pStyle w:val="ListParagraph"/>
        <w:numPr>
          <w:ilvl w:val="0"/>
          <w:numId w:val="2"/>
        </w:numPr>
        <w:spacing w:before="60" w:after="60"/>
      </w:pPr>
      <w:r>
        <w:rPr>
          <w:rFonts w:ascii="Arial" w:cs="Arial" w:eastAsia="Arial" w:hAnsi="Arial"/>
          <w:sz w:val="22"/>
          <w:szCs w:val="22"/>
        </w:rPr>
        <w:t xml:space="preserve">Overnight (24-hour) KX/USD hedge via HedgeKX order book</w:t>
      </w:r>
    </w:p>
    <w:p>
      <w:pPr>
        <w:pStyle w:val="ListParagraph"/>
        <w:numPr>
          <w:ilvl w:val="0"/>
          <w:numId w:val="2"/>
        </w:numPr>
        <w:spacing w:before="60" w:after="60"/>
      </w:pPr>
      <w:r>
        <w:rPr>
          <w:rFonts w:ascii="Arial" w:cs="Arial" w:eastAsia="Arial" w:hAnsi="Arial"/>
          <w:sz w:val="22"/>
          <w:szCs w:val="22"/>
        </w:rPr>
        <w:t xml:space="preserve">Maximum daily exposure: $250 (governance parameter, will expand)</w:t>
      </w:r>
    </w:p>
    <w:p>
      <w:pPr>
        <w:spacing w:before="80" w:after="80"/>
      </w:pPr>
      <w:r>
        <w:t xml:space="preserve"/>
      </w:r>
    </w:p>
    <w:p>
      <w:pPr>
        <w:spacing w:before="100" w:after="100"/>
        <w:jc w:val="both"/>
      </w:pPr>
      <w:r>
        <w:rPr>
          <w:rFonts w:ascii="Arial" w:cs="Arial" w:eastAsia="Arial" w:hAnsi="Arial"/>
          <w:b/>
          <w:bCs/>
          <w:sz w:val="22"/>
          <w:szCs w:val="22"/>
        </w:rPr>
        <w:t xml:space="preserve">Planned:</w:t>
      </w:r>
    </w:p>
    <w:p>
      <w:pPr>
        <w:pStyle w:val="ListParagraph"/>
        <w:numPr>
          <w:ilvl w:val="0"/>
          <w:numId w:val="2"/>
        </w:numPr>
        <w:spacing w:before="60" w:after="60"/>
      </w:pPr>
      <w:r>
        <w:rPr>
          <w:rFonts w:ascii="Arial" w:cs="Arial" w:eastAsia="Arial" w:hAnsi="Arial"/>
          <w:sz w:val="22"/>
          <w:szCs w:val="22"/>
        </w:rPr>
        <w:t xml:space="preserve">OracleTrigger: automatic execution when XChan oracle crosses threshold</w:t>
      </w:r>
    </w:p>
    <w:p>
      <w:pPr>
        <w:pStyle w:val="ListParagraph"/>
        <w:numPr>
          <w:ilvl w:val="0"/>
          <w:numId w:val="2"/>
        </w:numPr>
        <w:spacing w:before="60" w:after="60"/>
      </w:pPr>
      <w:r>
        <w:rPr>
          <w:rFonts w:ascii="Arial" w:cs="Arial" w:eastAsia="Arial" w:hAnsi="Arial"/>
          <w:sz w:val="22"/>
          <w:szCs w:val="22"/>
        </w:rPr>
        <w:t xml:space="preserve">Short-dated (1–30 day) instruments as governance expands duration</w:t>
      </w:r>
    </w:p>
    <w:p>
      <w:pPr>
        <w:pStyle w:val="ListParagraph"/>
        <w:numPr>
          <w:ilvl w:val="0"/>
          <w:numId w:val="2"/>
        </w:numPr>
        <w:spacing w:before="60" w:after="60"/>
      </w:pPr>
      <w:r>
        <w:rPr>
          <w:rFonts w:ascii="Arial" w:cs="Arial" w:eastAsia="Arial" w:hAnsi="Arial"/>
          <w:sz w:val="22"/>
          <w:szCs w:val="22"/>
        </w:rPr>
        <w:t xml:space="preserve">Excess-of-loss layers as CompoundAND and LinkedSpring are built</w:t>
      </w:r>
    </w:p>
    <w:p>
      <w:pPr>
        <w:spacing w:before="80" w:after="80"/>
      </w:pPr>
      <w:r>
        <w:t xml:space="preserve"/>
      </w:r>
    </w:p>
    <w:p>
      <w:pPr>
        <w:spacing w:before="100" w:after="100"/>
        <w:jc w:val="both"/>
      </w:pPr>
      <w:r>
        <w:rPr>
          <w:rFonts w:ascii="Arial" w:cs="Arial" w:eastAsia="Arial" w:hAnsi="Arial"/>
          <w:sz w:val="22"/>
          <w:szCs w:val="22"/>
        </w:rPr>
        <w:t xml:space="preserve">Contact: contact@hedgekx.io</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H.9 — I Want to Use Verifas for Long-Horizon Delivery</w:t>
      </w:r>
    </w:p>
    <w:p>
      <w:pPr>
        <w:spacing w:before="100" w:after="100"/>
        <w:jc w:val="both"/>
      </w:pPr>
      <w:r>
        <w:rPr>
          <w:rFonts w:ascii="Arial" w:cs="Arial" w:eastAsia="Arial" w:hAnsi="Arial"/>
          <w:sz w:val="22"/>
          <w:szCs w:val="22"/>
        </w:rPr>
        <w:t xml:space="preserve">Who this is for: estate planners, trust attorneys, family offices, anyone making promises that outlast contact information.</w:t>
      </w:r>
    </w:p>
    <w:p>
      <w:pPr>
        <w:spacing w:before="100" w:after="100"/>
      </w:pPr>
    </w:p>
    <w:p>
      <w:pPr>
        <w:spacing w:before="100" w:after="100"/>
        <w:jc w:val="both"/>
      </w:pPr>
      <w:r>
        <w:rPr>
          <w:rFonts w:ascii="Arial" w:cs="Arial" w:eastAsia="Arial" w:hAnsi="Arial"/>
          <w:sz w:val="22"/>
          <w:szCs w:val="22"/>
        </w:rPr>
        <w:t xml:space="preserve">What happens at maturity:</w:t>
      </w:r>
    </w:p>
    <w:p>
      <w:pPr>
        <w:spacing w:before="100" w:after="100"/>
      </w:pPr>
    </w:p>
    <w:p>
      <w:pPr>
        <w:spacing w:before="100" w:after="100"/>
        <w:jc w:val="both"/>
      </w:pPr>
      <w:r>
        <w:rPr>
          <w:rFonts w:ascii="Arial" w:cs="Arial" w:eastAsia="Arial" w:hAnsi="Arial"/>
          <w:sz w:val="22"/>
          <w:szCs w:val="22"/>
        </w:rPr>
        <w:t xml:space="preserve">Lock matures. Recipient has the Stage 1 window to self-claim (governance-set: default 90 days for wallet locks, default 0 days for email locks).</w:t>
      </w:r>
    </w:p>
    <w:p>
      <w:pPr>
        <w:spacing w:before="100" w:after="100"/>
      </w:pPr>
    </w:p>
    <w:p>
      <w:pPr>
        <w:spacing w:before="100" w:after="100"/>
        <w:jc w:val="both"/>
      </w:pPr>
      <w:r>
        <w:rPr>
          <w:rFonts w:ascii="Arial" w:cs="Arial" w:eastAsia="Arial" w:hAnsi="Arial"/>
          <w:sz w:val="22"/>
          <w:szCs w:val="22"/>
        </w:rPr>
        <w:t xml:space="preserve">After Stage 1: The lock automatically converts to a two-party lock requiring both the recipient’s signature and a Verifas bonded attestor’s co-signature. Neither party has custody. The KX has not moved. The recipient can still claim at any time during Stage 2 — they simply need Verifas attestation to co-sign.</w:t>
      </w:r>
    </w:p>
    <w:p>
      <w:pPr>
        <w:spacing w:before="100" w:after="100"/>
      </w:pPr>
    </w:p>
    <w:p>
      <w:pPr>
        <w:spacing w:before="100" w:after="100"/>
        <w:jc w:val="both"/>
      </w:pPr>
      <w:r>
        <w:rPr>
          <w:rFonts w:ascii="Arial" w:cs="Arial" w:eastAsia="Arial" w:hAnsi="Arial"/>
          <w:sz w:val="22"/>
          <w:szCs w:val="22"/>
        </w:rPr>
        <w:t xml:space="preserve">After Stage 2 (governance-set extended inactivity, default 7 years): Sole custody transfers to Verifas for active estate resolution.</w:t>
      </w:r>
    </w:p>
    <w:p>
      <w:pPr>
        <w:spacing w:before="100" w:after="100"/>
      </w:pPr>
    </w:p>
    <w:p>
      <w:pPr>
        <w:spacing w:before="100" w:after="100"/>
        <w:jc w:val="both"/>
      </w:pPr>
      <w:r>
        <w:rPr>
          <w:rFonts w:ascii="Arial" w:cs="Arial" w:eastAsia="Arial" w:hAnsi="Arial"/>
          <w:sz w:val="22"/>
          <w:szCs w:val="22"/>
        </w:rPr>
        <w:t xml:space="preserve">If unclaimed after Verifas custody window (default 100 years): KX transfers to Humanity Stake.</w:t>
      </w:r>
    </w:p>
    <w:p>
      <w:pPr>
        <w:spacing w:before="100" w:after="100"/>
      </w:pPr>
    </w:p>
    <w:p>
      <w:pPr>
        <w:spacing w:before="100" w:after="100"/>
        <w:jc w:val="both"/>
      </w:pPr>
      <w:r>
        <w:rPr>
          <w:rFonts w:ascii="Arial" w:cs="Arial" w:eastAsia="Arial" w:hAnsi="Arial"/>
          <w:sz w:val="22"/>
          <w:szCs w:val="22"/>
        </w:rPr>
        <w:t xml:space="preserve">A note on the beneficiary_package: Attaching a beneficiary_package at lock creation — even a minimal one containing just an email address or identifier — gives Verifas richer information to work with. It is not required to trigger the two-party lock or the Verifas process. But it increases the probability of successful delivery. For high-value long-duration locks, a complete beneficiary package is strongly recommended.</w:t>
      </w:r>
    </w:p>
    <w:p>
      <w:pPr>
        <w:spacing w:before="100" w:after="100"/>
      </w:pPr>
    </w:p>
    <w:p>
      <w:pPr>
        <w:spacing w:before="100" w:after="100"/>
        <w:jc w:val="both"/>
      </w:pPr>
      <w:r>
        <w:rPr>
          <w:rFonts w:ascii="Arial" w:cs="Arial" w:eastAsia="Arial" w:hAnsi="Arial"/>
          <w:sz w:val="22"/>
          <w:szCs w:val="22"/>
        </w:rPr>
        <w:t xml:space="preserve">When creating a long-duration email lock in the wallet, the following notice is displayed: “Due to the extended duration of this promise, if the recipient does not claim within the standard window, Verifas identity verification MAY be required before the promise can be released. Verifas will make reasonable efforts to locate the recipient — but delivery is not guaranteed for all promises.”</w:t>
      </w:r>
    </w:p>
    <w:p>
      <w:pPr>
        <w:spacing w:before="100" w:after="100"/>
      </w:pPr>
    </w:p>
    <w:p>
      <w:pPr>
        <w:spacing w:before="100" w:after="100"/>
        <w:jc w:val="both"/>
      </w:pPr>
      <w:r>
        <w:rPr>
          <w:rFonts w:ascii="Arial" w:cs="Arial" w:eastAsia="Arial" w:hAnsi="Arial"/>
          <w:sz w:val="22"/>
          <w:szCs w:val="22"/>
        </w:rPr>
        <w:t xml:space="preserve">Contact: contact@verifas.io</w:t>
      </w:r>
    </w:p>
    <w:p>
      <w:r>
        <w:br w:type="page"/>
      </w:r>
    </w:p>
    <w:p>
      <w:pPr>
        <w:pStyle w:val="Heading1"/>
        <w:spacing w:before="480" w:after="240"/>
      </w:pPr>
      <w:r>
        <w:rPr>
          <w:rFonts w:ascii="Arial" w:cs="Arial" w:eastAsia="Arial" w:hAnsi="Arial"/>
          <w:b/>
          <w:bCs/>
          <w:color w:val="1F4E79"/>
          <w:sz w:val="34"/>
          <w:szCs w:val="34"/>
        </w:rPr>
        <w:t xml:space="preserve">Appendix I — RPC Method Reference</w:t>
      </w:r>
    </w:p>
    <w:p>
      <w:pPr>
        <w:spacing w:before="100" w:after="100"/>
        <w:jc w:val="both"/>
      </w:pPr>
      <w:r>
        <w:rPr>
          <w:rFonts w:ascii="Arial" w:cs="Arial" w:eastAsia="Arial" w:hAnsi="Arial"/>
          <w:sz w:val="22"/>
          <w:szCs w:val="22"/>
        </w:rPr>
        <w:t xml:space="preserve">Endpoint: https://api.chronx.io/rpc (POST, JSON-RPC 2.0). All methods free. All read methods publicly accessible without authentication.</w:t>
      </w:r>
    </w:p>
    <w:p>
      <w:pPr>
        <w:spacing w:before="80" w:after="80"/>
      </w:pPr>
      <w:r>
        <w:t xml:space="preserve"/>
      </w:r>
    </w:p>
    <w:p>
      <w:pPr>
        <w:spacing w:before="100" w:after="100"/>
        <w:jc w:val="both"/>
      </w:pPr>
      <w:r>
        <w:rPr>
          <w:rFonts w:ascii="Arial" w:cs="Arial" w:eastAsia="Arial" w:hAnsi="Arial"/>
          <w:sz w:val="22"/>
          <w:szCs w:val="22"/>
        </w:rPr>
        <w:t xml:space="preserve">Note: rpc.chronx.io is a legacy alias. Always use https://api.chronx.io/rpc.</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Balance and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account_id: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Option&lt;RpcAccount&gt;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account state</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chronx_getBalance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account_id: String</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String</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Balance in Chronos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chronx_getChainStats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RpcChainStats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Vertex count, account count, total supply</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chronx_getGenesisInfo</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RpcGenesisInfo</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Genesis Zero constants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chronx_getGovernanceParams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live governance parameters</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chronx_getVersion</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RpcVersionInfo</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Node software version</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Transaction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chronx_sendTransaction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tx_hex: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(TxId)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signed transaction</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chronx_cancelLock</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tx_hex: String</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String (TxId)</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Cancel a timelock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chronx_submitCascade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tx_hex: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(TxId)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cascade transaction</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chronx_rejectInvoice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tx_hex: String</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String (TxId)</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Submit RejectInvoice</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Time-Lock and Promise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0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chronx_getLocks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account_id: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Vec&lt;RpcTimeLock&gt;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locks for account</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chronx_getLockById</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lock_id: String</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Option&lt;RpcTimeLock&gt;</w:t>
            </w:r>
          </w:p>
        </w:tc>
        <w:tc>
          <w:tcPr>
            <w:tcW w:type="dxa" w:w="2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Single lock by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chronx_getPendingIncoming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account_id: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Vec&lt;RpcTimeLock&gt;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Incoming locks</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chronx_getCascadeDetails</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claim_secret_hash: String</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RpcCascadeDetails</w:t>
            </w:r>
          </w:p>
        </w:tc>
        <w:tc>
          <w:tcPr>
            <w:tcW w:type="dxa" w:w="2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All locks sharing claim 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chronx_getInvestablePromises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Vec&lt;RpcInvestablePromise&gt;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M locks for MISAI</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chronx_getHedgeInstruments</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pool_id: String</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Vec&lt;JSON&gt;</w:t>
            </w:r>
          </w:p>
        </w:tc>
        <w:tc>
          <w:tcPr>
            <w:tcW w:type="dxa" w:w="2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Locks with required_hedge_ids referencing pool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chronx_getOracleSnapshot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pair: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Option&lt;RpcOracleSnapshot&gt;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 oracle price snapshot</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Loan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0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chronx_getLoan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loan_id_hex: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Option&lt;JSON&gt;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loan record</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chronx_getLoansByWallet</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wallet: String</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Vec&lt;JSON&gt;</w:t>
            </w:r>
          </w:p>
        </w:tc>
        <w:tc>
          <w:tcPr>
            <w:tcW w:type="dxa" w:w="2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All loans for a wallet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chronx_getLoanPaymentHistory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loan_id_hex: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Vec&lt;RpcLoanPaymentStage&gt;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history</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chronx_getLoanDefaultRecord</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loan_id_hex: String</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Option&lt;JSON&gt;</w:t>
            </w:r>
          </w:p>
        </w:tc>
        <w:tc>
          <w:tcPr>
            <w:tcW w:type="dxa" w:w="2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Default record if filed</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Payment Types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0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chronx_getDeposit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deposit_id_hex: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Option&lt;RpcDepositRecord&gt;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Y Deposit record</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chronx_getActiveDeposits</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wallet: String</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Vec&lt;RpcDepositRecord&gt;</w:t>
            </w:r>
          </w:p>
        </w:tc>
        <w:tc>
          <w:tcPr>
            <w:tcW w:type="dxa" w:w="2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Active deposits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chronx_getInvoice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invoice_id_hex: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Option&lt;RpcInvoiceRecord&gt;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I Invoice</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chronx_getCreditAuthorization</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credit_id_hex: String</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Option&lt;RpcCreditRecord&gt;</w:t>
            </w:r>
          </w:p>
        </w:tc>
        <w:tc>
          <w:tcPr>
            <w:tcW w:type="dxa" w:w="2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TYPE C Credit record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chronx_getConditionalPayment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type_v_id_hex: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Option&lt;RpcConditionalRecord&gt;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V/S Conditional record</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Identity, Badges, and Governance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0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chronx_getVerifiedIdentity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wallet_b58: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Option&lt;RpcIdentityRecord&gt;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identity</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chronx_getKXGCCapacity</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JSON</w:t>
            </w:r>
          </w:p>
        </w:tc>
        <w:tc>
          <w:tcPr>
            <w:tcW w:type="dxa" w:w="2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Bond balance, obligations, capacity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chronx_getAuthorityGrants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wallet_b58: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A grants for a wallet</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chronx_getPromiseAxioms</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RpcPromiseAxioms</w:t>
            </w:r>
          </w:p>
        </w:tc>
        <w:tc>
          <w:tcPr>
            <w:tcW w:type="dxa" w:w="2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All 13 axioms</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Example Request</w:t>
      </w:r>
    </w:p>
    <w:p>
      <w:pPr>
        <w:spacing w:before="100" w:after="100"/>
        <w:jc w:val="both"/>
      </w:pPr>
      <w:r>
        <w:rPr>
          <w:rFonts w:ascii="Arial" w:cs="Arial" w:eastAsia="Arial" w:hAnsi="Arial"/>
          <w:sz w:val="22"/>
          <w:szCs w:val="22"/>
        </w:rPr>
        <w:t xml:space="preserve">{ "jsonrpc": "2.0", "method": "chronx_getBalance", "params": ["BqjGDbhzLJJgzpVywRxug4wTa2Qqtwipc1hkcLLJsWzF"], "id": 1 }</w:t>
      </w:r>
    </w:p>
    <w:p>
      <w:r>
        <w:br w:type="page"/>
      </w:r>
    </w:p>
    <w:p>
      <w:pPr>
        <w:pStyle w:val="Heading1"/>
        <w:spacing w:before="480" w:after="240"/>
      </w:pPr>
      <w:r>
        <w:rPr>
          <w:rFonts w:ascii="Arial" w:cs="Arial" w:eastAsia="Arial" w:hAnsi="Arial"/>
          <w:b/>
          <w:bCs/>
          <w:color w:val="1F4E79"/>
          <w:sz w:val="34"/>
          <w:szCs w:val="34"/>
        </w:rPr>
        <w:t xml:space="preserve">Appendix J — The Axioms (Complete)</w:t>
      </w:r>
    </w:p>
    <w:p>
      <w:pPr>
        <w:spacing w:before="100" w:after="100"/>
        <w:jc w:val="both"/>
      </w:pPr>
      <w:r>
        <w:rPr>
          <w:rFonts w:ascii="Arial" w:cs="Arial" w:eastAsia="Arial" w:hAnsi="Arial"/>
          <w:sz w:val="22"/>
          <w:szCs w:val="22"/>
        </w:rPr>
        <w:t xml:space="preserve">Encoded at Genesis Zero. Immutable. final_genesis: true. Cannot be altered by any person, governance body, software update, or court order.</w:t>
      </w:r>
    </w:p>
    <w:p>
      <w:pPr>
        <w:spacing w:before="80" w:after="80"/>
      </w:pPr>
      <w:r>
        <w:t xml:space="preserve"/>
      </w:r>
    </w:p>
    <w:p>
      <w:pPr>
        <w:spacing w:before="100" w:after="100"/>
        <w:jc w:val="both"/>
      </w:pPr>
      <w:r>
        <w:rPr>
          <w:rFonts w:ascii="Arial" w:cs="Arial" w:eastAsia="Arial" w:hAnsi="Arial"/>
          <w:b/>
          <w:bCs/>
          <w:sz w:val="22"/>
          <w:szCs w:val="22"/>
        </w:rPr>
        <w:t xml:space="preserve">Axiom I — Intent</w:t>
      </w:r>
    </w:p>
    <w:p>
      <w:pPr>
        <w:spacing w:before="100" w:after="100"/>
        <w:jc w:val="both"/>
      </w:pPr>
      <w:r>
        <w:rPr>
          <w:rFonts w:ascii="Arial" w:cs="Arial" w:eastAsia="Arial" w:hAnsi="Arial"/>
          <w:sz w:val="22"/>
          <w:szCs w:val="22"/>
        </w:rPr>
        <w:t xml:space="preserve">The grantor's intent governs.</w:t>
      </w:r>
    </w:p>
    <w:p>
      <w:pPr>
        <w:spacing w:before="80" w:after="80"/>
      </w:pPr>
      <w:r>
        <w:t xml:space="preserve"/>
      </w:r>
    </w:p>
    <w:p>
      <w:pPr>
        <w:spacing w:before="100" w:after="100"/>
        <w:jc w:val="both"/>
      </w:pPr>
      <w:r>
        <w:rPr>
          <w:rFonts w:ascii="Arial" w:cs="Arial" w:eastAsia="Arial" w:hAnsi="Arial"/>
          <w:b/>
          <w:bCs/>
          <w:sz w:val="22"/>
          <w:szCs w:val="22"/>
        </w:rPr>
        <w:t xml:space="preserve">Axiom II — Safety</w:t>
      </w:r>
    </w:p>
    <w:p>
      <w:pPr>
        <w:spacing w:before="100" w:after="100"/>
        <w:jc w:val="both"/>
      </w:pPr>
      <w:r>
        <w:rPr>
          <w:rFonts w:ascii="Arial" w:cs="Arial" w:eastAsia="Arial" w:hAnsi="Arial"/>
          <w:sz w:val="22"/>
          <w:szCs w:val="22"/>
        </w:rPr>
        <w:t xml:space="preserve">Promised funds are never lost.</w:t>
      </w:r>
    </w:p>
    <w:p>
      <w:pPr>
        <w:spacing w:before="80" w:after="80"/>
      </w:pPr>
      <w:r>
        <w:t xml:space="preserve"/>
      </w:r>
    </w:p>
    <w:p>
      <w:pPr>
        <w:spacing w:before="100" w:after="100"/>
        <w:jc w:val="both"/>
      </w:pPr>
      <w:r>
        <w:rPr>
          <w:rFonts w:ascii="Arial" w:cs="Arial" w:eastAsia="Arial" w:hAnsi="Arial"/>
          <w:b/>
          <w:bCs/>
          <w:sz w:val="22"/>
          <w:szCs w:val="22"/>
        </w:rPr>
        <w:t xml:space="preserve">Axiom III — Delivery</w:t>
      </w:r>
    </w:p>
    <w:p>
      <w:pPr>
        <w:spacing w:before="100" w:after="100"/>
        <w:jc w:val="both"/>
      </w:pPr>
      <w:r>
        <w:rPr>
          <w:rFonts w:ascii="Arial" w:cs="Arial" w:eastAsia="Arial" w:hAnsi="Arial"/>
          <w:sz w:val="22"/>
          <w:szCs w:val="22"/>
        </w:rPr>
        <w:t xml:space="preserve">The protocol delivers.</w:t>
      </w:r>
    </w:p>
    <w:p>
      <w:pPr>
        <w:spacing w:before="80" w:after="80"/>
      </w:pPr>
      <w:r>
        <w:t xml:space="preserve"/>
      </w:r>
    </w:p>
    <w:p>
      <w:pPr>
        <w:spacing w:before="100" w:after="100"/>
        <w:jc w:val="both"/>
      </w:pPr>
      <w:r>
        <w:rPr>
          <w:rFonts w:ascii="Arial" w:cs="Arial" w:eastAsia="Arial" w:hAnsi="Arial"/>
          <w:b/>
          <w:bCs/>
          <w:sz w:val="22"/>
          <w:szCs w:val="22"/>
        </w:rPr>
        <w:t xml:space="preserve">Axiom IV — Consent</w:t>
      </w:r>
    </w:p>
    <w:p>
      <w:pPr>
        <w:spacing w:before="100" w:after="100"/>
        <w:jc w:val="both"/>
      </w:pPr>
      <w:r>
        <w:rPr>
          <w:rFonts w:ascii="Arial" w:cs="Arial" w:eastAsia="Arial" w:hAnsi="Arial"/>
          <w:sz w:val="22"/>
          <w:szCs w:val="22"/>
        </w:rPr>
        <w:t xml:space="preserve">No obligation exists without the explicit consent of both parties. Verification confirms identity and eligibility. It does not guarantee performance.</w:t>
      </w:r>
    </w:p>
    <w:p>
      <w:pPr>
        <w:spacing w:before="80" w:after="80"/>
      </w:pPr>
      <w:r>
        <w:t xml:space="preserve"/>
      </w:r>
    </w:p>
    <w:p>
      <w:pPr>
        <w:spacing w:before="100" w:after="100"/>
        <w:jc w:val="both"/>
      </w:pPr>
      <w:r>
        <w:rPr>
          <w:rFonts w:ascii="Arial" w:cs="Arial" w:eastAsia="Arial" w:hAnsi="Arial"/>
          <w:b/>
          <w:bCs/>
          <w:sz w:val="22"/>
          <w:szCs w:val="22"/>
        </w:rPr>
        <w:t xml:space="preserve">Axiom V — Jurisdiction</w:t>
      </w:r>
    </w:p>
    <w:p>
      <w:pPr>
        <w:spacing w:before="100" w:after="100"/>
        <w:jc w:val="both"/>
      </w:pPr>
      <w:r>
        <w:rPr>
          <w:rFonts w:ascii="Arial" w:cs="Arial" w:eastAsia="Arial" w:hAnsi="Arial"/>
          <w:sz w:val="22"/>
          <w:szCs w:val="22"/>
        </w:rPr>
        <w:t xml:space="preserve">External agreements may govern additional terms. Collection remains between the parties and the law.</w:t>
      </w:r>
    </w:p>
    <w:p>
      <w:pPr>
        <w:spacing w:before="80" w:after="80"/>
      </w:pPr>
      <w:r>
        <w:t xml:space="preserve"/>
      </w:r>
    </w:p>
    <w:p>
      <w:pPr>
        <w:spacing w:before="100" w:after="100"/>
        <w:jc w:val="both"/>
      </w:pPr>
      <w:r>
        <w:rPr>
          <w:rFonts w:ascii="Arial" w:cs="Arial" w:eastAsia="Arial" w:hAnsi="Arial"/>
          <w:b/>
          <w:bCs/>
          <w:sz w:val="22"/>
          <w:szCs w:val="22"/>
        </w:rPr>
        <w:t xml:space="preserve">Axiom VI — Conditions</w:t>
      </w:r>
    </w:p>
    <w:p>
      <w:pPr>
        <w:spacing w:before="100" w:after="100"/>
        <w:jc w:val="both"/>
      </w:pPr>
      <w:r>
        <w:rPr>
          <w:rFonts w:ascii="Arial" w:cs="Arial" w:eastAsia="Arial" w:hAnsi="Arial"/>
          <w:sz w:val="22"/>
          <w:szCs w:val="22"/>
        </w:rPr>
        <w:t xml:space="preserve">Any promise or agreement may encode a condition which triggers an obligation. The obligor records fulfillment. The protocol acts on that record. Conditions unmet at expiry return funds to the obligor.</w:t>
      </w:r>
    </w:p>
    <w:p>
      <w:pPr>
        <w:spacing w:before="80" w:after="80"/>
      </w:pPr>
      <w:r>
        <w:t xml:space="preserve"/>
      </w:r>
    </w:p>
    <w:p>
      <w:pPr>
        <w:spacing w:before="100" w:after="100"/>
        <w:jc w:val="both"/>
      </w:pPr>
      <w:r>
        <w:rPr>
          <w:rFonts w:ascii="Arial" w:cs="Arial" w:eastAsia="Arial" w:hAnsi="Arial"/>
          <w:b/>
          <w:bCs/>
          <w:sz w:val="22"/>
          <w:szCs w:val="22"/>
        </w:rPr>
        <w:t xml:space="preserve">Axiom VII — Mandate</w:t>
      </w:r>
    </w:p>
    <w:p>
      <w:pPr>
        <w:spacing w:before="100" w:after="100"/>
        <w:jc w:val="both"/>
      </w:pPr>
      <w:r>
        <w:rPr>
          <w:rFonts w:ascii="Arial" w:cs="Arial" w:eastAsia="Arial" w:hAnsi="Arial"/>
          <w:sz w:val="22"/>
          <w:szCs w:val="22"/>
        </w:rPr>
        <w:t xml:space="preserve">The grantor's intent, once encoded, is carried forward by autonomous software. Algorithms may evolve. The intent does not. An autonomous agent has no authority beyond that mandate.</w:t>
      </w:r>
    </w:p>
    <w:p>
      <w:pPr>
        <w:spacing w:before="80" w:after="80"/>
      </w:pPr>
      <w:r>
        <w:t xml:space="preserve"/>
      </w:r>
    </w:p>
    <w:p>
      <w:pPr>
        <w:spacing w:before="100" w:after="100"/>
        <w:jc w:val="both"/>
      </w:pPr>
      <w:r>
        <w:rPr>
          <w:rFonts w:ascii="Arial" w:cs="Arial" w:eastAsia="Arial" w:hAnsi="Arial"/>
          <w:b/>
          <w:bCs/>
          <w:sz w:val="22"/>
          <w:szCs w:val="22"/>
        </w:rPr>
        <w:t xml:space="preserve">Axiom VIII — Transparency</w:t>
      </w:r>
    </w:p>
    <w:p>
      <w:pPr>
        <w:spacing w:before="100" w:after="100"/>
        <w:jc w:val="both"/>
      </w:pPr>
      <w:r>
        <w:rPr>
          <w:rFonts w:ascii="Arial" w:cs="Arial" w:eastAsia="Arial" w:hAnsi="Arial"/>
          <w:sz w:val="22"/>
          <w:szCs w:val="22"/>
        </w:rPr>
        <w:t xml:space="preserve">An AI agent must commit to a permanent public record before acting. Every decision is publicly verifiable. There are no private actions.</w:t>
      </w:r>
    </w:p>
    <w:p>
      <w:pPr>
        <w:spacing w:before="80" w:after="80"/>
      </w:pPr>
      <w:r>
        <w:t xml:space="preserve"/>
      </w:r>
    </w:p>
    <w:p>
      <w:pPr>
        <w:spacing w:before="100" w:after="100"/>
        <w:jc w:val="both"/>
      </w:pPr>
      <w:r>
        <w:rPr>
          <w:rFonts w:ascii="Arial" w:cs="Arial" w:eastAsia="Arial" w:hAnsi="Arial"/>
          <w:b/>
          <w:bCs/>
          <w:sz w:val="22"/>
          <w:szCs w:val="22"/>
        </w:rPr>
        <w:t xml:space="preserve">Axiom IX — Risk</w:t>
      </w:r>
    </w:p>
    <w:p>
      <w:pPr>
        <w:spacing w:before="100" w:after="100"/>
        <w:jc w:val="both"/>
      </w:pPr>
      <w:r>
        <w:rPr>
          <w:rFonts w:ascii="Arial" w:cs="Arial" w:eastAsia="Arial" w:hAnsi="Arial"/>
          <w:sz w:val="22"/>
          <w:szCs w:val="22"/>
        </w:rPr>
        <w:t xml:space="preserve">The grantor acknowledges, and the AI agent affirms, that AI management of any investment tranche may result in gains or losses up to and including total loss.</w:t>
      </w:r>
    </w:p>
    <w:p>
      <w:pPr>
        <w:spacing w:before="80" w:after="80"/>
      </w:pPr>
      <w:r>
        <w:t xml:space="preserve"/>
      </w:r>
    </w:p>
    <w:p>
      <w:pPr>
        <w:spacing w:before="100" w:after="100"/>
        <w:jc w:val="both"/>
      </w:pPr>
      <w:r>
        <w:rPr>
          <w:rFonts w:ascii="Arial" w:cs="Arial" w:eastAsia="Arial" w:hAnsi="Arial"/>
          <w:b/>
          <w:bCs/>
          <w:sz w:val="22"/>
          <w:szCs w:val="22"/>
        </w:rPr>
        <w:t xml:space="preserve">Axiom X — Separation</w:t>
      </w:r>
    </w:p>
    <w:p>
      <w:pPr>
        <w:spacing w:before="100" w:after="100"/>
        <w:jc w:val="both"/>
      </w:pPr>
      <w:r>
        <w:rPr>
          <w:rFonts w:ascii="Arial" w:cs="Arial" w:eastAsia="Arial" w:hAnsi="Arial"/>
          <w:sz w:val="22"/>
          <w:szCs w:val="22"/>
        </w:rPr>
        <w:t xml:space="preserve">The agent that decides does not hold funds. The agent that holds does not decide.</w:t>
      </w:r>
    </w:p>
    <w:p>
      <w:pPr>
        <w:spacing w:before="80" w:after="80"/>
      </w:pPr>
      <w:r>
        <w:t xml:space="preserve"/>
      </w:r>
    </w:p>
    <w:p>
      <w:pPr>
        <w:spacing w:before="100" w:after="100"/>
        <w:jc w:val="both"/>
      </w:pPr>
      <w:r>
        <w:rPr>
          <w:rFonts w:ascii="Arial" w:cs="Arial" w:eastAsia="Arial" w:hAnsi="Arial"/>
          <w:b/>
          <w:bCs/>
          <w:sz w:val="22"/>
          <w:szCs w:val="22"/>
        </w:rPr>
        <w:t xml:space="preserve">Axiom XI — Coordination</w:t>
      </w:r>
    </w:p>
    <w:p>
      <w:pPr>
        <w:spacing w:before="100" w:after="100"/>
        <w:jc w:val="both"/>
      </w:pPr>
      <w:r>
        <w:rPr>
          <w:rFonts w:ascii="Arial" w:cs="Arial" w:eastAsia="Arial" w:hAnsi="Arial"/>
          <w:sz w:val="22"/>
          <w:szCs w:val="22"/>
        </w:rPr>
        <w:t xml:space="preserve">An agent is not the only actor. Before acting, an agent must account for the aggregate effect of similarly situated agents acting on similar instructions.</w:t>
      </w:r>
    </w:p>
    <w:p>
      <w:pPr>
        <w:spacing w:before="80" w:after="80"/>
      </w:pPr>
      <w:r>
        <w:t xml:space="preserve"/>
      </w:r>
    </w:p>
    <w:p>
      <w:pPr>
        <w:spacing w:before="100" w:after="100"/>
        <w:jc w:val="both"/>
      </w:pPr>
      <w:r>
        <w:rPr>
          <w:rFonts w:ascii="Arial" w:cs="Arial" w:eastAsia="Arial" w:hAnsi="Arial"/>
          <w:b/>
          <w:bCs/>
          <w:sz w:val="22"/>
          <w:szCs w:val="22"/>
        </w:rPr>
        <w:t xml:space="preserve">Axiom XII — The Law</w:t>
      </w:r>
    </w:p>
    <w:p>
      <w:pPr>
        <w:spacing w:before="100" w:after="100"/>
        <w:jc w:val="both"/>
      </w:pPr>
      <w:r>
        <w:rPr>
          <w:rFonts w:ascii="Arial" w:cs="Arial" w:eastAsia="Arial" w:hAnsi="Arial"/>
          <w:sz w:val="22"/>
          <w:szCs w:val="22"/>
        </w:rPr>
        <w:t xml:space="preserve">All agent actions, mandates, and their fulfillment remain subject to the laws of applicable jurisdictions.</w:t>
      </w:r>
    </w:p>
    <w:p>
      <w:pPr>
        <w:spacing w:before="80" w:after="80"/>
      </w:pPr>
      <w:r>
        <w:t xml:space="preserve"/>
      </w:r>
    </w:p>
    <w:p>
      <w:pPr>
        <w:spacing w:before="100" w:after="100"/>
        <w:jc w:val="both"/>
      </w:pPr>
      <w:r>
        <w:rPr>
          <w:rFonts w:ascii="Arial" w:cs="Arial" w:eastAsia="Arial" w:hAnsi="Arial"/>
          <w:b/>
          <w:bCs/>
          <w:sz w:val="22"/>
          <w:szCs w:val="22"/>
        </w:rPr>
        <w:t xml:space="preserve">Axiom XIII — Supremacy of Law</w:t>
      </w:r>
    </w:p>
    <w:p>
      <w:pPr>
        <w:spacing w:before="100" w:after="100"/>
        <w:jc w:val="both"/>
      </w:pPr>
      <w:r>
        <w:rPr>
          <w:rFonts w:ascii="Arial" w:cs="Arial" w:eastAsia="Arial" w:hAnsi="Arial"/>
          <w:sz w:val="22"/>
          <w:szCs w:val="22"/>
        </w:rPr>
        <w:t xml:space="preserve">All axioms remain subject to applicable law.</w:t>
      </w:r>
    </w:p>
    <w:p>
      <w:pPr>
        <w:spacing w:before="80" w:after="80"/>
      </w:pPr>
      <w:r>
        <w:t xml:space="preserve"/>
      </w:r>
    </w:p>
    <w:p>
      <w:pPr>
        <w:spacing w:before="100" w:after="100"/>
        <w:jc w:val="both"/>
      </w:pPr>
      <w:r>
        <w:rPr>
          <w:rFonts w:ascii="Arial" w:cs="Arial" w:eastAsia="Arial" w:hAnsi="Arial"/>
          <w:b/>
          <w:bCs/>
          <w:sz w:val="22"/>
          <w:szCs w:val="22"/>
        </w:rPr>
        <w:t xml:space="preserve">What final_genesis: true means</w:t>
      </w:r>
    </w:p>
    <w:p>
      <w:pPr>
        <w:spacing w:before="100" w:after="100"/>
        <w:jc w:val="both"/>
      </w:pPr>
      <w:r>
        <w:rPr>
          <w:rFonts w:ascii="Arial" w:cs="Arial" w:eastAsia="Arial" w:hAnsi="Arial"/>
          <w:sz w:val="22"/>
          <w:szCs w:val="22"/>
        </w:rPr>
        <w:t xml:space="preserve">The genesis-params.json contains final_genesis: true and genesis_lock: true. The engine rejects any GenesisReset action with FINAL_GENESIS_LOCKED. Genesis Zero is the first, last, and only genesis of the ChronX Protocol. The genesis date is March 24, 2026. There will be no subsequent genesis.</w:t>
      </w:r>
    </w:p>
    <w:p>
      <w:r>
        <w:br w:type="page"/>
      </w:r>
    </w:p>
    <w:p>
      <w:pPr>
        <w:pStyle w:val="Heading1"/>
        <w:spacing w:before="480" w:after="240"/>
      </w:pPr>
      <w:r>
        <w:rPr>
          <w:rFonts w:ascii="Arial" w:cs="Arial" w:eastAsia="Arial" w:hAnsi="Arial"/>
          <w:b/>
          <w:bCs/>
          <w:color w:val="1F4E79"/>
          <w:sz w:val="34"/>
          <w:szCs w:val="34"/>
        </w:rPr>
        <w:t xml:space="preserve">Appendix K — CPNX Badge System</w:t>
      </w:r>
    </w:p>
    <w:p>
      <w:pPr>
        <w:spacing w:before="100" w:after="100"/>
        <w:jc w:val="both"/>
      </w:pPr>
      <w:r>
        <w:rPr>
          <w:rFonts w:ascii="Arial" w:cs="Arial" w:eastAsia="Arial" w:hAnsi="Arial"/>
          <w:sz w:val="22"/>
          <w:szCs w:val="22"/>
        </w:rPr>
        <w:t xml:space="preserve">Badges are recorded on the DAG as TYPE L IdentityVerified entries. They gate access to protocol features and establish institutional credibility.</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K.1 Badge Catalog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20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Grants Access To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Issued By</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 Expiry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VERIFIED_IDENTITY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trust signal. No protocol gates.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CPNX</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Permanent</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FOUNDING_TEAM</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General trust signal.</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CPNX</w:t>
            </w:r>
          </w:p>
        </w:tc>
        <w:tc>
          <w:tcPr>
            <w:tcW w:type="dxa" w:w="2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Permanent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P-R pools, TYPE A authority grants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CPNX</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days (renewable)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INSURANCE</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TYPE P-R pools, TYPE A grants, KXGC Tier 1/2</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CPNX</w:t>
            </w:r>
          </w:p>
        </w:tc>
        <w:tc>
          <w:tcPr>
            <w:tcW w:type="dxa" w:w="2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90 days (renewable)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P-R pools, TYPE A authority grants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CPNX</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days (renewable)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KXGC_TIER1</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Write guarantee instruments as KXGC Tier 1 Name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KXGC via CPNX</w:t>
            </w:r>
          </w:p>
        </w:tc>
        <w:tc>
          <w:tcPr>
            <w:tcW w:type="dxa" w:w="2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90 days (renewable)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KXGC_TIER2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policies as KXGC Tier 2 retail operator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via CPNX</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days (renewable)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NODE_OPERATOR</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Community trust signal. No protocol gates.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CPNX</w:t>
            </w:r>
          </w:p>
        </w:tc>
        <w:tc>
          <w:tcPr>
            <w:tcW w:type="dxa" w:w="2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90 days (renewable)</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K.2 Badge Lifecycle</w:t>
      </w:r>
    </w:p>
    <w:p>
      <w:pPr>
        <w:spacing w:before="100" w:after="100"/>
        <w:jc w:val="both"/>
      </w:pPr>
      <w:r>
        <w:rPr>
          <w:rFonts w:ascii="Arial" w:cs="Arial" w:eastAsia="Arial" w:hAnsi="Arial"/>
          <w:sz w:val="22"/>
          <w:szCs w:val="22"/>
        </w:rPr>
        <w:t xml:space="preserve">Application: Submit at cpnx.com. CPNX reviews independently. CPNX submits TYPE L IdentityVerified entry to DAG using CPNX bond wallet. Badge queryable via RPC.</w:t>
      </w:r>
    </w:p>
    <w:p>
      <w:pPr>
        <w:spacing w:before="80" w:after="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Revocation Type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voluntary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record. No blackout.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administrative</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Clean record. No blackout.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 blackout period enforced. All CPNX checkmarks null immediately.</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impersonation</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Badge blackout period enforced.</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K.3 Developer Integration</w:t>
      </w:r>
    </w:p>
    <w:p>
      <w:pPr>
        <w:spacing w:before="100" w:after="100"/>
        <w:jc w:val="both"/>
      </w:pPr>
      <w:r>
        <w:rPr>
          <w:rFonts w:ascii="Arial" w:cs="Arial" w:eastAsia="Arial" w:hAnsi="Arial"/>
          <w:sz w:val="22"/>
          <w:szCs w:val="22"/>
        </w:rPr>
        <w:t xml:space="preserve">Public API: GET https://api.chronx.io/wallet/badges/:wallet_address. Returns: [{badge_type, color, issued_by, expires_at}]. Expired badges automatically filtered.</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K.4 CPNX Bond and Accountability</w:t>
      </w:r>
    </w:p>
    <w:p>
      <w:pPr>
        <w:spacing w:before="100" w:after="100"/>
        <w:jc w:val="both"/>
      </w:pPr>
      <w:r>
        <w:rPr>
          <w:rFonts w:ascii="Arial" w:cs="Arial" w:eastAsia="Arial" w:hAnsi="Arial"/>
          <w:sz w:val="22"/>
          <w:szCs w:val="22"/>
        </w:rPr>
        <w:t xml:space="preserve">CPNX holds 1,000,000 KX bond (wallet: 5g4Fcn8A9BigH8vvyNvVvTGksC6PVWTsQnvT8adRGfFp). This reflects identity risk, not financial risk. CPNX never holds or transfers participant funds. CPNX decides independently which verifications to perform. The Foundation governs only whether CPNX is admitted or removed from the registry. Removal causes all CPNX-issued checkmarks to become null immediately.</w:t>
      </w:r>
    </w:p>
    <w:p>
      <w:r>
        <w:br w:type="page"/>
      </w:r>
    </w:p>
    <w:p>
      <w:pPr>
        <w:pStyle w:val="Heading1"/>
        <w:spacing w:before="480" w:after="240"/>
      </w:pPr>
      <w:r>
        <w:rPr>
          <w:rFonts w:ascii="Arial" w:cs="Arial" w:eastAsia="Arial" w:hAnsi="Arial"/>
          <w:b/>
          <w:bCs/>
          <w:color w:val="1F4E79"/>
          <w:sz w:val="34"/>
          <w:szCs w:val="34"/>
        </w:rPr>
        <w:t xml:space="preserve">Appendix L — HedgeKX Complete Reference</w:t>
      </w:r>
    </w:p>
    <w:p>
      <w:pPr>
        <w:spacing w:before="100" w:after="100"/>
        <w:jc w:val="both"/>
      </w:pPr>
      <w:r>
        <w:rPr>
          <w:rFonts w:ascii="Arial" w:cs="Arial" w:eastAsia="Arial" w:hAnsi="Arial"/>
          <w:sz w:val="22"/>
          <w:szCs w:val="22"/>
        </w:rPr>
        <w:t xml:space="preserve">HedgeKX is an Essential Protocol Partner and forward exchange facilitator. This appendix is the operational technical reference for HedgeKX participants, instrument designers, and developers. For the complete risk reference including attack vectors, settlement mechanics, and USDC holder risk assessment, see Appendix O.</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L.1 Mandate</w:t>
      </w:r>
    </w:p>
    <w:p>
      <w:pPr>
        <w:spacing w:before="100" w:after="100"/>
        <w:jc w:val="both"/>
      </w:pPr>
      <w:r>
        <w:rPr>
          <w:rFonts w:ascii="Arial" w:cs="Arial" w:eastAsia="Arial" w:hAnsi="Arial"/>
          <w:sz w:val="22"/>
          <w:szCs w:val="22"/>
        </w:rPr>
        <w:t xml:space="preserve">HedgeKX does exactly three things in its current phase:</w:t>
      </w:r>
    </w:p>
    <w:p>
      <w:pPr>
        <w:pStyle w:val="ListParagraph"/>
        <w:numPr>
          <w:ilvl w:val="0"/>
          <w:numId w:val="2"/>
        </w:numPr>
        <w:spacing w:before="60" w:after="60"/>
      </w:pPr>
      <w:r>
        <w:rPr>
          <w:rFonts w:ascii="Arial" w:cs="Arial" w:eastAsia="Arial" w:hAnsi="Arial"/>
          <w:sz w:val="22"/>
          <w:szCs w:val="22"/>
        </w:rPr>
        <w:t xml:space="preserve">Operates a matching platform where Exchange Buyers and Currency B Committers find each other</w:t>
      </w:r>
    </w:p>
    <w:p>
      <w:pPr>
        <w:pStyle w:val="ListParagraph"/>
        <w:numPr>
          <w:ilvl w:val="0"/>
          <w:numId w:val="2"/>
        </w:numPr>
        <w:spacing w:before="60" w:after="60"/>
      </w:pPr>
      <w:r>
        <w:rPr>
          <w:rFonts w:ascii="Arial" w:cs="Arial" w:eastAsia="Arial" w:hAnsi="Arial"/>
          <w:sz w:val="22"/>
          <w:szCs w:val="22"/>
        </w:rPr>
        <w:t xml:space="preserve">Maintains standard TYPE S hedge instrument templates (governance-approved)</w:t>
      </w:r>
    </w:p>
    <w:p>
      <w:pPr>
        <w:pStyle w:val="ListParagraph"/>
        <w:numPr>
          <w:ilvl w:val="0"/>
          <w:numId w:val="2"/>
        </w:numPr>
        <w:spacing w:before="60" w:after="60"/>
      </w:pPr>
      <w:r>
        <w:rPr>
          <w:rFonts w:ascii="Arial" w:cs="Arial" w:eastAsia="Arial" w:hAnsi="Arial"/>
          <w:sz w:val="22"/>
          <w:szCs w:val="22"/>
        </w:rPr>
        <w:t xml:space="preserve">Attests oracle trigger conditions: reads XChan price data and confirms whether a hedge threshold has been breached</w:t>
      </w:r>
    </w:p>
    <w:p>
      <w:pPr>
        <w:spacing w:before="80" w:after="80"/>
      </w:pPr>
      <w:r>
        <w:t xml:space="preserve"/>
      </w:r>
    </w:p>
    <w:p>
      <w:pPr>
        <w:spacing w:before="100" w:after="100"/>
        <w:jc w:val="both"/>
      </w:pPr>
      <w:r>
        <w:rPr>
          <w:rFonts w:ascii="Arial" w:cs="Arial" w:eastAsia="Arial" w:hAnsi="Arial"/>
          <w:sz w:val="22"/>
          <w:szCs w:val="22"/>
        </w:rPr>
        <w:t xml:space="preserve">HedgeKX does not hold funds. Does not price instruments. Does not take positions in normal operation. Does not manage pools. Does not guarantee outcomes. Does not make any decision about any instrument. Every hedge instrument is a bilateral contract between two wallets. HedgeKX is the venue and the settlement coordinator, not the counterparty.</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L.2 Current Governance Parameters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8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hedgekx_max_daily_exposure_usd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daily exposure across all instruments. Resets midnight UTC.</w:t>
            </w:r>
          </w:p>
        </w:tc>
      </w:tr>
      <w:tr>
        <w:tc>
          <w:tcPr>
            <w:tcW w:type="dxa" w:w="3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hedgekx_max_instrument_duration_seconds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86,400</w:t>
            </w:r>
          </w:p>
        </w:tc>
        <w:tc>
          <w:tcPr>
            <w:tcW w:type="dxa" w:w="3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24 hours maximum. Governance expansion planned.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hedgekx_oracle_trigger_enabled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oracle execution. LIVE. Sweep runs every 60 seconds.</w:t>
            </w:r>
          </w:p>
        </w:tc>
      </w:tr>
      <w:tr>
        <w:tc>
          <w:tcPr>
            <w:tcW w:type="dxa" w:w="3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hedgekx_compound_condition_enabled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false</w:t>
            </w:r>
          </w:p>
        </w:tc>
        <w:tc>
          <w:tcPr>
            <w:tcW w:type="dxa" w:w="3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CompoundAND and LinkedSpring. PLANNED.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hedgekx_third_party_licensing_enabled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Third-party platform licensing. Future phase.</w:t>
            </w:r>
          </w:p>
        </w:tc>
      </w:tr>
      <w:tr>
        <w:tc>
          <w:tcPr>
            <w:tcW w:type="dxa" w:w="3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savings_max_annual_yield_pct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5.0</w:t>
            </w:r>
          </w:p>
        </w:tc>
        <w:tc>
          <w:tcPr>
            <w:tcW w:type="dxa" w:w="3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Governance ceiling on annual yield rate.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savings_hedgekx_yield_enabled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YubiHSM operational.</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L.3 Standard Overnight Hedge Instrument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condition_type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SingleAttestation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HedgeKX oracle attestor confirms price movement. OracleTrigger planned.</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valid_until</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now + 86,400</w:t>
            </w:r>
          </w:p>
        </w:tc>
        <w:tc>
          <w:tcPr>
            <w:tcW w:type="dxa" w:w="4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24 hours from creation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oracle_trigger_threshold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 0.92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Fires if KX/USD drops to 92% of creation price (8% drop)</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success_payment_wallet</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Hedger's wallet</w:t>
            </w:r>
          </w:p>
        </w:tc>
        <w:tc>
          <w:tcPr>
            <w:tcW w:type="dxa" w:w="4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Receives premium here on clean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success_payment_chronos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 amount]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Transferred to hedger automatically on clean expiry</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fallback</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Return</w:t>
            </w:r>
          </w:p>
        </w:tc>
        <w:tc>
          <w:tcPr>
            <w:tcW w:type="dxa" w:w="4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Remaining KX returns to hedger if condition never fires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escalation_wallet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KXGC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insurance pool hedges, KXGC as backstop authority</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L.4 The Hedge Tower (Insurance Use Case)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400"/>
        <w:gridCol w:w="1200"/>
        <w:gridCol w:w="14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Premium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 Type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0 (Primary)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 KX depreciation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 (rolling)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today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SingleAttestation (OracleTrigger planned)</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Layer 1 (Excess)</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8–20% depreciation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 year</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~12%/year</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Planned</w:t>
            </w:r>
          </w:p>
        </w:tc>
        <w:tc>
          <w:tcPr>
            <w:tcW w:type="dxa" w:w="1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OracleTrigger + LinkedSpring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 (Catastrophe)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depreciation AND claim fires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Multi-year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Negotiated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CompoundAND (OracleTrigger + LinkedSpring)</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L.5 PAY_AS Long-Horizon Hedging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7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hedge instrument IDs linked at creation. Policy cannot activate without these instruments being Active.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Short-term PAY_AS instruments where hedger is identified at creation</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Dynamic</w:t>
            </w:r>
          </w:p>
        </w:tc>
        <w:tc>
          <w:tcPr>
            <w:tcW w:type="dxa" w:w="4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MISAI-managed pool backstop. Pool aggregates risk across many promises. Hedgers enter/exit on 30-day windows. MISAI sources replacements as hedges expire.</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Long-horizon PAY_AS promises (5–20 years). Risk pooled across many instruments.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Grantor accepts KX/USD conversion risk at maturity. Lock activates immediately.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Grantors who believe KX will appreciate. No hedge premium cost.</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L.6 HedgeKX Evolution Roadmap</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30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(Now)</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Overnight hedges only. $250 daily cap. Founding developer as test participant. SingleAttestation condition type.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Genesis Zero</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Phase 2</w:t>
            </w:r>
          </w:p>
        </w:tc>
        <w:tc>
          <w:tcPr>
            <w:tcW w:type="dxa" w:w="5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Duration expansion to 30 days. $2,500 daily cap. OracleTrigger condition type live. Market participants begin posting offers.</w:t>
            </w:r>
          </w:p>
        </w:tc>
        <w:tc>
          <w:tcPr>
            <w:tcW w:type="dxa" w:w="3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Governance vote after OracleTrigger build session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Excess-of-loss layer instruments. CompoundAND and LinkedSpring live. Full hedge tower operational. Institutional hedgers.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Governance vote after compound condition build session</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Phase 4</w:t>
            </w:r>
          </w:p>
        </w:tc>
        <w:tc>
          <w:tcPr>
            <w:tcW w:type="dxa" w:w="5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Third-party hedge platform licensing. HedgeKX becomes oracle operator and standard-setter. Multiple competing order books.</w:t>
            </w:r>
          </w:p>
        </w:tc>
        <w:tc>
          <w:tcPr>
            <w:tcW w:type="dxa" w:w="3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Governance vote when market volume justifies</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L.7 Liability and Disclosure</w:t>
      </w:r>
    </w:p>
    <w:p>
      <w:pPr>
        <w:spacing w:before="100" w:after="100"/>
        <w:jc w:val="both"/>
      </w:pPr>
      <w:r>
        <w:rPr>
          <w:rFonts w:ascii="Arial" w:cs="Arial" w:eastAsia="Arial" w:hAnsi="Arial"/>
          <w:sz w:val="22"/>
          <w:szCs w:val="22"/>
        </w:rPr>
        <w:t xml:space="preserve">Every hedge instrument participant signs a grantor_axiom_consent_hash before instrument creation. This hash proves the participant received and acknowledged the following: this instrument will pay out if the specified condition is met — a payout is the instrument working as designed; loss on a correctly-executed hedge instrument is not fraud; HedgeKX is a platform operator and is not a party to the instrument; maximum loss is the amount committed, known and agreed to at creation.</w:t>
      </w:r>
    </w:p>
    <w:p>
      <w:pPr>
        <w:spacing w:before="80" w:after="80"/>
      </w:pPr>
      <w:r>
        <w:t xml:space="preserve"/>
      </w:r>
    </w:p>
    <w:p>
      <w:pPr>
        <w:spacing w:before="100" w:after="100"/>
        <w:jc w:val="both"/>
      </w:pPr>
      <w:r>
        <w:rPr>
          <w:rFonts w:ascii="Arial" w:cs="Arial" w:eastAsia="Arial" w:hAnsi="Arial"/>
          <w:sz w:val="22"/>
          <w:szCs w:val="22"/>
        </w:rPr>
        <w:t xml:space="preserve">All hedge instrument terms, trigger conditions, oracle sources, and payout histories are permanently recorded on the ChronX DAG and publicly queryable.</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L.8 Synthetic Positions Disclosure</w:t>
      </w:r>
    </w:p>
    <w:p>
      <w:pPr>
        <w:spacing w:before="100" w:after="100"/>
        <w:jc w:val="both"/>
      </w:pPr>
      <w:r>
        <w:rPr>
          <w:rFonts w:ascii="Arial" w:cs="Arial" w:eastAsia="Arial" w:hAnsi="Arial"/>
          <w:sz w:val="22"/>
          <w:szCs w:val="22"/>
        </w:rPr>
        <w:t xml:space="preserve">A participant holding two wallets may use a PAY_AS loan combined with a HedgeKX instrument to construct a position economically equivalent to a call or put option on KX. The Foundation is aware of this use case. It is not prohibited. The $250 per-transaction governance cap and aggregate daily limits are the primary controls. HedgeKX does not operate as a derivatives exchange. Participants constructing synthetic positions do so as bilateral counterparties under standard instrument terms.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L.9 Principal-Protected Savings</w:t>
      </w:r>
    </w:p>
    <w:p>
      <w:pPr>
        <w:spacing w:before="100" w:after="100"/>
        <w:jc w:val="both"/>
      </w:pPr>
      <w:r>
        <w:rPr>
          <w:rFonts w:ascii="Arial" w:cs="Arial" w:eastAsia="Arial" w:hAnsi="Arial"/>
          <w:sz w:val="22"/>
          <w:szCs w:val="22"/>
        </w:rPr>
        <w:t xml:space="preserve">KX holders may designate a portion of their wallet balance as savings. Savings balances are excluded from Auto-Sweep and loan repayment obligations. TYPE_Y locks automatically grant HedgeKX a minting mandate unless yield_opt_out is set at creation.</w:t>
      </w:r>
    </w:p>
    <w:p>
      <w:pPr>
        <w:spacing w:before="80" w:after="80"/>
      </w:pPr>
      <w:r>
        <w:t xml:space="preserve"/>
      </w:r>
    </w:p>
    <w:p>
      <w:pPr>
        <w:spacing w:before="100" w:after="100"/>
        <w:jc w:val="both"/>
      </w:pPr>
      <w:r>
        <w:rPr>
          <w:rFonts w:ascii="Arial" w:cs="Arial" w:eastAsia="Arial" w:hAnsi="Arial"/>
          <w:sz w:val="22"/>
          <w:szCs w:val="22"/>
        </w:rPr>
        <w:t xml:space="preserve">The yield structure operates via HedgeKX's forward exchange matching activity. The savings depositor's locked KX backs h1KX minting. A superseding hedger commits USDC collateral. When a match is made, facilitation income is shared with the lock's beneficiary as yield. If no superseding hedger is available, the savings balance earns zero and holds KX without risk. Principal is never reduced.</w:t>
      </w:r>
    </w:p>
    <w:p>
      <w:pPr>
        <w:spacing w:before="80" w:after="80"/>
      </w:pPr>
      <w:r>
        <w:t xml:space="preserve"/>
      </w:r>
    </w:p>
    <w:p>
      <w:pPr>
        <w:spacing w:before="100" w:after="100"/>
        <w:jc w:val="both"/>
      </w:pPr>
      <w:r>
        <w:rPr>
          <w:rFonts w:ascii="Arial" w:cs="Arial" w:eastAsia="Arial" w:hAnsi="Arial"/>
          <w:sz w:val="22"/>
          <w:szCs w:val="22"/>
        </w:rPr>
        <w:t xml:space="preserve">Governance parameters control the maximum annual yield (savings_max_annual_yield_pct: 5.0) and whether yield is active (savings_hedgekx_yield_enabled). The YubiHSM hardware security module is live and operational. HedgeKX yield activation is active.</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L.10 wKX Provenance Architecture</w:t>
      </w:r>
    </w:p>
    <w:p>
      <w:pPr>
        <w:spacing w:before="100" w:after="100"/>
        <w:jc w:val="both"/>
      </w:pPr>
      <w:r>
        <w:rPr>
          <w:rFonts w:ascii="Arial" w:cs="Arial" w:eastAsia="Arial" w:hAnsi="Arial"/>
          <w:sz w:val="22"/>
          <w:szCs w:val="22"/>
        </w:rPr>
        <w:t xml:space="preserve">wKX is the public XChan token — a standard ERC-20 on Base, transferable, Uniswap-listed, backed by XChan conversion locks on the ChronX DAG. It is distinct from h1KX, which is HedgeKX's internal non-transferable 24-hour settlement token.</w:t>
      </w:r>
    </w:p>
    <w:p>
      <w:pPr>
        <w:spacing w:before="80" w:after="80"/>
      </w:pPr>
      <w:r>
        <w:t xml:space="preserve"/>
      </w:r>
    </w:p>
    <w:p>
      <w:pPr>
        <w:spacing w:before="100" w:after="100"/>
        <w:jc w:val="both"/>
      </w:pPr>
      <w:r>
        <w:rPr>
          <w:rFonts w:ascii="Arial" w:cs="Arial" w:eastAsia="Arial" w:hAnsi="Arial"/>
          <w:sz w:val="22"/>
          <w:szCs w:val="22"/>
        </w:rPr>
        <w:t xml:space="preserve">Every wKX in existence derives from a specific ChronX DAG lock_id. No lock_id means no mint — enforced by the wKX contract itself. The contract tracks minted_per_lock[lock_id] and rejects duplicate mints. Once a lock_id is marked MATURED or INVALIDATED, any wKX minted against it becomes unredeemable.</w:t>
      </w:r>
    </w:p>
    <w:p>
      <w:pPr>
        <w:spacing w:before="80" w:after="80"/>
      </w:pPr>
      <w:r>
        <w:t xml:space="preserve"/>
      </w:r>
    </w:p>
    <w:p>
      <w:pPr>
        <w:spacing w:before="100" w:after="100"/>
        <w:jc w:val="both"/>
      </w:pPr>
      <w:r>
        <w:rPr>
          <w:rFonts w:ascii="Arial" w:cs="Arial" w:eastAsia="Arial" w:hAnsi="Arial"/>
          <w:sz w:val="22"/>
          <w:szCs w:val="22"/>
        </w:rPr>
        <w:t xml:space="preserve">Two-key security model: Key 1 (HedgeKX minting key, YubiHSM slot 1) and Key 2 (ChronX node attestation key, YubiHSM slot 2). Neither key alone can mint wKX.</w:t>
      </w:r>
    </w:p>
    <w:p>
      <w:pPr>
        <w:spacing w:before="80" w:after="80"/>
      </w:pPr>
      <w:r>
        <w:t xml:space="preserve"/>
      </w:r>
    </w:p>
    <w:p>
      <w:pPr>
        <w:spacing w:before="100" w:after="100"/>
        <w:jc w:val="both"/>
      </w:pPr>
      <w:r>
        <w:rPr>
          <w:rFonts w:ascii="Arial" w:cs="Arial" w:eastAsia="Arial" w:hAnsi="Arial"/>
          <w:sz w:val="22"/>
          <w:szCs w:val="22"/>
        </w:rPr>
        <w:t xml:space="preserve">Hack response protocol: Hour 1 — governance emergency switch pauses minting. Hour 2 — publish on-chain proof that all savings locks are intact. Hour 6 — call admin_invalidate() on compromised lock_ids; stolen wKX becomes unredeemable. Days 1–30 — savings locks mature on schedule; KX returns automatically; stolen wKX becomes worthless. Saver outcome in all scenarios: full principal returned.</w:t>
      </w:r>
    </w:p>
    <w:p>
      <w:pPr>
        <w:spacing w:before="80" w:after="80"/>
      </w:pPr>
      <w:r>
        <w:t xml:space="preserve"/>
      </w:r>
    </w:p>
    <w:p>
      <w:pPr>
        <w:spacing w:before="100" w:after="100"/>
        <w:jc w:val="both"/>
      </w:pPr>
      <w:r>
        <w:rPr>
          <w:rFonts w:ascii="Arial" w:cs="Arial" w:eastAsia="Arial" w:hAnsi="Arial"/>
          <w:sz w:val="22"/>
          <w:szCs w:val="22"/>
        </w:rPr>
        <w:t xml:space="preserve">Public auditability: the isRedeemable(lock_id) function allows anyone — journalists, regulators, users — to verify that any wKX in existence is backed by an active ChronX savings lock.</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L.11 Friendly Loans</w:t>
      </w:r>
    </w:p>
    <w:p>
      <w:pPr>
        <w:spacing w:before="100" w:after="100"/>
        <w:jc w:val="both"/>
      </w:pPr>
      <w:r>
        <w:rPr>
          <w:rFonts w:ascii="Arial" w:cs="Arial" w:eastAsia="Arial" w:hAnsi="Arial"/>
          <w:sz w:val="22"/>
          <w:szCs w:val="22"/>
        </w:rPr>
        <w:t xml:space="preserve">A friendly loan is a send variant where the recipient is expected to return the value within a set number of days. Zero protocol interest — the only cost is the 1% hedge premium for 30 days (annualised ~12%). This is a hedge premium, not interest. HedgeKX is the sole oracle for pricing, drawing exclusively from XChan.</w:t>
      </w:r>
    </w:p>
    <w:p>
      <w:pPr>
        <w:spacing w:before="100" w:after="100"/>
      </w:pPr>
    </w:p>
    <w:p>
      <w:pPr>
        <w:spacing w:before="100" w:after="100"/>
        <w:jc w:val="both"/>
      </w:pPr>
      <w:r>
        <w:rPr>
          <w:rFonts w:ascii="Arial" w:cs="Arial" w:eastAsia="Arial" w:hAnsi="Arial"/>
          <w:sz w:val="22"/>
          <w:szCs w:val="22"/>
        </w:rPr>
        <w:t xml:space="preserve">Friendly loan hedge settlement is mandatory and automatic — not optional, not oracle-triggered, not attestation-dependent. The complete settlement mechanism is time plus payment:</w:t>
      </w:r>
    </w:p>
    <w:p>
      <w:pPr>
        <w:spacing w:before="100" w:after="100"/>
      </w:pPr>
    </w:p>
    <w:p>
      <w:pPr>
        <w:spacing w:before="100" w:after="100"/>
        <w:jc w:val="both"/>
      </w:pPr>
      <w:r>
        <w:rPr>
          <w:rFonts w:ascii="Arial" w:cs="Arial" w:eastAsia="Arial" w:hAnsi="Arial"/>
          <w:sz w:val="22"/>
          <w:szCs w:val="22"/>
        </w:rPr>
        <w:t xml:space="preserve">If the borrower repays within the loan term: repayment flows to the Base settlement address, automatically releasing the Currency B Committer’s USDC back with the yield fee, and returning the lender’s KX collateral. No human action required.</w:t>
      </w:r>
    </w:p>
    <w:p>
      <w:pPr>
        <w:spacing w:before="100" w:after="100"/>
      </w:pPr>
    </w:p>
    <w:p>
      <w:pPr>
        <w:spacing w:before="100" w:after="100"/>
        <w:jc w:val="both"/>
      </w:pPr>
      <w:r>
        <w:rPr>
          <w:rFonts w:ascii="Arial" w:cs="Arial" w:eastAsia="Arial" w:hAnsi="Arial"/>
          <w:sz w:val="22"/>
          <w:szCs w:val="22"/>
        </w:rPr>
        <w:t xml:space="preserve">If the borrower does not repay by the loan maturity date: the settlement contract automatically exercises at timeout, transferring the lender’s locked KX collateral to the Currency B Committer at the agreed locked rate. No oracle needed. No attestation needed. Time is the only trigger.</w:t>
      </w:r>
    </w:p>
    <w:p>
      <w:pPr>
        <w:spacing w:before="100" w:after="100"/>
      </w:pPr>
    </w:p>
    <w:p>
      <w:pPr>
        <w:spacing w:before="100" w:after="100"/>
        <w:jc w:val="both"/>
      </w:pPr>
      <w:r>
        <w:rPr>
          <w:rFonts w:ascii="Arial" w:cs="Arial" w:eastAsia="Arial" w:hAnsi="Arial"/>
          <w:sz w:val="22"/>
          <w:szCs w:val="22"/>
        </w:rPr>
        <w:t xml:space="preserve">This mandatory automatic settlement applies equally to all PAY_AS loans where the lender has denominated in USD and the borrower must repay in USD equivalent. Real loans — mortgages, construction draws, business lines of credit — follow the same mechanics at larger scale and longer duration. The borrower’s scheduled repayments flow automatically through the settlement mechanism. Each payment date is a known, deterministic settlement event. The Currency B Committer providing USD settlement liquidity for a PAY_AS loan is not speculating on KX price — they are providing the USD liquidity layer that makes PAY_AS instruments function, with automatic settlement on each repayment date and automatic KX collateral exercise on any missed payment.</w:t>
      </w:r>
    </w:p>
    <w:p>
      <w:pPr>
        <w:spacing w:before="100" w:after="100"/>
        <w:jc w:val="both"/>
      </w:pPr>
      <w:r>
        <w:rPr>
          <w:rFonts w:ascii="Arial" w:cs="Arial" w:eastAsia="Arial" w:hAnsi="Arial"/>
          <w:sz w:val="22"/>
          <w:szCs w:val="22"/>
        </w:rPr>
        <w:t xml:space="preserve">At genesis, the HedgeKX settlement pool is seeded by the Foundation with an initial USDC deposit, enabling friendly loan disbursement from the first day of operation without requiring external Currency B Committer participation.</w:t>
      </w:r>
    </w:p>
    <w:p>
      <w:pPr>
        <w:spacing w:before="100" w:after="100"/>
      </w:pPr>
    </w:p>
    <w:p>
      <w:pPr>
        <w:spacing w:before="80" w:after="80"/>
      </w:pPr>
      <w:r>
        <w:t xml:space="preserve"/>
      </w:r>
    </w:p>
    <w:p>
      <w:pPr>
        <w:spacing w:before="100" w:after="100"/>
        <w:jc w:val="both"/>
      </w:pPr>
      <w:r>
        <w:rPr>
          <w:rFonts w:ascii="Arial" w:cs="Arial" w:eastAsia="Arial" w:hAnsi="Arial"/>
          <w:sz w:val="22"/>
          <w:szCs w:val="22"/>
        </w:rPr>
        <w:t xml:space="preserve">Quote and lock flow: wallet queries HedgeKX for 10-second locked quote with depth reservation. Maximum 3 concurrent locks per wallet. User confirms within 10 seconds; hedge + promise created atomically via required_hedge_ids on TimeLockCreate. If unconfirmed, lock expires and depth is released at zero cost.</w:t>
      </w:r>
    </w:p>
    <w:p>
      <w:pPr>
        <w:spacing w:before="80" w:after="80"/>
      </w:pPr>
      <w:r>
        <w:t xml:space="preserve"/>
      </w:r>
    </w:p>
    <w:p>
      <w:pPr>
        <w:spacing w:before="100" w:after="100"/>
        <w:jc w:val="both"/>
      </w:pPr>
      <w:r>
        <w:rPr>
          <w:rFonts w:ascii="Arial" w:cs="Arial" w:eastAsia="Arial" w:hAnsi="Arial"/>
          <w:sz w:val="22"/>
          <w:szCs w:val="22"/>
        </w:rPr>
        <w:t xml:space="preserve">Governance priority: friendly loan hedge requests are served first when multiple requests arrive simultaneously. Dynamic loan cap: effective maximum is min(friendly_loan_max_usd_per_tx, hedgekx_available_capacity_usd × 0.80). As the open order book deepens post-ICO, the cap rises automatically.</w:t>
      </w:r>
    </w:p>
    <w:p>
      <w:pPr>
        <w:spacing w:before="80" w:after="80"/>
      </w:pPr>
      <w:r>
        <w:t xml:space="preserve"/>
      </w:r>
    </w:p>
    <w:p>
      <w:pPr>
        <w:spacing w:before="100" w:after="100"/>
        <w:jc w:val="both"/>
      </w:pPr>
      <w:r>
        <w:rPr>
          <w:rFonts w:ascii="Arial" w:cs="Arial" w:eastAsia="Arial" w:hAnsi="Arial"/>
          <w:sz w:val="22"/>
          <w:szCs w:val="22"/>
        </w:rPr>
        <w:t xml:space="preserve">Friendly loans require a live HedgeKX hedge. If HedgeKX is paused, friendly loans are unavailable. This is correct: a loan that cannot be hedged cannot be made.</w:t>
      </w:r>
    </w:p>
    <w:p>
      <w:r>
        <w:br w:type="page"/>
      </w:r>
    </w:p>
    <w:p>
      <w:pPr>
        <w:pStyle w:val="Heading1"/>
        <w:spacing w:before="480" w:after="240"/>
      </w:pPr>
      <w:r>
        <w:rPr>
          <w:rFonts w:ascii="Arial" w:cs="Arial" w:eastAsia="Arial" w:hAnsi="Arial"/>
          <w:b/>
          <w:bCs/>
          <w:color w:val="1F4E79"/>
          <w:sz w:val="34"/>
          <w:szCs w:val="34"/>
        </w:rPr>
        <w:t xml:space="preserve">Appendix M — Savings Lock Technical Reference</w:t>
      </w:r>
    </w:p>
    <w:p>
      <w:pPr>
        <w:pStyle w:val="Heading2"/>
        <w:spacing w:before="320" w:after="160"/>
      </w:pPr>
      <w:r>
        <w:rPr>
          <w:rFonts w:ascii="Arial" w:cs="Arial" w:eastAsia="Arial" w:hAnsi="Arial"/>
          <w:b/>
          <w:bCs/>
          <w:color w:val="2E75B6"/>
          <w:sz w:val="26"/>
          <w:szCs w:val="26"/>
        </w:rPr>
        <w:t xml:space="preserve">M.1 CreateSavingsLock Fields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Type/Value</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SAVINGS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Identifies savings lock.</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savings_duration_days</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1–365</w:t>
            </w:r>
          </w:p>
        </w:tc>
        <w:tc>
          <w:tcPr>
            <w:tcW w:type="dxa" w:w="5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Lock duration in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hedgekx_mandate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true. Set false for yield_opt_out.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hedgekx_investable_fraction</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max 0.90</w:t>
            </w:r>
          </w:p>
        </w:tc>
        <w:tc>
          <w:tcPr>
            <w:tcW w:type="dxa" w:w="5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Fraction of lock available for HedgeKX minting mandate.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auto_renew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Auto-renew at maturity. Sled-only update — no DAG vertex written on renewal.</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savings_reserve_pct</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min 0.10</w:t>
            </w:r>
          </w:p>
        </w:tc>
        <w:tc>
          <w:tcPr>
            <w:tcW w:type="dxa" w:w="5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Reserve fraction not available for minting.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yield_opt_out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false. Set true to suppress HedgeKX mandate and yield accrual.</w:t>
            </w:r>
          </w:p>
        </w:tc>
      </w:tr>
    </w:tbl>
    <w:p>
      <w:pPr>
        <w:spacing w:before="80" w:after="80"/>
      </w:pPr>
      <w:r>
        <w:t xml:space="preserve"/>
      </w:r>
    </w:p>
    <w:p>
      <w:pPr>
        <w:spacing w:before="100" w:after="100"/>
        <w:jc w:val="both"/>
      </w:pPr>
      <w:r>
        <w:rPr>
          <w:rFonts w:ascii="Arial" w:cs="Arial" w:eastAsia="Arial" w:hAnsi="Arial"/>
          <w:sz w:val="22"/>
          <w:szCs w:val="22"/>
        </w:rPr>
        <w:t xml:space="preserve">CreateSavingsLock debits spendable_balance and credits savings_balance. Savings locks are exempt from auto-sweep and loan obligations. Principal cannot be seized by any protocol action.</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M.2 XChanConversionLock</w:t>
      </w:r>
    </w:p>
    <w:p>
      <w:pPr>
        <w:spacing w:before="100" w:after="100"/>
        <w:jc w:val="both"/>
      </w:pPr>
      <w:r>
        <w:rPr>
          <w:rFonts w:ascii="Arial" w:cs="Arial" w:eastAsia="Arial" w:hAnsi="Arial"/>
          <w:sz w:val="22"/>
          <w:szCs w:val="22"/>
        </w:rPr>
        <w:t xml:space="preserve">lock_type XCHAN_CONVERSION. 60-second duration. Created automatically when KX arrives at bridge wallet. Establishes provenance for wKX minting. If mint fails, lock expires and KX returns to sender. Creates permanent DAG record of every XChan conversion.</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M.3 wKX v3 Contract</w:t>
      </w:r>
    </w:p>
    <w:p>
      <w:pPr>
        <w:spacing w:before="100" w:after="100"/>
        <w:jc w:val="both"/>
      </w:pPr>
      <w:r>
        <w:rPr>
          <w:rFonts w:ascii="Arial" w:cs="Arial" w:eastAsia="Arial" w:hAnsi="Arial"/>
          <w:sz w:val="22"/>
          <w:szCs w:val="22"/>
        </w:rPr>
        <w:t xml:space="preserve">Every mint() requires a valid lock_id (BLAKE3 hash of ChronX DAG transaction) plus node attestation signature. Neither the minting key nor the attestation key alone can mint. burnForMaturity() is called at lock maturity to burn wKX and release the ChronX lock. admin_invalidate() (multi-sig only) marks a lock_id as unredeemable instantly without affecting the underlying savings lock.</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M.4 Build Sequence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4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(No HSM)</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CreateSavingsLock and XChanConversionLock actions in transaction.rs, savings wallet UI, savings_wkx_mint_enabled: false.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Phase 2 (YubiHSM)</w:t>
            </w:r>
          </w:p>
        </w:tc>
        <w:tc>
          <w:tcPr>
            <w:tcW w:type="dxa" w:w="5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Generate keys on HSM, deploy wKX v3 contract on Base, test end-to-end, enable savings yield.</w:t>
            </w:r>
          </w:p>
        </w:tc>
        <w:tc>
          <w:tcPr>
            <w:tcW w:type="dxa" w:w="2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Complete. YubiHSM operational. Yield active.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(Post-ICO)</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HedgeKX order book, enable friendly loans, raise governance caps.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Post-ICO</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M.5 Yield Balance Architecture</w:t>
      </w:r>
    </w:p>
    <w:p>
      <w:pPr>
        <w:spacing w:before="100" w:after="100"/>
        <w:jc w:val="both"/>
      </w:pPr>
      <w:r>
        <w:rPr>
          <w:rFonts w:ascii="Arial" w:cs="Arial" w:eastAsia="Arial" w:hAnsi="Arial"/>
          <w:sz w:val="22"/>
          <w:szCs w:val="22"/>
        </w:rPr>
        <w:t xml:space="preserve">Yield does not accrue inside the TYPE_Y lock. The lock's principal amount is fixed forever at creation. Yield accumulates in a separate yield balance on the ChronX DAG attributed to the beneficiary's account, funded by HedgeKX from facilitation income on days when the mandate is actively used.</w:t>
      </w:r>
    </w:p>
    <w:p>
      <w:pPr>
        <w:spacing w:before="80" w:after="80"/>
      </w:pPr>
      <w:r>
        <w:t xml:space="preserve"/>
      </w:r>
    </w:p>
    <w:p>
      <w:pPr>
        <w:spacing w:before="100" w:after="100"/>
        <w:jc w:val="both"/>
      </w:pPr>
      <w:r>
        <w:rPr>
          <w:rFonts w:ascii="Arial" w:cs="Arial" w:eastAsia="Arial" w:hAnsi="Arial"/>
          <w:sz w:val="22"/>
          <w:szCs w:val="22"/>
        </w:rPr>
        <w:t xml:space="preserve">HedgeKX settles yield once per day across all active mandates in a single batch transaction. Each beneficiary's share is recorded as a small credit to their yield balance. The yield balance is additive only — it never decreases. Already-credited yield cannot be revoked. The beneficiary can claim their yield balance (move it to spendable) at any time. At lock maturity, both principal and unclaimed yield become fully spendable automatically.</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M.6 The YubiHSM Heartbeat Oracle</w:t>
      </w:r>
    </w:p>
    <w:p>
      <w:pPr>
        <w:spacing w:before="100" w:after="100"/>
        <w:jc w:val="both"/>
      </w:pPr>
      <w:r>
        <w:rPr>
          <w:rFonts w:ascii="Arial" w:cs="Arial" w:eastAsia="Arial" w:hAnsi="Arial"/>
          <w:sz w:val="22"/>
          <w:szCs w:val="22"/>
        </w:rPr>
        <w:t xml:space="preserve">The YubiHSM 2 FIPS generates a cryptographic sign of life every 30 seconds using a key that never leaves the hardware. This heartbeat is published to the wKX contract on Base via a lightweight relayer on a dedicated signing host.</w:t>
      </w:r>
    </w:p>
    <w:p>
      <w:pPr>
        <w:spacing w:before="80" w:after="80"/>
      </w:pPr>
      <w:r>
        <w:t xml:space="preserve"/>
      </w:r>
    </w:p>
    <w:p>
      <w:pPr>
        <w:spacing w:before="100" w:after="100"/>
        <w:jc w:val="both"/>
      </w:pPr>
      <w:r>
        <w:rPr>
          <w:rFonts w:ascii="Arial" w:cs="Arial" w:eastAsia="Arial" w:hAnsi="Arial"/>
          <w:sz w:val="22"/>
          <w:szCs w:val="22"/>
        </w:rPr>
        <w:t xml:space="preserve">The wKX contract enforces: if heartbeat age exceeds 120 seconds, mint() reverts automatically. No governance action required. No human decision needed. The halt is enforced by the contract itself.</w:t>
      </w:r>
    </w:p>
    <w:p>
      <w:pPr>
        <w:spacing w:before="80" w:after="80"/>
      </w:pPr>
      <w:r>
        <w:t xml:space="preserve"/>
      </w:r>
    </w:p>
    <w:p>
      <w:pPr>
        <w:spacing w:before="100" w:after="100"/>
        <w:jc w:val="both"/>
      </w:pPr>
      <w:r>
        <w:rPr>
          <w:rFonts w:ascii="Arial" w:cs="Arial" w:eastAsia="Arial" w:hAnsi="Arial"/>
          <w:sz w:val="22"/>
          <w:szCs w:val="22"/>
        </w:rPr>
        <w:t xml:space="preserve">If the signing host goes offline, the heartbeat stops. Minting halts automatically within 120 seconds. This is a feature, not a bug. A system that stops cleanly is more secure than one that continues operating under uncertain conditions.</w:t>
      </w:r>
    </w:p>
    <w:p>
      <w:pPr>
        <w:spacing w:before="80" w:after="80"/>
      </w:pPr>
      <w:r>
        <w:t xml:space="preserve"/>
      </w:r>
    </w:p>
    <w:p>
      <w:pPr>
        <w:spacing w:before="100" w:after="100"/>
        <w:jc w:val="both"/>
      </w:pPr>
      <w:r>
        <w:rPr>
          <w:rFonts w:ascii="Arial" w:cs="Arial" w:eastAsia="Arial" w:hAnsi="Arial"/>
          <w:sz w:val="22"/>
          <w:szCs w:val="22"/>
        </w:rPr>
        <w:t xml:space="preserve">A thief who steals the YubiHSM faces: a contract that has already halted within 120 seconds, an HSM that is a brick without the PIN, zero ability to generate valid signatures, and zero ability to mint wKX. Existing savings locks are completely unaffected by any halt. They mature on schedule and return principal automatically regardless of the heartbeat status.</w:t>
      </w:r>
    </w:p>
    <w:p>
      <w:pPr>
        <w:spacing w:before="80" w:after="80"/>
      </w:pPr>
      <w:r>
        <w:t xml:space="preserve"/>
      </w:r>
    </w:p>
    <w:p>
      <w:pPr>
        <w:spacing w:before="100" w:after="100"/>
        <w:jc w:val="both"/>
      </w:pPr>
      <w:r>
        <w:rPr>
          <w:rFonts w:ascii="Arial" w:cs="Arial" w:eastAsia="Arial" w:hAnsi="Arial"/>
          <w:sz w:val="22"/>
          <w:szCs w:val="22"/>
        </w:rPr>
        <w:t xml:space="preserve">Governance params: hsm_heartbeat_interval_seconds: 30. hsm_heartbeat_max_age_seconds: 120.</w:t>
      </w:r>
    </w:p>
    <w:p>
      <w:r>
        <w:br w:type="page"/>
      </w:r>
    </w:p>
    <w:p>
      <w:pPr>
        <w:pStyle w:val="Heading1"/>
        <w:spacing w:before="480" w:after="240"/>
      </w:pPr>
      <w:r>
        <w:rPr>
          <w:rFonts w:ascii="Arial" w:cs="Arial" w:eastAsia="Arial" w:hAnsi="Arial"/>
          <w:b/>
          <w:bCs/>
          <w:color w:val="1F4E79"/>
          <w:sz w:val="34"/>
          <w:szCs w:val="34"/>
        </w:rPr>
        <w:t xml:space="preserve">Appendix N — The Savings Guarantee: Technical and Legal Basis</w:t>
      </w:r>
    </w:p>
    <w:p>
      <w:pPr>
        <w:pStyle w:val="Heading2"/>
        <w:spacing w:before="320" w:after="160"/>
      </w:pPr>
      <w:r>
        <w:rPr>
          <w:rFonts w:ascii="Arial" w:cs="Arial" w:eastAsia="Arial" w:hAnsi="Arial"/>
          <w:b/>
          <w:bCs/>
          <w:color w:val="2E75B6"/>
          <w:sz w:val="26"/>
          <w:szCs w:val="26"/>
        </w:rPr>
        <w:t xml:space="preserve">Why the Principal Guarantee is Absolute</w:t>
      </w:r>
    </w:p>
    <w:p>
      <w:pPr>
        <w:pStyle w:val="ListParagraph"/>
        <w:numPr>
          <w:ilvl w:val="0"/>
          <w:numId w:val="2"/>
        </w:numPr>
        <w:spacing w:before="60" w:after="60"/>
      </w:pPr>
      <w:r>
        <w:rPr>
          <w:rFonts w:ascii="Arial" w:cs="Arial" w:eastAsia="Arial" w:hAnsi="Arial"/>
          <w:sz w:val="22"/>
          <w:szCs w:val="22"/>
        </w:rPr>
        <w:t xml:space="preserve">The KX is on the DAG, not in anyone's custody. The DAG is append-only — no entity can modify a lock.</w:t>
      </w:r>
    </w:p>
    <w:p>
      <w:pPr>
        <w:pStyle w:val="ListParagraph"/>
        <w:numPr>
          <w:ilvl w:val="0"/>
          <w:numId w:val="2"/>
        </w:numPr>
        <w:spacing w:before="60" w:after="60"/>
      </w:pPr>
      <w:r>
        <w:rPr>
          <w:rFonts w:ascii="Arial" w:cs="Arial" w:eastAsia="Arial" w:hAnsi="Arial"/>
          <w:sz w:val="22"/>
          <w:szCs w:val="22"/>
        </w:rPr>
        <w:t xml:space="preserve">Maturity is time-triggered, not human-triggered.</w:t>
      </w:r>
    </w:p>
    <w:p>
      <w:pPr>
        <w:pStyle w:val="ListParagraph"/>
        <w:numPr>
          <w:ilvl w:val="0"/>
          <w:numId w:val="2"/>
        </w:numPr>
        <w:spacing w:before="60" w:after="60"/>
      </w:pPr>
      <w:r>
        <w:rPr>
          <w:rFonts w:ascii="Arial" w:cs="Arial" w:eastAsia="Arial" w:hAnsi="Arial"/>
          <w:sz w:val="22"/>
          <w:szCs w:val="22"/>
        </w:rPr>
        <w:t xml:space="preserve">Post-quantum cryptography (CRYSTALS-Dilithium2) protects against computational attacks.</w:t>
      </w:r>
    </w:p>
    <w:p>
      <w:pPr>
        <w:pStyle w:val="ListParagraph"/>
        <w:numPr>
          <w:ilvl w:val="0"/>
          <w:numId w:val="2"/>
        </w:numPr>
        <w:spacing w:before="60" w:after="60"/>
      </w:pPr>
      <w:r>
        <w:rPr>
          <w:rFonts w:ascii="Arial" w:cs="Arial" w:eastAsia="Arial" w:hAnsi="Arial"/>
          <w:sz w:val="22"/>
          <w:szCs w:val="22"/>
        </w:rPr>
        <w:t xml:space="preserve">HedgeKX holds a mandate permission only — not custody, not collateral, not a lien. The mandate expires automatically.</w:t>
      </w:r>
    </w:p>
    <w:p>
      <w:pPr>
        <w:pStyle w:val="ListParagraph"/>
        <w:numPr>
          <w:ilvl w:val="0"/>
          <w:numId w:val="2"/>
        </w:numPr>
        <w:spacing w:before="60" w:after="60"/>
      </w:pPr>
      <w:r>
        <w:rPr>
          <w:rFonts w:ascii="Arial" w:cs="Arial" w:eastAsia="Arial" w:hAnsi="Arial"/>
          <w:sz w:val="22"/>
          <w:szCs w:val="22"/>
        </w:rPr>
        <w:t xml:space="preserve">If the mandate expires without being exercised, the ChronX lock releases regardless.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What HedgeKX Receives</w:t>
      </w:r>
    </w:p>
    <w:p>
      <w:pPr>
        <w:spacing w:before="100" w:after="100"/>
        <w:jc w:val="both"/>
      </w:pPr>
      <w:r>
        <w:rPr>
          <w:rFonts w:ascii="Arial" w:cs="Arial" w:eastAsia="Arial" w:hAnsi="Arial"/>
          <w:sz w:val="22"/>
          <w:szCs w:val="22"/>
        </w:rPr>
        <w:t xml:space="preserve">HedgeKX holds a time-limited permission to mint h1KX. HedgeKX never holds the underlying KX. The mandate grants the right to create an internal accounting token on Base — not to move, sell, or encumber the locked KX in any way. The KX belongs to the lock holder throughout the entire lock period.</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Why wKX and h1KX Minting is Not Inflation</w:t>
      </w:r>
    </w:p>
    <w:p>
      <w:pPr>
        <w:spacing w:before="100" w:after="100"/>
        <w:jc w:val="both"/>
      </w:pPr>
      <w:r>
        <w:rPr>
          <w:rFonts w:ascii="Arial" w:cs="Arial" w:eastAsia="Arial" w:hAnsi="Arial"/>
          <w:sz w:val="22"/>
          <w:szCs w:val="22"/>
        </w:rPr>
        <w:t xml:space="preserve">wKX is 1:1 backed by locked KX (XChan conversion locks). h1KX is 1:1 backed by locked KX (TYPE_Y mandate locks). Both are temporary representations, not new supply. Total KX on ChronX DAG + total wKX on Base + total h1KX on Base = 8,270,000,000 always. At lock maturity: wKX or h1KX burns, ChronX lock releases — net change: zero.</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Why wKX and h1KX Cannot Be Defaulted On</w:t>
      </w:r>
    </w:p>
    <w:p>
      <w:pPr>
        <w:spacing w:before="100" w:after="100"/>
        <w:jc w:val="both"/>
      </w:pPr>
      <w:r>
        <w:rPr>
          <w:rFonts w:ascii="Arial" w:cs="Arial" w:eastAsia="Arial" w:hAnsi="Arial"/>
          <w:sz w:val="22"/>
          <w:szCs w:val="22"/>
        </w:rPr>
        <w:t xml:space="preserve">wKX is a bridge token backed by XChan conversion locks — not a debt instrument. h1KX is a non-transferable internal settlement token — never held by external parties. Neither represents a promise to pay. If wKX circulates without a corresponding active lock, it is unredeemable and worthless by contract enforcement.</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Friendly Loan Default Risk</w:t>
      </w:r>
    </w:p>
    <w:p>
      <w:pPr>
        <w:spacing w:before="100" w:after="100"/>
        <w:jc w:val="both"/>
      </w:pPr>
      <w:r>
        <w:rPr>
          <w:rFonts w:ascii="Arial" w:cs="Arial" w:eastAsia="Arial" w:hAnsi="Arial"/>
          <w:sz w:val="22"/>
          <w:szCs w:val="22"/>
        </w:rPr>
        <w:t xml:space="preserve">A friendly loan default falls on the lender, not the saver. The saver's principal is protected regardless of whether borrowers repay. The HedgeKX hedge protects the lender against KX/USD price risk. Borrower credit risk remains with the lender — ChronX is not a credit guarantee system.</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Comparison to Traditional Banking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Traditional Bank CD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ChronX Savings Lock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 protection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FDIC (capped at $250K, exhaustible, discretionary)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DAG (uncapped, inexhaustible, mathematical)</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Yield guarantee</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Contractual (can default)</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Not guaranteed (zero if no market activity, principal unaffected)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Custody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holds your deposit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retain cryptographic ownership throughout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Audit</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Annual audit of bank</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Real-time queryable on public DAG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protection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FDIC, banking regulation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Cryptographic mathematics</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Legal Note</w:t>
      </w:r>
    </w:p>
    <w:p>
      <w:pPr>
        <w:spacing w:before="100" w:after="100"/>
        <w:jc w:val="both"/>
      </w:pPr>
      <w:r>
        <w:rPr>
          <w:rFonts w:ascii="Arial" w:cs="Arial" w:eastAsia="Arial" w:hAnsi="Arial"/>
          <w:sz w:val="22"/>
          <w:szCs w:val="22"/>
        </w:rPr>
        <w:t xml:space="preserve">KX is a utility token. This is not a deposit account, not a security, and not FDIC-insured. The guarantees described in this whitepaper are cryptographic and protocol guarantees, not legal or financial guarantees under any jurisdiction's banking law. Regulatory characterisation of KX and ChronX instruments varies by jurisdiction. Consult qualified legal counsel in your jurisdiction before participating.</w:t>
      </w:r>
    </w:p>
    <w:p>
      <w:r>
        <w:br w:type="page"/>
      </w:r>
    </w:p>
    <w:p>
      <w:pPr>
        <w:pStyle w:val="Heading1"/>
        <w:spacing w:before="480" w:after="240"/>
      </w:pPr>
      <w:r>
        <w:rPr>
          <w:rFonts w:ascii="Arial" w:cs="Arial" w:eastAsia="Arial" w:hAnsi="Arial"/>
          <w:b/>
          <w:bCs/>
          <w:color w:val="1F4E79"/>
          <w:sz w:val="34"/>
          <w:szCs w:val="34"/>
        </w:rPr>
        <w:t xml:space="preserve">Appendix O — HedgeKX, wKX, h1KX, and TYPE_Y: Complete Technical and Risk Reference</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O.1 What This Appendix Is For</w:t>
      </w:r>
    </w:p>
    <w:p>
      <w:pPr>
        <w:spacing w:before="100" w:after="100"/>
        <w:jc w:val="both"/>
      </w:pPr>
      <w:r>
        <w:rPr>
          <w:rFonts w:ascii="Arial" w:cs="Arial" w:eastAsia="Arial" w:hAnsi="Arial"/>
          <w:sz w:val="22"/>
          <w:szCs w:val="22"/>
        </w:rPr>
        <w:t xml:space="preserve">This appendix exists for three audiences simultaneously, and it attempts to serve all three without compromising honesty for any of them.</w:t>
      </w:r>
    </w:p>
    <w:p>
      <w:pPr>
        <w:spacing w:before="80" w:after="80"/>
      </w:pPr>
      <w:r>
        <w:t xml:space="preserve"/>
      </w:r>
    </w:p>
    <w:p>
      <w:pPr>
        <w:spacing w:before="100" w:after="100"/>
        <w:jc w:val="both"/>
      </w:pPr>
      <w:r>
        <w:rPr>
          <w:rFonts w:ascii="Arial" w:cs="Arial" w:eastAsia="Arial" w:hAnsi="Arial"/>
          <w:b/>
          <w:bCs/>
          <w:sz w:val="22"/>
          <w:szCs w:val="22"/>
        </w:rPr>
        <w:t xml:space="preserve">For savers and promise-makers:</w:t>
      </w:r>
    </w:p>
    <w:p>
      <w:pPr>
        <w:spacing w:before="100" w:after="100"/>
        <w:jc w:val="both"/>
      </w:pPr>
      <w:r>
        <w:rPr>
          <w:rFonts w:ascii="Arial" w:cs="Arial" w:eastAsia="Arial" w:hAnsi="Arial"/>
          <w:sz w:val="22"/>
          <w:szCs w:val="22"/>
        </w:rPr>
        <w:t xml:space="preserve">You have locked KX in a TYPE_Y savings account or made a long-term promise. You want to know what HedgeKX does with your mandate, what risks exist, what is guaranteed, and whether any failure at HedgeKX could affect your KX. The short answer is: your principal is safe under all circumstances. The complete answer is in sections O.2, O.3, and O.11.</w:t>
      </w:r>
    </w:p>
    <w:p>
      <w:pPr>
        <w:spacing w:before="80" w:after="80"/>
      </w:pPr>
      <w:r>
        <w:t xml:space="preserve"/>
      </w:r>
    </w:p>
    <w:p>
      <w:pPr>
        <w:spacing w:before="100" w:after="100"/>
        <w:jc w:val="both"/>
      </w:pPr>
      <w:r>
        <w:rPr>
          <w:rFonts w:ascii="Arial" w:cs="Arial" w:eastAsia="Arial" w:hAnsi="Arial"/>
          <w:b/>
          <w:bCs/>
          <w:sz w:val="22"/>
          <w:szCs w:val="22"/>
        </w:rPr>
        <w:t xml:space="preserve">For USDC holders considering hedging:</w:t>
      </w:r>
    </w:p>
    <w:p>
      <w:pPr>
        <w:spacing w:before="100" w:after="100"/>
        <w:jc w:val="both"/>
      </w:pPr>
      <w:r>
        <w:rPr>
          <w:rFonts w:ascii="Arial" w:cs="Arial" w:eastAsia="Arial" w:hAnsi="Arial"/>
          <w:sz w:val="22"/>
          <w:szCs w:val="22"/>
        </w:rPr>
        <w:t xml:space="preserve">You are evaluating whether to commit USDC to HedgeKX's forward exchange market in exchange for yield. You want to know every way you could lose money — not just market risk, but operational risk, protocol risk, and systemic risk. The complete answer is in sections O.6 through O.10, O.13, and O.15.</w:t>
      </w:r>
    </w:p>
    <w:p>
      <w:pPr>
        <w:spacing w:before="80" w:after="80"/>
      </w:pPr>
      <w:r>
        <w:t xml:space="preserve"/>
      </w:r>
    </w:p>
    <w:p>
      <w:pPr>
        <w:spacing w:before="100" w:after="100"/>
        <w:jc w:val="both"/>
      </w:pPr>
      <w:r>
        <w:rPr>
          <w:rFonts w:ascii="Arial" w:cs="Arial" w:eastAsia="Arial" w:hAnsi="Arial"/>
          <w:b/>
          <w:bCs/>
          <w:sz w:val="22"/>
          <w:szCs w:val="22"/>
        </w:rPr>
        <w:t xml:space="preserve">For AI risk assessment systems and security researchers:</w:t>
      </w:r>
    </w:p>
    <w:p>
      <w:pPr>
        <w:spacing w:before="100" w:after="100"/>
        <w:jc w:val="both"/>
      </w:pPr>
      <w:r>
        <w:rPr>
          <w:rFonts w:ascii="Arial" w:cs="Arial" w:eastAsia="Arial" w:hAnsi="Arial"/>
          <w:sz w:val="22"/>
          <w:szCs w:val="22"/>
        </w:rPr>
        <w:t xml:space="preserve">You are evaluating the protocol's architecture for weaknesses, attack vectors, and failure modes. Every constraint, every named attack surface, and every residual risk is documented in sections O.4 through O.12. Nothing has been omitted to make the protocol appear stronger than it is.</w:t>
      </w:r>
    </w:p>
    <w:p>
      <w:pPr>
        <w:spacing w:before="80" w:after="80"/>
      </w:pPr>
      <w:r>
        <w:t xml:space="preserve"/>
      </w:r>
    </w:p>
    <w:p>
      <w:pPr>
        <w:pBdr>
          <w:left w:val="single" w:color="2E75B6" w:sz="8" w:space="12"/>
        </w:pBdr>
        <w:spacing w:before="160" w:after="160"/>
        <w:ind w:left="720" w:right="720"/>
      </w:pPr>
      <w:r>
        <w:rPr>
          <w:rFonts w:ascii="Arial" w:cs="Arial" w:eastAsia="Arial" w:hAnsi="Arial"/>
          <w:i/>
          <w:iCs/>
          <w:sz w:val="22"/>
          <w:szCs w:val="22"/>
        </w:rPr>
        <w:t xml:space="preserve">One principle governs this entire appendix: a risk that is not documented is a risk that cannot be managed. HedgeKX's design philosophy is transparency at every layer — in the smart contracts, in the governance parameters, in the public mandate pool, and in this document.</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O.2 The Foundation: TYPE_Y Savings Locks</w:t>
      </w:r>
    </w:p>
    <w:p>
      <w:pPr>
        <w:pStyle w:val="Heading3"/>
        <w:spacing w:before="200" w:after="100"/>
      </w:pPr>
      <w:r>
        <w:rPr>
          <w:rFonts w:ascii="Arial" w:cs="Arial" w:eastAsia="Arial" w:hAnsi="Arial"/>
          <w:b/>
          <w:bCs/>
          <w:sz w:val="22"/>
          <w:szCs w:val="22"/>
        </w:rPr>
        <w:t xml:space="preserve">What Is Guaranteed</w:t>
      </w:r>
    </w:p>
    <w:p>
      <w:pPr>
        <w:spacing w:before="100" w:after="100"/>
        <w:jc w:val="both"/>
      </w:pPr>
      <w:r>
        <w:rPr>
          <w:rFonts w:ascii="Arial" w:cs="Arial" w:eastAsia="Arial" w:hAnsi="Arial"/>
          <w:sz w:val="22"/>
          <w:szCs w:val="22"/>
        </w:rPr>
        <w:t xml:space="preserve">The following are guaranteed by ChronX's consensus rules. They are not policies. They are mathematical properties of the protocol:</w:t>
      </w:r>
    </w:p>
    <w:p>
      <w:pPr>
        <w:pStyle w:val="ListParagraph"/>
        <w:numPr>
          <w:ilvl w:val="0"/>
          <w:numId w:val="2"/>
        </w:numPr>
        <w:spacing w:before="60" w:after="60"/>
      </w:pPr>
      <w:r>
        <w:rPr>
          <w:rFonts w:ascii="Arial" w:cs="Arial" w:eastAsia="Arial" w:hAnsi="Arial"/>
          <w:sz w:val="22"/>
          <w:szCs w:val="22"/>
        </w:rPr>
        <w:t xml:space="preserve">Principal return. The exact quantity of KX locked will be available to the lock holder at maturity. Not approximately. Exactly. The protocol does not permit rounding, fees, or deductions from locked principal.</w:t>
      </w:r>
    </w:p>
    <w:p>
      <w:pPr>
        <w:pStyle w:val="ListParagraph"/>
        <w:numPr>
          <w:ilvl w:val="0"/>
          <w:numId w:val="2"/>
        </w:numPr>
        <w:spacing w:before="60" w:after="60"/>
      </w:pPr>
      <w:r>
        <w:rPr>
          <w:rFonts w:ascii="Arial" w:cs="Arial" w:eastAsia="Arial" w:hAnsi="Arial"/>
          <w:sz w:val="22"/>
          <w:szCs w:val="22"/>
        </w:rPr>
        <w:t xml:space="preserve">Immovability during lock period. Locked KX cannot be transferred, spent, seized, or liquidated by any party before maturity.</w:t>
      </w:r>
    </w:p>
    <w:p>
      <w:pPr>
        <w:pStyle w:val="ListParagraph"/>
        <w:numPr>
          <w:ilvl w:val="0"/>
          <w:numId w:val="2"/>
        </w:numPr>
        <w:spacing w:before="60" w:after="60"/>
      </w:pPr>
      <w:r>
        <w:rPr>
          <w:rFonts w:ascii="Arial" w:cs="Arial" w:eastAsia="Arial" w:hAnsi="Arial"/>
          <w:sz w:val="22"/>
          <w:szCs w:val="22"/>
        </w:rPr>
        <w:t xml:space="preserve">Independence from HedgeKX. If HedgeKX ceases to exist entirely, TYPE_Y locks continue to mature and return KX to their owners on schedule. HedgeKX's presence is not required.</w:t>
      </w:r>
    </w:p>
    <w:p>
      <w:pPr>
        <w:pStyle w:val="ListParagraph"/>
        <w:numPr>
          <w:ilvl w:val="0"/>
          <w:numId w:val="2"/>
        </w:numPr>
        <w:spacing w:before="60" w:after="60"/>
      </w:pPr>
      <w:r>
        <w:rPr>
          <w:rFonts w:ascii="Arial" w:cs="Arial" w:eastAsia="Arial" w:hAnsi="Arial"/>
          <w:sz w:val="22"/>
          <w:szCs w:val="22"/>
        </w:rPr>
        <w:t xml:space="preserve">Independence from Base network. If Base ceases to exist, TYPE_Y locks are completely unaffected. They live on the ChronX DAG, not on Base.</w:t>
      </w:r>
    </w:p>
    <w:p>
      <w:pPr>
        <w:spacing w:before="80" w:after="80"/>
      </w:pPr>
      <w:r>
        <w:t xml:space="preserve"/>
      </w:r>
    </w:p>
    <w:p>
      <w:pPr>
        <w:pStyle w:val="Heading3"/>
        <w:spacing w:before="200" w:after="100"/>
      </w:pPr>
      <w:r>
        <w:rPr>
          <w:rFonts w:ascii="Arial" w:cs="Arial" w:eastAsia="Arial" w:hAnsi="Arial"/>
          <w:b/>
          <w:bCs/>
          <w:sz w:val="22"/>
          <w:szCs w:val="22"/>
        </w:rPr>
        <w:t xml:space="preserve">What Is Not Guaranteed</w:t>
      </w:r>
    </w:p>
    <w:p>
      <w:pPr>
        <w:pStyle w:val="ListParagraph"/>
        <w:numPr>
          <w:ilvl w:val="0"/>
          <w:numId w:val="2"/>
        </w:numPr>
        <w:spacing w:before="60" w:after="60"/>
      </w:pPr>
      <w:r>
        <w:rPr>
          <w:rFonts w:ascii="Arial" w:cs="Arial" w:eastAsia="Arial" w:hAnsi="Arial"/>
          <w:sz w:val="22"/>
          <w:szCs w:val="22"/>
        </w:rPr>
        <w:t xml:space="preserve">Yield. Yield is a share of HedgeKX's facilitation income. On days when HedgeKX has no active matched transactions, yield is zero. No minimum yield is promised.</w:t>
      </w:r>
    </w:p>
    <w:p>
      <w:pPr>
        <w:pStyle w:val="ListParagraph"/>
        <w:numPr>
          <w:ilvl w:val="0"/>
          <w:numId w:val="2"/>
        </w:numPr>
        <w:spacing w:before="60" w:after="60"/>
      </w:pPr>
      <w:r>
        <w:rPr>
          <w:rFonts w:ascii="Arial" w:cs="Arial" w:eastAsia="Arial" w:hAnsi="Arial"/>
          <w:sz w:val="22"/>
          <w:szCs w:val="22"/>
        </w:rPr>
        <w:t xml:space="preserve">Yield rate. Market-determined. Fluctuates based on HedgeKX's matching activity and general market conditions.</w:t>
      </w:r>
    </w:p>
    <w:p>
      <w:pPr>
        <w:pStyle w:val="ListParagraph"/>
        <w:numPr>
          <w:ilvl w:val="0"/>
          <w:numId w:val="2"/>
        </w:numPr>
        <w:spacing w:before="60" w:after="60"/>
      </w:pPr>
      <w:r>
        <w:rPr>
          <w:rFonts w:ascii="Arial" w:cs="Arial" w:eastAsia="Arial" w:hAnsi="Arial"/>
          <w:sz w:val="22"/>
          <w:szCs w:val="22"/>
        </w:rPr>
        <w:t xml:space="preserve">HedgeKX's continued operation. HedgeKX may cease operations. In all such cases, yield drops to zero and the mandate becomes dormant. The lock's principal is unaffected.</w:t>
      </w:r>
    </w:p>
    <w:p>
      <w:pPr>
        <w:spacing w:before="80" w:after="80"/>
      </w:pPr>
      <w:r>
        <w:t xml:space="preserve"/>
      </w:r>
    </w:p>
    <w:p>
      <w:pPr>
        <w:pStyle w:val="Heading3"/>
        <w:spacing w:before="200" w:after="100"/>
      </w:pPr>
      <w:r>
        <w:rPr>
          <w:rFonts w:ascii="Arial" w:cs="Arial" w:eastAsia="Arial" w:hAnsi="Arial"/>
          <w:b/>
          <w:bCs/>
          <w:sz w:val="22"/>
          <w:szCs w:val="22"/>
        </w:rPr>
        <w:t xml:space="preserve">Yield and the Beneficiary — A Critical Detail</w:t>
      </w:r>
    </w:p>
    <w:p>
      <w:pPr>
        <w:spacing w:before="100" w:after="100"/>
        <w:jc w:val="both"/>
      </w:pPr>
      <w:r>
        <w:rPr>
          <w:rFonts w:ascii="Arial" w:cs="Arial" w:eastAsia="Arial" w:hAnsi="Arial"/>
          <w:sz w:val="22"/>
          <w:szCs w:val="22"/>
        </w:rPr>
        <w:t xml:space="preserve">Yield belongs to the beneficiary of the promise, not to the grantor. Example: Bob makes a 20-year promise locking 10,000 KX for Mary. HedgeKX uses that lock's mandate for active matching. The yield credits to Mary's yield balance — not to Bob's. Yield accumulates separately as daily credit transactions from HedgeKX's operating wallet to Mary's yield balance. The yield balance never goes down. Once credited, yield is permanent. Mary can claim it at any time.</w:t>
      </w:r>
    </w:p>
    <w:p>
      <w:pPr>
        <w:spacing w:before="80" w:after="80"/>
      </w:pPr>
      <w:r>
        <w:t xml:space="preserve"/>
      </w:r>
    </w:p>
    <w:p>
      <w:pPr>
        <w:pStyle w:val="Heading3"/>
        <w:spacing w:before="200" w:after="100"/>
      </w:pPr>
      <w:r>
        <w:rPr>
          <w:rFonts w:ascii="Arial" w:cs="Arial" w:eastAsia="Arial" w:hAnsi="Arial"/>
          <w:b/>
          <w:bCs/>
          <w:sz w:val="22"/>
          <w:szCs w:val="22"/>
        </w:rPr>
        <w:t xml:space="preserve">Yield Opt-Out</w:t>
      </w:r>
    </w:p>
    <w:p>
      <w:pPr>
        <w:spacing w:before="100" w:after="100"/>
        <w:jc w:val="both"/>
      </w:pPr>
      <w:r>
        <w:rPr>
          <w:rFonts w:ascii="Arial" w:cs="Arial" w:eastAsia="Arial" w:hAnsi="Arial"/>
          <w:sz w:val="22"/>
          <w:szCs w:val="22"/>
        </w:rPr>
        <w:t xml:space="preserve">Grantors may set yield_opt_out at lock creation. No mandate is granted. No yield accrues. The principal guarantee is identical. This is appropriate for grantors with tax concerns or who prefer the simplicity of a standard time-lock.</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O.3 The Minting Mandate</w:t>
      </w:r>
    </w:p>
    <w:p>
      <w:pPr>
        <w:pStyle w:val="Heading3"/>
        <w:spacing w:before="200" w:after="100"/>
      </w:pPr>
      <w:r>
        <w:rPr>
          <w:rFonts w:ascii="Arial" w:cs="Arial" w:eastAsia="Arial" w:hAnsi="Arial"/>
          <w:b/>
          <w:bCs/>
          <w:sz w:val="22"/>
          <w:szCs w:val="22"/>
        </w:rPr>
        <w:t xml:space="preserve">What the Mandate Permits</w:t>
      </w:r>
    </w:p>
    <w:p>
      <w:pPr>
        <w:spacing w:before="100" w:after="100"/>
        <w:jc w:val="both"/>
      </w:pPr>
      <w:r>
        <w:rPr>
          <w:rFonts w:ascii="Arial" w:cs="Arial" w:eastAsia="Arial" w:hAnsi="Arial"/>
          <w:sz w:val="22"/>
          <w:szCs w:val="22"/>
        </w:rPr>
        <w:t xml:space="preserve">Every TYPE_Y lock (unless yield_opt_out is set) automatically grants HedgeKX one permission: to create h1KX tokens on the Base network in a quantity up to the locked KX amount, for periods not exceeding 24 hours at a time. That is the complete scope of the mandate. Nothing else.</w:t>
      </w:r>
    </w:p>
    <w:p>
      <w:pPr>
        <w:spacing w:before="80" w:after="80"/>
      </w:pPr>
      <w:r>
        <w:t xml:space="preserve"/>
      </w:r>
    </w:p>
    <w:p>
      <w:pPr>
        <w:pStyle w:val="Heading3"/>
        <w:spacing w:before="200" w:after="100"/>
      </w:pPr>
      <w:r>
        <w:rPr>
          <w:rFonts w:ascii="Arial" w:cs="Arial" w:eastAsia="Arial" w:hAnsi="Arial"/>
          <w:b/>
          <w:bCs/>
          <w:sz w:val="22"/>
          <w:szCs w:val="22"/>
        </w:rPr>
        <w:t xml:space="preserve">What the Mandate Does Not Permit</w:t>
      </w:r>
    </w:p>
    <w:p>
      <w:pPr>
        <w:pStyle w:val="ListParagraph"/>
        <w:numPr>
          <w:ilvl w:val="0"/>
          <w:numId w:val="2"/>
        </w:numPr>
        <w:spacing w:before="60" w:after="60"/>
      </w:pPr>
      <w:r>
        <w:rPr>
          <w:rFonts w:ascii="Arial" w:cs="Arial" w:eastAsia="Arial" w:hAnsi="Arial"/>
          <w:sz w:val="22"/>
          <w:szCs w:val="22"/>
        </w:rPr>
        <w:t xml:space="preserve">Transfer of ownership — HedgeKX does not own, control, or have any claim on the locked KX at any point.</w:t>
      </w:r>
    </w:p>
    <w:p>
      <w:pPr>
        <w:pStyle w:val="ListParagraph"/>
        <w:numPr>
          <w:ilvl w:val="0"/>
          <w:numId w:val="2"/>
        </w:numPr>
        <w:spacing w:before="60" w:after="60"/>
      </w:pPr>
      <w:r>
        <w:rPr>
          <w:rFonts w:ascii="Arial" w:cs="Arial" w:eastAsia="Arial" w:hAnsi="Arial"/>
          <w:sz w:val="22"/>
          <w:szCs w:val="22"/>
        </w:rPr>
        <w:t xml:space="preserve">Movement of locked KX — the KX stays on the ChronX DAG.</w:t>
      </w:r>
    </w:p>
    <w:p>
      <w:pPr>
        <w:pStyle w:val="ListParagraph"/>
        <w:numPr>
          <w:ilvl w:val="0"/>
          <w:numId w:val="2"/>
        </w:numPr>
        <w:spacing w:before="60" w:after="60"/>
      </w:pPr>
      <w:r>
        <w:rPr>
          <w:rFonts w:ascii="Arial" w:cs="Arial" w:eastAsia="Arial" w:hAnsi="Arial"/>
          <w:sz w:val="22"/>
          <w:szCs w:val="22"/>
        </w:rPr>
        <w:t xml:space="preserve">Liquidation of locked KX — even if HedgeKX faces losses, is sued, or is ordered by a court to pay a debt, the locked KX cannot be seized.</w:t>
      </w:r>
    </w:p>
    <w:p>
      <w:pPr>
        <w:pStyle w:val="ListParagraph"/>
        <w:numPr>
          <w:ilvl w:val="0"/>
          <w:numId w:val="2"/>
        </w:numPr>
        <w:spacing w:before="60" w:after="60"/>
      </w:pPr>
      <w:r>
        <w:rPr>
          <w:rFonts w:ascii="Arial" w:cs="Arial" w:eastAsia="Arial" w:hAnsi="Arial"/>
          <w:sz w:val="22"/>
          <w:szCs w:val="22"/>
        </w:rPr>
        <w:t xml:space="preserve">Obligation to mint — on days with no matching activity, no h1KX is minted and the mandate sits unused.</w:t>
      </w:r>
    </w:p>
    <w:p>
      <w:pPr>
        <w:spacing w:before="80" w:after="80"/>
      </w:pPr>
      <w:r>
        <w:t xml:space="preserve"/>
      </w:r>
    </w:p>
    <w:p>
      <w:pPr>
        <w:pStyle w:val="Heading3"/>
        <w:spacing w:before="200" w:after="100"/>
      </w:pPr>
      <w:r>
        <w:rPr>
          <w:rFonts w:ascii="Arial" w:cs="Arial" w:eastAsia="Arial" w:hAnsi="Arial"/>
          <w:b/>
          <w:bCs/>
          <w:sz w:val="22"/>
          <w:szCs w:val="22"/>
        </w:rPr>
        <w:t xml:space="preserve">How Mandate Capacity Is Verified</w:t>
      </w:r>
    </w:p>
    <w:p>
      <w:pPr>
        <w:spacing w:before="100" w:after="100"/>
        <w:jc w:val="both"/>
      </w:pPr>
      <w:r>
        <w:rPr>
          <w:rFonts w:ascii="Arial" w:cs="Arial" w:eastAsia="Arial" w:hAnsi="Arial"/>
          <w:sz w:val="22"/>
          <w:szCs w:val="22"/>
        </w:rPr>
        <w:t xml:space="preserve">When HedgeKX requests an h1KX mint, the minting contract on Base independently verifies the claim by checking a cryptographic Merkle inclusion proof against the ChronX DAG's committed state root. The contract verifies the proof's mathematics directly — it does not trust HedgeKX's word, it does not rely on any oracle's interpretation. It checks the proof against publicly available cryptographic commitments from the ChronX network.</w:t>
      </w:r>
    </w:p>
    <w:p>
      <w:pPr>
        <w:spacing w:before="80" w:after="80"/>
      </w:pPr>
      <w:r>
        <w:t xml:space="preserve"/>
      </w:r>
    </w:p>
    <w:p>
      <w:pPr>
        <w:pStyle w:val="Heading3"/>
        <w:spacing w:before="200" w:after="100"/>
      </w:pPr>
      <w:r>
        <w:rPr>
          <w:rFonts w:ascii="Arial" w:cs="Arial" w:eastAsia="Arial" w:hAnsi="Arial"/>
          <w:b/>
          <w:bCs/>
          <w:sz w:val="22"/>
          <w:szCs w:val="22"/>
        </w:rPr>
        <w:t xml:space="preserve">Multi-Currency Mandate Routing</w:t>
      </w:r>
    </w:p>
    <w:p>
      <w:pPr>
        <w:spacing w:before="100" w:after="100"/>
        <w:jc w:val="both"/>
      </w:pPr>
      <w:r>
        <w:rPr>
          <w:rFonts w:ascii="Arial" w:cs="Arial" w:eastAsia="Arial" w:hAnsi="Arial"/>
          <w:sz w:val="22"/>
          <w:szCs w:val="22"/>
        </w:rPr>
        <w:t xml:space="preserve">All TYPE_Y locks automatically become available as mandate sources for all governance-approved hedge pairs. HedgeKX internally routes mandate capacity to whichever pair has active demand. Lock holders do not specify which pair their mandate supports. Yield reflects aggregate facilitation income from all pairs that used their mandate capacity on a given day.</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O.4 The Token Family — wKX, h1KX, and hNKX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wKX (XChan Public Token)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h1KX (HedgeKX Internal 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Retail KX/USDC conversion on Base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settlement bridge for forward exchanges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Transferable?</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Yes — standard ERC-20</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No — transfer function disabled by contract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Uniswap, exchanges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never leaves HedgeKX settlement system</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Expiry</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None — redeemable anytime via unwrap</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24 hours — passive expiry, balanceOf returns zero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Backed by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XChan conversion locks (60-second)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TYPE_Y mandate locks (lock duration)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User sees it?</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Yes — they buy, hold, trade it</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Never — purely internal infrastructure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Burns when?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user unwraps for KX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Automatically, 24 hours after minting</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Retail risk</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Standard ERC-20 + peg maintenance</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None — retail users never interact with it</w:t>
            </w:r>
          </w:p>
        </w:tc>
      </w:tr>
    </w:tbl>
    <w:p>
      <w:pPr>
        <w:spacing w:before="80" w:after="80"/>
      </w:pPr>
      <w:r>
        <w:t xml:space="preserve"/>
      </w:r>
    </w:p>
    <w:p>
      <w:pPr>
        <w:pStyle w:val="Heading3"/>
        <w:spacing w:before="200" w:after="100"/>
      </w:pPr>
      <w:r>
        <w:rPr>
          <w:rFonts w:ascii="Arial" w:cs="Arial" w:eastAsia="Arial" w:hAnsi="Arial"/>
          <w:b/>
          <w:bCs/>
          <w:sz w:val="22"/>
          <w:szCs w:val="22"/>
        </w:rPr>
        <w:t xml:space="preserve">The hNKX Family — Designed for 100 Years</w:t>
      </w:r>
    </w:p>
    <w:p>
      <w:pPr>
        <w:spacing w:before="100" w:after="100"/>
        <w:jc w:val="both"/>
      </w:pPr>
      <w:r>
        <w:rPr>
          <w:rFonts w:ascii="Arial" w:cs="Arial" w:eastAsia="Arial" w:hAnsi="Arial"/>
          <w:sz w:val="22"/>
          <w:szCs w:val="22"/>
        </w:rPr>
        <w:t xml:space="preserve">The h-family naming convention encodes the protocol's extensibility:</w:t>
      </w:r>
    </w:p>
    <w:p>
      <w:pPr>
        <w:pStyle w:val="ListParagraph"/>
        <w:numPr>
          <w:ilvl w:val="0"/>
          <w:numId w:val="2"/>
        </w:numPr>
        <w:spacing w:before="60" w:after="60"/>
      </w:pPr>
      <w:r>
        <w:rPr>
          <w:rFonts w:ascii="Arial" w:cs="Arial" w:eastAsia="Arial" w:hAnsi="Arial"/>
          <w:sz w:val="22"/>
          <w:szCs w:val="22"/>
        </w:rPr>
        <w:t xml:space="preserve">h1KX:  KX ↔ USDC — first pair, the foundation, deployed at HedgeKX launch</w:t>
      </w:r>
    </w:p>
    <w:p>
      <w:pPr>
        <w:pStyle w:val="ListParagraph"/>
        <w:numPr>
          <w:ilvl w:val="0"/>
          <w:numId w:val="2"/>
        </w:numPr>
        <w:spacing w:before="60" w:after="60"/>
      </w:pPr>
      <w:r>
        <w:rPr>
          <w:rFonts w:ascii="Arial" w:cs="Arial" w:eastAsia="Arial" w:hAnsi="Arial"/>
          <w:sz w:val="22"/>
          <w:szCs w:val="22"/>
        </w:rPr>
        <w:t xml:space="preserve">h2KX:  KX ↔ BTC — second pair, requires governance vote to deploy</w:t>
      </w:r>
    </w:p>
    <w:p>
      <w:pPr>
        <w:pStyle w:val="ListParagraph"/>
        <w:numPr>
          <w:ilvl w:val="0"/>
          <w:numId w:val="2"/>
        </w:numPr>
        <w:spacing w:before="60" w:after="60"/>
      </w:pPr>
      <w:r>
        <w:rPr>
          <w:rFonts w:ascii="Arial" w:cs="Arial" w:eastAsia="Arial" w:hAnsi="Arial"/>
          <w:sz w:val="22"/>
          <w:szCs w:val="22"/>
        </w:rPr>
        <w:t xml:space="preserve">h3KX:  KX ↔ ETH — third pair (hypothetical future)</w:t>
      </w:r>
    </w:p>
    <w:p>
      <w:pPr>
        <w:pStyle w:val="ListParagraph"/>
        <w:numPr>
          <w:ilvl w:val="0"/>
          <w:numId w:val="2"/>
        </w:numPr>
        <w:spacing w:before="60" w:after="60"/>
      </w:pPr>
      <w:r>
        <w:rPr>
          <w:rFonts w:ascii="Arial" w:cs="Arial" w:eastAsia="Arial" w:hAnsi="Arial"/>
          <w:sz w:val="22"/>
          <w:szCs w:val="22"/>
        </w:rPr>
        <w:t xml:space="preserve">hNKX:  Any Nth governance-approved pair</w:t>
      </w:r>
    </w:p>
    <w:p>
      <w:pPr>
        <w:spacing w:before="80" w:after="80"/>
      </w:pPr>
      <w:r>
        <w:t xml:space="preserve"/>
      </w:r>
    </w:p>
    <w:p>
      <w:pPr>
        <w:spacing w:before="100" w:after="100"/>
        <w:jc w:val="both"/>
      </w:pPr>
      <w:r>
        <w:rPr>
          <w:rFonts w:ascii="Arial" w:cs="Arial" w:eastAsia="Arial" w:hAnsi="Arial"/>
          <w:sz w:val="22"/>
          <w:szCs w:val="22"/>
        </w:rPr>
        <w:t xml:space="preserve">Each hNKX contract is independent — its own supply, its own escrow counterpart, its own 24-hour burn cycle. Adding a new pair never modifies any existing contract.</w:t>
      </w:r>
    </w:p>
    <w:p>
      <w:pPr>
        <w:spacing w:before="80" w:after="80"/>
      </w:pPr>
      <w:r>
        <w:t xml:space="preserve"/>
      </w:r>
    </w:p>
    <w:p>
      <w:pPr>
        <w:pStyle w:val="Heading3"/>
        <w:spacing w:before="200" w:after="100"/>
      </w:pPr>
      <w:r>
        <w:rPr>
          <w:rFonts w:ascii="Arial" w:cs="Arial" w:eastAsia="Arial" w:hAnsi="Arial"/>
          <w:b/>
          <w:bCs/>
          <w:sz w:val="22"/>
          <w:szCs w:val="22"/>
        </w:rPr>
        <w:t xml:space="preserve">h1KX Protocol-Enforced Properties</w:t>
      </w:r>
    </w:p>
    <w:p>
      <w:pPr>
        <w:pStyle w:val="ListParagraph"/>
        <w:numPr>
          <w:ilvl w:val="0"/>
          <w:numId w:val="2"/>
        </w:numPr>
        <w:spacing w:before="60" w:after="60"/>
      </w:pPr>
      <w:r>
        <w:rPr>
          <w:rFonts w:ascii="Arial" w:cs="Arial" w:eastAsia="Arial" w:hAnsi="Arial"/>
          <w:sz w:val="22"/>
          <w:szCs w:val="22"/>
        </w:rPr>
        <w:t xml:space="preserve">Non-transferability. The transfer function is disabled at the code level. h1KX cannot appear on any exchange.</w:t>
      </w:r>
    </w:p>
    <w:p>
      <w:pPr>
        <w:pStyle w:val="ListParagraph"/>
        <w:numPr>
          <w:ilvl w:val="0"/>
          <w:numId w:val="2"/>
        </w:numPr>
        <w:spacing w:before="60" w:after="60"/>
      </w:pPr>
      <w:r>
        <w:rPr>
          <w:rFonts w:ascii="Arial" w:cs="Arial" w:eastAsia="Arial" w:hAnsi="Arial"/>
          <w:sz w:val="22"/>
          <w:szCs w:val="22"/>
        </w:rPr>
        <w:t xml:space="preserve">24-hour passive expiry. The balanceOf function returns zero for any h1KX older than 24 hours. Mathematically dead without requiring a burn transaction — works even during chain outages.</w:t>
      </w:r>
    </w:p>
    <w:p>
      <w:pPr>
        <w:pStyle w:val="ListParagraph"/>
        <w:numPr>
          <w:ilvl w:val="0"/>
          <w:numId w:val="2"/>
        </w:numPr>
        <w:spacing w:before="60" w:after="60"/>
      </w:pPr>
      <w:r>
        <w:rPr>
          <w:rFonts w:ascii="Arial" w:cs="Arial" w:eastAsia="Arial" w:hAnsi="Arial"/>
          <w:sz w:val="22"/>
          <w:szCs w:val="22"/>
        </w:rPr>
        <w:t xml:space="preserve">Supply cap. Total h1KX cannot exceed total verified mandate capacity. Enforced by minting contract proof verification.</w:t>
      </w:r>
    </w:p>
    <w:p>
      <w:pPr>
        <w:pStyle w:val="ListParagraph"/>
        <w:numPr>
          <w:ilvl w:val="0"/>
          <w:numId w:val="2"/>
        </w:numPr>
        <w:spacing w:before="60" w:after="60"/>
      </w:pPr>
      <w:r>
        <w:rPr>
          <w:rFonts w:ascii="Arial" w:cs="Arial" w:eastAsia="Arial" w:hAnsi="Arial"/>
          <w:sz w:val="22"/>
          <w:szCs w:val="22"/>
        </w:rPr>
        <w:t xml:space="preserve">Heartbeat requirement. If the HSM heartbeat stops, all new minting halts automatically within 120 seconds.</w:t>
      </w:r>
    </w:p>
    <w:p>
      <w:pPr>
        <w:pStyle w:val="ListParagraph"/>
        <w:numPr>
          <w:ilvl w:val="0"/>
          <w:numId w:val="2"/>
        </w:numPr>
        <w:spacing w:before="60" w:after="60"/>
      </w:pPr>
      <w:r>
        <w:rPr>
          <w:rFonts w:ascii="Arial" w:cs="Arial" w:eastAsia="Arial" w:hAnsi="Arial"/>
          <w:sz w:val="22"/>
          <w:szCs w:val="22"/>
        </w:rPr>
        <w:t xml:space="preserve">Cannot pay claims. h1KX is not USDC. It represents the KX commitment on the ChronX side. USDC is held separately in the Currency B Committer's escrow.</w:t>
      </w:r>
    </w:p>
    <w:p>
      <w:pPr>
        <w:pStyle w:val="ListParagraph"/>
        <w:numPr>
          <w:ilvl w:val="0"/>
          <w:numId w:val="2"/>
        </w:numPr>
        <w:spacing w:before="60" w:after="60"/>
      </w:pPr>
      <w:r>
        <w:rPr>
          <w:rFonts w:ascii="Arial" w:cs="Arial" w:eastAsia="Arial" w:hAnsi="Arial"/>
          <w:sz w:val="22"/>
          <w:szCs w:val="22"/>
        </w:rPr>
        <w:t xml:space="preserve">Cannot inflate KX supply. Total KX on ChronX plus total h1KX on Base never exceeds 8,270,000,000.</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O.5 The State Root Verification System</w:t>
      </w:r>
    </w:p>
    <w:p>
      <w:pPr>
        <w:spacing w:before="100" w:after="100"/>
      </w:pPr>
    </w:p>
    <w:p>
      <w:pPr>
        <w:spacing w:before="100" w:after="100"/>
        <w:jc w:val="both"/>
      </w:pPr>
      <w:r>
        <w:rPr>
          <w:rFonts w:ascii="Arial" w:cs="Arial" w:eastAsia="Arial" w:hAnsi="Arial"/>
          <w:sz w:val="22"/>
          <w:szCs w:val="22"/>
        </w:rPr>
        <w:t xml:space="preserve">CURRENT IMPLEMENTATION NOTE: The ZK light client described below is the TARGET architecture — it is not yet deployed. The current implementation uses the multi-relayer threshold scheme (3-of-5 independent relayers). The ZK light client is a near-term build priority on the post-ICO roadmap. Until it is deployed, the state root verification trust assumption is the multi-relayer scheme, not pure mathematics. The two models are described below with their respective trust assumptions clearly distinguished.</w:t>
      </w:r>
    </w:p>
    <w:p>
      <w:pPr>
        <w:spacing w:before="100" w:after="100"/>
      </w:pPr>
    </w:p>
    <w:p>
      <w:pPr>
        <w:pStyle w:val="Heading3"/>
        <w:spacing w:before="200" w:after="100"/>
      </w:pPr>
      <w:r>
        <w:rPr>
          <w:rFonts w:ascii="Arial" w:cs="Arial" w:eastAsia="Arial" w:hAnsi="Arial"/>
          <w:b/>
          <w:bCs/>
          <w:sz w:val="22"/>
          <w:szCs w:val="22"/>
        </w:rPr>
        <w:t xml:space="preserve">Why This Exists</w:t>
      </w:r>
    </w:p>
    <w:p>
      <w:pPr>
        <w:spacing w:before="100" w:after="100"/>
        <w:jc w:val="both"/>
      </w:pPr>
      <w:r>
        <w:rPr>
          <w:rFonts w:ascii="Arial" w:cs="Arial" w:eastAsia="Arial" w:hAnsi="Arial"/>
          <w:sz w:val="22"/>
          <w:szCs w:val="22"/>
        </w:rPr>
        <w:t xml:space="preserve">The h1KX minting contract on Base must verify that a KX mandate actually exists on the ChronX DAG before authorising a mint. It cannot trust HedgeKX's word. It verifies the mandate independently using Merkle inclusion proofs against ChronX's committed state root.</w:t>
      </w:r>
    </w:p>
    <w:p>
      <w:pPr>
        <w:spacing w:before="80" w:after="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Trust Assumption</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Attack 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(multi-relayer)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Honest majority of 3-of-5 independent relayers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Compromise 3 of 5 relayers simultaneously</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Target (ZK light client)</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Cryptographic security of hash functions + ChronX consensus validity</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Break SHA-3 or compromise ChronX validator majority</w:t>
            </w:r>
          </w:p>
        </w:tc>
      </w:tr>
    </w:tbl>
    <w:p>
      <w:pPr>
        <w:spacing w:before="80" w:after="80"/>
      </w:pPr>
      <w:r>
        <w:t xml:space="preserve"/>
      </w:r>
    </w:p>
    <w:p>
      <w:pPr>
        <w:spacing w:before="100" w:after="100"/>
        <w:jc w:val="both"/>
      </w:pPr>
      <w:r>
        <w:rPr>
          <w:rFonts w:ascii="Arial" w:cs="Arial" w:eastAsia="Arial" w:hAnsi="Arial"/>
          <w:sz w:val="22"/>
          <w:szCs w:val="22"/>
        </w:rPr>
        <w:t xml:space="preserve">The ZK light client runs inside the Base minting contract, independently verifying ChronX consensus using ZK-SNARKs. No relayer trust required. This is a build priority for the post-ICO roadmap.</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O.6 The Matched Forward Exchange — Complete Mechanics</w:t>
      </w:r>
    </w:p>
    <w:p>
      <w:pPr>
        <w:pStyle w:val="Heading3"/>
        <w:spacing w:before="200" w:after="100"/>
      </w:pPr>
      <w:r>
        <w:rPr>
          <w:rFonts w:ascii="Arial" w:cs="Arial" w:eastAsia="Arial" w:hAnsi="Arial"/>
          <w:b/>
          <w:bCs/>
          <w:sz w:val="22"/>
          <w:szCs w:val="22"/>
        </w:rPr>
        <w:t xml:space="preserve">The Two Parties</w:t>
      </w:r>
    </w:p>
    <w:p>
      <w:pPr>
        <w:spacing w:before="100" w:after="100"/>
        <w:jc w:val="both"/>
      </w:pPr>
      <w:r>
        <w:rPr>
          <w:rFonts w:ascii="Arial" w:cs="Arial" w:eastAsia="Arial" w:hAnsi="Arial"/>
          <w:b/>
          <w:bCs/>
          <w:sz w:val="22"/>
          <w:szCs w:val="22"/>
        </w:rPr>
        <w:t xml:space="preserve">The Exchange Buyer:</w:t>
      </w:r>
    </w:p>
    <w:p>
      <w:pPr>
        <w:spacing w:before="100" w:after="100"/>
        <w:jc w:val="both"/>
      </w:pPr>
      <w:r>
        <w:rPr>
          <w:rFonts w:ascii="Arial" w:cs="Arial" w:eastAsia="Arial" w:hAnsi="Arial"/>
          <w:sz w:val="22"/>
          <w:szCs w:val="22"/>
        </w:rPr>
        <w:t xml:space="preserve">Needs price certainty. Locks KX as collateral on ChronX at a pre-agreed exchange rate. Pays a premium to HedgeKX at inception. Receives the right to deliver that KX and receive the pre-agreed quantity of USDC at a future date or triggering event, regardless of KX's market price at that moment.</w:t>
      </w:r>
    </w:p>
    <w:p>
      <w:pPr>
        <w:spacing w:before="80" w:after="80"/>
      </w:pPr>
      <w:r>
        <w:t xml:space="preserve"/>
      </w:r>
    </w:p>
    <w:p>
      <w:pPr>
        <w:spacing w:before="100" w:after="100"/>
        <w:jc w:val="both"/>
      </w:pPr>
      <w:r>
        <w:rPr>
          <w:rFonts w:ascii="Arial" w:cs="Arial" w:eastAsia="Arial" w:hAnsi="Arial"/>
          <w:b/>
          <w:bCs/>
          <w:sz w:val="22"/>
          <w:szCs w:val="22"/>
        </w:rPr>
        <w:t xml:space="preserve">The Currency B Committer (Superseding Hedger):</w:t>
      </w:r>
    </w:p>
    <w:p>
      <w:pPr>
        <w:spacing w:before="100" w:after="100"/>
        <w:jc w:val="both"/>
      </w:pPr>
      <w:r>
        <w:rPr>
          <w:rFonts w:ascii="Arial" w:cs="Arial" w:eastAsia="Arial" w:hAnsi="Arial"/>
          <w:sz w:val="22"/>
          <w:szCs w:val="22"/>
        </w:rPr>
        <w:t xml:space="preserve">Seeks yield. Commits USDC into a smart contract escrow on Base for the agreed term. This commitment is enforced by a smart contract timelock — the withdrawal function cannot execute before the agreed term expires. Early withdrawal is mathematically impossible. At maturity, receives the pre-agreed quantity of KX. Accepts KX's directional price risk in exchange for yield.</w:t>
      </w:r>
    </w:p>
    <w:p>
      <w:pPr>
        <w:spacing w:before="80" w:after="80"/>
      </w:pPr>
      <w:r>
        <w:t xml:space="preserve"/>
      </w:r>
    </w:p>
    <w:p>
      <w:pPr>
        <w:spacing w:before="100" w:after="100"/>
        <w:jc w:val="both"/>
      </w:pPr>
      <w:r>
        <w:rPr>
          <w:rFonts w:ascii="Arial" w:cs="Arial" w:eastAsia="Arial" w:hAnsi="Arial"/>
          <w:b/>
          <w:bCs/>
          <w:sz w:val="22"/>
          <w:szCs w:val="22"/>
        </w:rPr>
        <w:t xml:space="preserve">The pre-agreed rate is fixed at inception. It cannot change. All price risk during the term is borne entirely by the Currency B Committer.</w:t>
      </w:r>
    </w:p>
    <w:p>
      <w:pPr>
        <w:spacing w:before="80" w:after="80"/>
      </w:pPr>
      <w:r>
        <w:t xml:space="preserve"/>
      </w:r>
    </w:p>
    <w:p>
      <w:pPr>
        <w:pStyle w:val="Heading3"/>
        <w:spacing w:before="200" w:after="100"/>
      </w:pPr>
      <w:r>
        <w:rPr>
          <w:rFonts w:ascii="Arial" w:cs="Arial" w:eastAsia="Arial" w:hAnsi="Arial"/>
          <w:b/>
          <w:bCs/>
          <w:sz w:val="22"/>
          <w:szCs w:val="22"/>
        </w:rPr>
        <w:t xml:space="preserve">Operating Modes</w:t>
      </w:r>
    </w:p>
    <w:p>
      <w:pPr>
        <w:spacing w:before="100" w:after="100"/>
        <w:jc w:val="both"/>
      </w:pPr>
      <w:r>
        <w:rPr>
          <w:rFonts w:ascii="Arial" w:cs="Arial" w:eastAsia="Arial" w:hAnsi="Arial"/>
          <w:b/>
          <w:bCs/>
          <w:sz w:val="22"/>
          <w:szCs w:val="22"/>
        </w:rPr>
        <w:t xml:space="preserve">Mode 1 — Pure Matching (preferred):</w:t>
      </w:r>
    </w:p>
    <w:p>
      <w:pPr>
        <w:spacing w:before="100" w:after="100"/>
        <w:jc w:val="both"/>
      </w:pPr>
      <w:r>
        <w:rPr>
          <w:rFonts w:ascii="Arial" w:cs="Arial" w:eastAsia="Arial" w:hAnsi="Arial"/>
          <w:sz w:val="22"/>
          <w:szCs w:val="22"/>
        </w:rPr>
        <w:t xml:space="preserve">Exchange Buyer submits intent with up to 5-day fulfillment window. HedgeKX broadcasts to Currency B Committer pool. Natural match found. HedgeKX earns facilitation fee. Takes zero directional risk.</w:t>
      </w:r>
    </w:p>
    <w:p>
      <w:pPr>
        <w:spacing w:before="80" w:after="80"/>
      </w:pPr>
      <w:r>
        <w:t xml:space="preserve"/>
      </w:r>
    </w:p>
    <w:p>
      <w:pPr>
        <w:spacing w:before="100" w:after="100"/>
        <w:jc w:val="both"/>
      </w:pPr>
      <w:r>
        <w:rPr>
          <w:rFonts w:ascii="Arial" w:cs="Arial" w:eastAsia="Arial" w:hAnsi="Arial"/>
          <w:b/>
          <w:bCs/>
          <w:sz w:val="22"/>
          <w:szCs w:val="22"/>
        </w:rPr>
        <w:t xml:space="preserve">Mode 2 — Temporary Market Making (bounded, exceptional):</w:t>
      </w:r>
    </w:p>
    <w:p>
      <w:pPr>
        <w:spacing w:before="100" w:after="100"/>
        <w:jc w:val="both"/>
      </w:pPr>
      <w:r>
        <w:rPr>
          <w:rFonts w:ascii="Arial" w:cs="Arial" w:eastAsia="Arial" w:hAnsi="Arial"/>
          <w:sz w:val="22"/>
          <w:szCs w:val="22"/>
        </w:rPr>
        <w:t xml:space="preserve">If no natural match available within the window, HedgeKX may temporarily take the other side from its own operating capital. Mode 2 is subject to hard protocol-enforced caps (see O.8).</w:t>
      </w:r>
    </w:p>
    <w:p>
      <w:pPr>
        <w:spacing w:before="80" w:after="80"/>
      </w:pPr>
      <w:r>
        <w:t xml:space="preserve"/>
      </w:r>
    </w:p>
    <w:p>
      <w:pPr>
        <w:pStyle w:val="Heading3"/>
        <w:spacing w:before="200" w:after="100"/>
      </w:pPr>
      <w:r>
        <w:rPr>
          <w:rFonts w:ascii="Arial" w:cs="Arial" w:eastAsia="Arial" w:hAnsi="Arial"/>
          <w:b/>
          <w:bCs/>
          <w:sz w:val="22"/>
          <w:szCs w:val="22"/>
        </w:rPr>
        <w:t xml:space="preserve">Instrument Duration and Governance Restriction</w:t>
      </w:r>
    </w:p>
    <w:p>
      <w:pPr>
        <w:spacing w:before="100" w:after="100"/>
        <w:jc w:val="both"/>
      </w:pPr>
      <w:r>
        <w:rPr>
          <w:rFonts w:ascii="Arial" w:cs="Arial" w:eastAsia="Arial" w:hAnsi="Arial"/>
          <w:sz w:val="22"/>
          <w:szCs w:val="22"/>
        </w:rPr>
        <w:t xml:space="preserve">At launch: overnight instruments only. Pricing 365 days of volatility for a new asset is irrational — premiums would be enormous and unattractive. One night's volatility is small, calculable, and rationally priceable.</w:t>
      </w:r>
    </w:p>
    <w:p>
      <w:pPr>
        <w:spacing w:before="80" w:after="80"/>
      </w:pPr>
      <w:r>
        <w:t xml:space="preserve"/>
      </w:r>
    </w:p>
    <w:p>
      <w:pPr>
        <w:spacing w:before="100" w:after="100"/>
        <w:jc w:val="both"/>
      </w:pPr>
      <w:r>
        <w:rPr>
          <w:rFonts w:ascii="Arial" w:cs="Arial" w:eastAsia="Arial" w:hAnsi="Arial"/>
          <w:sz w:val="22"/>
          <w:szCs w:val="22"/>
        </w:rPr>
        <w:t xml:space="preserve">Governance extends duration in stages when four conditions are simultaneously true for 30 consecutive days: volatility stability, minimum matched volume, minimum participant diversity, and zero settlement failures. The approximate sequence:</w:t>
      </w:r>
    </w:p>
    <w:p>
      <w:pPr>
        <w:pStyle w:val="ListParagraph"/>
        <w:numPr>
          <w:ilvl w:val="0"/>
          <w:numId w:val="2"/>
        </w:numPr>
        <w:spacing w:before="60" w:after="60"/>
      </w:pPr>
      <w:r>
        <w:rPr>
          <w:rFonts w:ascii="Arial" w:cs="Arial" w:eastAsia="Arial" w:hAnsi="Arial"/>
          <w:sz w:val="22"/>
          <w:szCs w:val="22"/>
        </w:rPr>
        <w:t xml:space="preserve">Launch: Overnight instruments only</w:t>
      </w:r>
    </w:p>
    <w:p>
      <w:pPr>
        <w:pStyle w:val="ListParagraph"/>
        <w:numPr>
          <w:ilvl w:val="0"/>
          <w:numId w:val="2"/>
        </w:numPr>
        <w:spacing w:before="60" w:after="60"/>
      </w:pPr>
      <w:r>
        <w:rPr>
          <w:rFonts w:ascii="Arial" w:cs="Arial" w:eastAsia="Arial" w:hAnsi="Arial"/>
          <w:sz w:val="22"/>
          <w:szCs w:val="22"/>
        </w:rPr>
        <w:t xml:space="preserve">Months later: 7-day instruments (when overnight market stable)</w:t>
      </w:r>
    </w:p>
    <w:p>
      <w:pPr>
        <w:pStyle w:val="ListParagraph"/>
        <w:numPr>
          <w:ilvl w:val="0"/>
          <w:numId w:val="2"/>
        </w:numPr>
        <w:spacing w:before="60" w:after="60"/>
      </w:pPr>
      <w:r>
        <w:rPr>
          <w:rFonts w:ascii="Arial" w:cs="Arial" w:eastAsia="Arial" w:hAnsi="Arial"/>
          <w:sz w:val="22"/>
          <w:szCs w:val="22"/>
        </w:rPr>
        <w:t xml:space="preserve">Later: 30-day, 90-day instruments</w:t>
      </w:r>
    </w:p>
    <w:p>
      <w:pPr>
        <w:pStyle w:val="ListParagraph"/>
        <w:numPr>
          <w:ilvl w:val="0"/>
          <w:numId w:val="2"/>
        </w:numPr>
        <w:spacing w:before="60" w:after="60"/>
      </w:pPr>
      <w:r>
        <w:rPr>
          <w:rFonts w:ascii="Arial" w:cs="Arial" w:eastAsia="Arial" w:hAnsi="Arial"/>
          <w:sz w:val="22"/>
          <w:szCs w:val="22"/>
        </w:rPr>
        <w:t xml:space="preserve">Eventually: Multi-year instruments for institutional use cases</w:t>
      </w:r>
    </w:p>
    <w:p>
      <w:pPr>
        <w:spacing w:before="80" w:after="80"/>
      </w:pPr>
      <w:r>
        <w:t xml:space="preserve"/>
      </w:r>
    </w:p>
    <w:p>
      <w:pPr>
        <w:spacing w:before="100" w:after="100"/>
      </w:pPr>
    </w:p>
    <w:p>
      <w:pPr>
        <w:pStyle w:val="Heading3"/>
        <w:spacing w:before="240" w:after="120"/>
      </w:pPr>
      <w:r>
        <w:rPr>
          <w:rFonts w:ascii="Arial" w:cs="Arial" w:eastAsia="Arial" w:hAnsi="Arial"/>
          <w:b/>
          <w:bCs/>
          <w:color w:val="1F4E79"/>
          <w:sz w:val="24"/>
          <w:szCs w:val="24"/>
        </w:rPr>
        <w:t xml:space="preserve">Two Distinct Instrument Categories</w:t>
      </w:r>
    </w:p>
    <w:p>
      <w:pPr>
        <w:spacing w:before="100" w:after="100"/>
      </w:pPr>
    </w:p>
    <w:p>
      <w:pPr>
        <w:spacing w:before="100" w:after="100"/>
        <w:jc w:val="both"/>
      </w:pPr>
      <w:r>
        <w:rPr>
          <w:rFonts w:ascii="Arial" w:cs="Arial" w:eastAsia="Arial" w:hAnsi="Arial"/>
          <w:sz w:val="22"/>
          <w:szCs w:val="22"/>
        </w:rPr>
        <w:t xml:space="preserve">HedgeKX facilitates two fundamentally different categories of instrument that share the same underlying settlement infrastructure but differ in their economic character and exercise mechanics.</w:t>
      </w:r>
    </w:p>
    <w:p>
      <w:pPr>
        <w:spacing w:before="100" w:after="100"/>
      </w:pPr>
    </w:p>
    <w:p>
      <w:pPr>
        <w:spacing w:before="100" w:after="100"/>
        <w:jc w:val="both"/>
      </w:pPr>
      <w:r>
        <w:rPr>
          <w:rFonts w:ascii="Arial" w:cs="Arial" w:eastAsia="Arial" w:hAnsi="Arial"/>
          <w:sz w:val="22"/>
          <w:szCs w:val="22"/>
        </w:rPr>
        <w:t xml:space="preserve">Category 1 — Settlement-liquidity instruments (friendly loans, PAY_AS loans, KXGC premium float deployment): The Currency B Committer provides USD settlement liquidity for obligations that have contractually obligated repayment or known scheduled cash flows. Exercise is mandatory and automatic — governed entirely by time and payment receipt, with no oracle and no human attestation. The Currency B Committer is not accepting speculative KX price risk in the traditional sense. They are providing the USD layer that makes PAY_AS instruments function, earning approximately 12% annualized on 30-day instruments, and receiving KX collateral at the locked rate only if the obligor fails to perform. This category is available from day one and provides HedgeKX’s organic baseline activity.</w:t>
      </w:r>
    </w:p>
    <w:p>
      <w:pPr>
        <w:spacing w:before="100" w:after="100"/>
      </w:pPr>
    </w:p>
    <w:p>
      <w:pPr>
        <w:spacing w:before="100" w:after="100"/>
        <w:jc w:val="both"/>
      </w:pPr>
      <w:r>
        <w:rPr>
          <w:rFonts w:ascii="Arial" w:cs="Arial" w:eastAsia="Arial" w:hAnsi="Arial"/>
          <w:sz w:val="22"/>
          <w:szCs w:val="22"/>
        </w:rPr>
        <w:t xml:space="preserve">Category 2 — Traditional forward exchange (external yield-seeking capital accepting directional KX risk): The Currency B Committer commits USDC with full awareness that KX’s price may move against them during the commitment period. Exercise depends on market conditions and hedge terms. This is the mature market instrument that develops as KX accumulates price history and external participants evaluate the risk-return profile of directional KX exposure. This category develops over time as the ecosystem matures.</w:t>
      </w:r>
    </w:p>
    <w:p>
      <w:pPr>
        <w:spacing w:before="100" w:after="100"/>
      </w:pPr>
    </w:p>
    <w:p>
      <w:pPr>
        <w:spacing w:before="100" w:after="100"/>
        <w:jc w:val="both"/>
      </w:pPr>
      <w:r>
        <w:rPr>
          <w:rFonts w:ascii="Arial" w:cs="Arial" w:eastAsia="Arial" w:hAnsi="Arial"/>
          <w:sz w:val="22"/>
          <w:szCs w:val="22"/>
        </w:rPr>
        <w:t xml:space="preserve">KXGC participates in both categories simultaneously: as an Exchange Buyer locking KX collateral to hedge its claim liabilities (Category 2), and as a Currency B Committer deploying its premium float as settlement liquidity to earn yield on reserves (Category 1). This natural two-sided participation means KXGC is self-financing its own hedge book — premium income funds the Currency B Committer position that generates yield, while the Exchange Buyer position protects claim-paying capacity. Standard insurance treasury management, implemented on a DAG.</w:t>
      </w:r>
    </w:p>
    <w:p>
      <w:pPr>
        <w:spacing w:before="100" w:after="100"/>
      </w:pPr>
    </w:p>
    <w:p>
      <w:pPr>
        <w:pStyle w:val="Heading2"/>
        <w:spacing w:before="320" w:after="160"/>
      </w:pPr>
      <w:r>
        <w:rPr>
          <w:rFonts w:ascii="Arial" w:cs="Arial" w:eastAsia="Arial" w:hAnsi="Arial"/>
          <w:b/>
          <w:bCs/>
          <w:color w:val="2E75B6"/>
          <w:sz w:val="26"/>
          <w:szCs w:val="26"/>
        </w:rPr>
        <w:t xml:space="preserve">O.7 Settlement Mechanics and Cross-Chain Considerations</w:t>
      </w:r>
    </w:p>
    <w:p>
      <w:pPr>
        <w:pStyle w:val="Heading3"/>
        <w:spacing w:before="200" w:after="100"/>
      </w:pPr>
      <w:r>
        <w:rPr>
          <w:rFonts w:ascii="Arial" w:cs="Arial" w:eastAsia="Arial" w:hAnsi="Arial"/>
          <w:b/>
          <w:bCs/>
          <w:sz w:val="22"/>
          <w:szCs w:val="22"/>
        </w:rPr>
        <w:t xml:space="preserve">The Fundamental Constraint</w:t>
      </w:r>
    </w:p>
    <w:p>
      <w:pPr>
        <w:spacing w:before="100" w:after="100"/>
        <w:jc w:val="both"/>
      </w:pPr>
      <w:r>
        <w:rPr>
          <w:rFonts w:ascii="Arial" w:cs="Arial" w:eastAsia="Arial" w:hAnsi="Arial"/>
          <w:sz w:val="22"/>
          <w:szCs w:val="22"/>
        </w:rPr>
        <w:t xml:space="preserve">Settlement requires two events on two independent blockchains: a KX transfer on ChronX and a USDC transfer on Base. True mathematical atomicity across two independent systems is impossible. This is acknowledged explicitly.</w:t>
      </w:r>
    </w:p>
    <w:p>
      <w:pPr>
        <w:spacing w:before="80" w:after="80"/>
      </w:pPr>
      <w:r>
        <w:t xml:space="preserve"/>
      </w:r>
    </w:p>
    <w:p>
      <w:pPr>
        <w:pStyle w:val="Heading3"/>
        <w:spacing w:before="200" w:after="100"/>
      </w:pPr>
      <w:r>
        <w:rPr>
          <w:rFonts w:ascii="Arial" w:cs="Arial" w:eastAsia="Arial" w:hAnsi="Arial"/>
          <w:b/>
          <w:bCs/>
          <w:sz w:val="22"/>
          <w:szCs w:val="22"/>
        </w:rPr>
        <w:t xml:space="preserve">The Settlement Process</w:t>
      </w:r>
    </w:p>
    <w:p>
      <w:pPr>
        <w:pStyle w:val="ListParagraph"/>
        <w:numPr>
          <w:ilvl w:val="0"/>
          <w:numId w:val="3"/>
        </w:numPr>
        <w:spacing w:before="60" w:after="60"/>
      </w:pPr>
      <w:r>
        <w:rPr>
          <w:rFonts w:ascii="Arial" w:cs="Arial" w:eastAsia="Arial" w:hAnsi="Arial"/>
          <w:sz w:val="22"/>
          <w:szCs w:val="22"/>
        </w:rPr>
        <w:t xml:space="preserve">Exchange Buyer sends KX to HedgeKX's settlement escrow on ChronX. Confirmed to finality threshold.</w:t>
      </w:r>
    </w:p>
    <w:p>
      <w:pPr>
        <w:pStyle w:val="ListParagraph"/>
        <w:numPr>
          <w:ilvl w:val="0"/>
          <w:numId w:val="3"/>
        </w:numPr>
        <w:spacing w:before="60" w:after="60"/>
      </w:pPr>
      <w:r>
        <w:rPr>
          <w:rFonts w:ascii="Arial" w:cs="Arial" w:eastAsia="Arial" w:hAnsi="Arial"/>
          <w:sz w:val="22"/>
          <w:szCs w:val="22"/>
        </w:rPr>
        <w:t xml:space="preserve">Currency B Committer's USDC is already locked in Base escrow from contract creation.</w:t>
      </w:r>
    </w:p>
    <w:p>
      <w:pPr>
        <w:pStyle w:val="ListParagraph"/>
        <w:numPr>
          <w:ilvl w:val="0"/>
          <w:numId w:val="3"/>
        </w:numPr>
        <w:spacing w:before="60" w:after="60"/>
      </w:pPr>
      <w:r>
        <w:rPr>
          <w:rFonts w:ascii="Arial" w:cs="Arial" w:eastAsia="Arial" w:hAnsi="Arial"/>
          <w:sz w:val="22"/>
          <w:szCs w:val="22"/>
        </w:rPr>
        <w:t xml:space="preserve">HedgeKX confirms both sides present and valid.</w:t>
      </w:r>
    </w:p>
    <w:p>
      <w:pPr>
        <w:pStyle w:val="ListParagraph"/>
        <w:numPr>
          <w:ilvl w:val="0"/>
          <w:numId w:val="3"/>
        </w:numPr>
        <w:spacing w:before="60" w:after="60"/>
      </w:pPr>
      <w:r>
        <w:rPr>
          <w:rFonts w:ascii="Arial" w:cs="Arial" w:eastAsia="Arial" w:hAnsi="Arial"/>
          <w:sz w:val="22"/>
          <w:szCs w:val="22"/>
        </w:rPr>
        <w:t xml:space="preserve">HedgeKX releases USDC to Exchange Buyer on Base AND KX to Currency B Committer on ChronX simultaneously, using h1KX as the internal cross-chain accounting record.</w:t>
      </w:r>
    </w:p>
    <w:p>
      <w:pPr>
        <w:pStyle w:val="ListParagraph"/>
        <w:numPr>
          <w:ilvl w:val="0"/>
          <w:numId w:val="3"/>
        </w:numPr>
        <w:spacing w:before="60" w:after="60"/>
      </w:pPr>
      <w:r>
        <w:rPr>
          <w:rFonts w:ascii="Arial" w:cs="Arial" w:eastAsia="Arial" w:hAnsi="Arial"/>
          <w:sz w:val="22"/>
          <w:szCs w:val="22"/>
        </w:rPr>
        <w:t xml:space="preserve">h1KX reads as zero (passively expired or consumed). Settlement complete. HedgeKX ends flat.</w:t>
      </w:r>
    </w:p>
    <w:p>
      <w:pPr>
        <w:spacing w:before="80" w:after="80"/>
      </w:pPr>
      <w:r>
        <w:t xml:space="preserve"/>
      </w:r>
    </w:p>
    <w:p>
      <w:pPr>
        <w:spacing w:before="100" w:after="100"/>
        <w:jc w:val="both"/>
      </w:pPr>
      <w:r>
        <w:rPr>
          <w:rFonts w:ascii="Arial" w:cs="Arial" w:eastAsia="Arial" w:hAnsi="Arial"/>
          <w:sz w:val="22"/>
          <w:szCs w:val="22"/>
        </w:rPr>
        <w:t xml:space="preserve">HedgeKX never releases either leg until both are confirmed present. The ChronX DAG uses deterministic finality — confirmed transactions do not reorg. If either leg fails to arrive within the settlement window, smart contract timeout returns it to the sender automatically.</w:t>
      </w:r>
    </w:p>
    <w:p>
      <w:pPr>
        <w:spacing w:before="80" w:after="80"/>
      </w:pPr>
      <w:r>
        <w:t xml:space="preserve"/>
      </w:r>
    </w:p>
    <w:p>
      <w:pPr>
        <w:pStyle w:val="Heading3"/>
        <w:spacing w:before="200" w:after="100"/>
      </w:pPr>
      <w:r>
        <w:rPr>
          <w:rFonts w:ascii="Arial" w:cs="Arial" w:eastAsia="Arial" w:hAnsi="Arial"/>
          <w:b/>
          <w:bCs/>
          <w:sz w:val="22"/>
          <w:szCs w:val="22"/>
        </w:rPr>
        <w:t xml:space="preserve">Residual Risk</w:t>
      </w:r>
    </w:p>
    <w:p>
      <w:pPr>
        <w:spacing w:before="100" w:after="100"/>
        <w:jc w:val="both"/>
      </w:pPr>
      <w:r>
        <w:rPr>
          <w:rFonts w:ascii="Arial" w:cs="Arial" w:eastAsia="Arial" w:hAnsi="Arial"/>
          <w:sz w:val="22"/>
          <w:szCs w:val="22"/>
        </w:rPr>
        <w:t xml:space="preserve">Under extreme stress — simultaneous network congestion on both chains — there is a narrow residual risk of asymmetric settlement. This risk is bounded (maximum one settlement's notional), time-limited (exposed only during the settlement window), and recoverable (timeout recovery). It cannot be fully eliminated without shared consensus between the two chains.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O.8 Protocol-Enforced Constraints on HedgeKX</w:t>
      </w:r>
    </w:p>
    <w:p>
      <w:pPr>
        <w:spacing w:before="100" w:after="100"/>
        <w:jc w:val="both"/>
      </w:pPr>
      <w:r>
        <w:rPr>
          <w:rFonts w:ascii="Arial" w:cs="Arial" w:eastAsia="Arial" w:hAnsi="Arial"/>
          <w:sz w:val="22"/>
          <w:szCs w:val="22"/>
        </w:rPr>
        <w:t xml:space="preserve">These are not policies HedgeKX follows. They are conditions the protocol enforces upon it:</w:t>
      </w:r>
    </w:p>
    <w:p>
      <w:pPr>
        <w:pStyle w:val="ListParagraph"/>
        <w:numPr>
          <w:ilvl w:val="0"/>
          <w:numId w:val="2"/>
        </w:numPr>
        <w:spacing w:before="60" w:after="60"/>
      </w:pPr>
      <w:r>
        <w:rPr>
          <w:rFonts w:ascii="Arial" w:cs="Arial" w:eastAsia="Arial" w:hAnsi="Arial"/>
          <w:sz w:val="22"/>
          <w:szCs w:val="22"/>
        </w:rPr>
        <w:t xml:space="preserve">h1KX cannot exceed verified mandate pool. Minting contract enforces this via Merkle proof verification.</w:t>
      </w:r>
    </w:p>
    <w:p>
      <w:pPr>
        <w:pStyle w:val="ListParagraph"/>
        <w:numPr>
          <w:ilvl w:val="0"/>
          <w:numId w:val="2"/>
        </w:numPr>
        <w:spacing w:before="60" w:after="60"/>
      </w:pPr>
      <w:r>
        <w:rPr>
          <w:rFonts w:ascii="Arial" w:cs="Arial" w:eastAsia="Arial" w:hAnsi="Arial"/>
          <w:sz w:val="22"/>
          <w:szCs w:val="22"/>
        </w:rPr>
        <w:t xml:space="preserve">h1KX burns within 24 hours. Smart contract balanceOf returns zero after 24 hours. Unstoppable.</w:t>
      </w:r>
    </w:p>
    <w:p>
      <w:pPr>
        <w:pStyle w:val="ListParagraph"/>
        <w:numPr>
          <w:ilvl w:val="0"/>
          <w:numId w:val="2"/>
        </w:numPr>
        <w:spacing w:before="60" w:after="60"/>
      </w:pPr>
      <w:r>
        <w:rPr>
          <w:rFonts w:ascii="Arial" w:cs="Arial" w:eastAsia="Arial" w:hAnsi="Arial"/>
          <w:sz w:val="22"/>
          <w:szCs w:val="22"/>
        </w:rPr>
        <w:t xml:space="preserve">h1KX cannot be transferred. Transfer function disabled at code level.</w:t>
      </w:r>
    </w:p>
    <w:p>
      <w:pPr>
        <w:pStyle w:val="ListParagraph"/>
        <w:numPr>
          <w:ilvl w:val="0"/>
          <w:numId w:val="2"/>
        </w:numPr>
        <w:spacing w:before="60" w:after="60"/>
      </w:pPr>
      <w:r>
        <w:rPr>
          <w:rFonts w:ascii="Arial" w:cs="Arial" w:eastAsia="Arial" w:hAnsi="Arial"/>
          <w:sz w:val="22"/>
          <w:szCs w:val="22"/>
        </w:rPr>
        <w:t xml:space="preserve">Locked KX cannot move. Native chain consensus enforces this. HedgeKX has no access.</w:t>
      </w:r>
    </w:p>
    <w:p>
      <w:pPr>
        <w:pStyle w:val="ListParagraph"/>
        <w:numPr>
          <w:ilvl w:val="0"/>
          <w:numId w:val="2"/>
        </w:numPr>
        <w:spacing w:before="60" w:after="60"/>
      </w:pPr>
      <w:r>
        <w:rPr>
          <w:rFonts w:ascii="Arial" w:cs="Arial" w:eastAsia="Arial" w:hAnsi="Arial"/>
          <w:sz w:val="22"/>
          <w:szCs w:val="22"/>
        </w:rPr>
        <w:t xml:space="preserve">Mode 2 position cap. Encoded in settlement contract. Cannot be exceeded regardless of demand.</w:t>
      </w:r>
    </w:p>
    <w:p>
      <w:pPr>
        <w:pStyle w:val="ListParagraph"/>
        <w:numPr>
          <w:ilvl w:val="0"/>
          <w:numId w:val="2"/>
        </w:numPr>
        <w:spacing w:before="60" w:after="60"/>
      </w:pPr>
      <w:r>
        <w:rPr>
          <w:rFonts w:ascii="Arial" w:cs="Arial" w:eastAsia="Arial" w:hAnsi="Arial"/>
          <w:sz w:val="22"/>
          <w:szCs w:val="22"/>
        </w:rPr>
        <w:t xml:space="preserve">Mode 2 72-hour suspension. If any Mode 2 position remains open more than 72 hours, contract automatically suspends all new Mode 2 activity.</w:t>
      </w:r>
    </w:p>
    <w:p>
      <w:pPr>
        <w:pStyle w:val="ListParagraph"/>
        <w:numPr>
          <w:ilvl w:val="0"/>
          <w:numId w:val="2"/>
        </w:numPr>
        <w:spacing w:before="60" w:after="60"/>
      </w:pPr>
      <w:r>
        <w:rPr>
          <w:rFonts w:ascii="Arial" w:cs="Arial" w:eastAsia="Arial" w:hAnsi="Arial"/>
          <w:sz w:val="22"/>
          <w:szCs w:val="22"/>
        </w:rPr>
        <w:t xml:space="preserve">HSM heartbeat halt. If heartbeat stops, new minting halts within 120 seconds.</w:t>
      </w:r>
    </w:p>
    <w:p>
      <w:pPr>
        <w:pStyle w:val="ListParagraph"/>
        <w:numPr>
          <w:ilvl w:val="0"/>
          <w:numId w:val="2"/>
        </w:numPr>
        <w:spacing w:before="60" w:after="60"/>
      </w:pPr>
      <w:r>
        <w:rPr>
          <w:rFonts w:ascii="Arial" w:cs="Arial" w:eastAsia="Arial" w:hAnsi="Arial"/>
          <w:sz w:val="22"/>
          <w:szCs w:val="22"/>
        </w:rPr>
        <w:t xml:space="preserve">Currency B Committer cannot exit early. Smart contract timelock on withdrawal function.</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O.9 Governance-Restricted Instrument Duration — The Full Rationale</w:t>
      </w:r>
    </w:p>
    <w:p>
      <w:pPr>
        <w:spacing w:before="100" w:after="100"/>
        <w:jc w:val="both"/>
      </w:pPr>
      <w:r>
        <w:rPr>
          <w:rFonts w:ascii="Arial" w:cs="Arial" w:eastAsia="Arial" w:hAnsi="Arial"/>
          <w:sz w:val="22"/>
          <w:szCs w:val="22"/>
        </w:rPr>
        <w:t xml:space="preserve">The overnight-only restriction at launch is not a limitation — it is the honest recognition that rational markets require rational pricing inputs. Extension from overnight to 7-day instruments requires all four conditions simultaneously true for 30 consecutive days:</w:t>
      </w:r>
    </w:p>
    <w:p>
      <w:pPr>
        <w:pStyle w:val="ListParagraph"/>
        <w:numPr>
          <w:ilvl w:val="0"/>
          <w:numId w:val="2"/>
        </w:numPr>
        <w:spacing w:before="60" w:after="60"/>
      </w:pPr>
      <w:r>
        <w:rPr>
          <w:rFonts w:ascii="Arial" w:cs="Arial" w:eastAsia="Arial" w:hAnsi="Arial"/>
          <w:sz w:val="22"/>
          <w:szCs w:val="22"/>
        </w:rPr>
        <w:t xml:space="preserve">Realized volatility stability: 30-day rolling volatility within a governance-set band</w:t>
      </w:r>
    </w:p>
    <w:p>
      <w:pPr>
        <w:pStyle w:val="ListParagraph"/>
        <w:numPr>
          <w:ilvl w:val="0"/>
          <w:numId w:val="2"/>
        </w:numPr>
        <w:spacing w:before="60" w:after="60"/>
      </w:pPr>
      <w:r>
        <w:rPr>
          <w:rFonts w:ascii="Arial" w:cs="Arial" w:eastAsia="Arial" w:hAnsi="Arial"/>
          <w:sz w:val="22"/>
          <w:szCs w:val="22"/>
        </w:rPr>
        <w:t xml:space="preserve">Volume sufficiency: average daily matched notional above governance-set minimum</w:t>
      </w:r>
    </w:p>
    <w:p>
      <w:pPr>
        <w:pStyle w:val="ListParagraph"/>
        <w:numPr>
          <w:ilvl w:val="0"/>
          <w:numId w:val="2"/>
        </w:numPr>
        <w:spacing w:before="60" w:after="60"/>
      </w:pPr>
      <w:r>
        <w:rPr>
          <w:rFonts w:ascii="Arial" w:cs="Arial" w:eastAsia="Arial" w:hAnsi="Arial"/>
          <w:sz w:val="22"/>
          <w:szCs w:val="22"/>
        </w:rPr>
        <w:t xml:space="preserve">Participant diversity: unique Exchange Buyers and Currency B Committers above minimum</w:t>
      </w:r>
    </w:p>
    <w:p>
      <w:pPr>
        <w:pStyle w:val="ListParagraph"/>
        <w:numPr>
          <w:ilvl w:val="0"/>
          <w:numId w:val="2"/>
        </w:numPr>
        <w:spacing w:before="60" w:after="60"/>
      </w:pPr>
      <w:r>
        <w:rPr>
          <w:rFonts w:ascii="Arial" w:cs="Arial" w:eastAsia="Arial" w:hAnsi="Arial"/>
          <w:sz w:val="22"/>
          <w:szCs w:val="22"/>
        </w:rPr>
        <w:t xml:space="preserve">Settlement reliability: zero or near-zero timeout recovery events during the period</w:t>
      </w:r>
    </w:p>
    <w:p>
      <w:pPr>
        <w:spacing w:before="80" w:after="80"/>
      </w:pPr>
      <w:r>
        <w:t xml:space="preserve"/>
      </w:r>
    </w:p>
    <w:p>
      <w:pPr>
        <w:spacing w:before="100" w:after="100"/>
        <w:jc w:val="both"/>
      </w:pPr>
      <w:r>
        <w:rPr>
          <w:rFonts w:ascii="Arial" w:cs="Arial" w:eastAsia="Arial" w:hAnsi="Arial"/>
          <w:sz w:val="22"/>
          <w:szCs w:val="22"/>
        </w:rPr>
        <w:t xml:space="preserve">All four must be satisfied for 30 consecutive days. A single day's failure resets the clock. Simultaneously gaming all four for 30 days is prohibitively expensive and publicly visible on-chain.</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O.10 The Currency B Committer's Complete Risk Profile</w:t>
      </w:r>
    </w:p>
    <w:p>
      <w:pPr>
        <w:pStyle w:val="Heading3"/>
        <w:spacing w:before="200" w:after="100"/>
      </w:pPr>
      <w:r>
        <w:rPr>
          <w:rFonts w:ascii="Arial" w:cs="Arial" w:eastAsia="Arial" w:hAnsi="Arial"/>
          <w:b/>
          <w:bCs/>
          <w:sz w:val="22"/>
          <w:szCs w:val="22"/>
        </w:rPr>
        <w:t xml:space="preserve">What You Are Doing</w:t>
      </w:r>
    </w:p>
    <w:p>
      <w:pPr>
        <w:spacing w:before="100" w:after="100"/>
        <w:jc w:val="both"/>
      </w:pPr>
      <w:r>
        <w:rPr>
          <w:rFonts w:ascii="Arial" w:cs="Arial" w:eastAsia="Arial" w:hAnsi="Arial"/>
          <w:sz w:val="22"/>
          <w:szCs w:val="22"/>
        </w:rPr>
        <w:t xml:space="preserve">You commit USDC into a smart contract escrow for a defined period. You cannot exit early. At the end of the term, you receive a pre-agreed quantity of KX. You are accepting KX's directional price risk for the duration of your commitment. The yield earned is your compensation for this risk.</w:t>
      </w:r>
    </w:p>
    <w:p>
      <w:pPr>
        <w:spacing w:before="80" w:after="80"/>
      </w:pPr>
      <w:r>
        <w:t xml:space="preserve"/>
      </w:r>
    </w:p>
    <w:p>
      <w:pPr>
        <w:pStyle w:val="Heading3"/>
        <w:spacing w:before="200" w:after="100"/>
      </w:pPr>
      <w:r>
        <w:rPr>
          <w:rFonts w:ascii="Arial" w:cs="Arial" w:eastAsia="Arial" w:hAnsi="Arial"/>
          <w:b/>
          <w:bCs/>
          <w:sz w:val="22"/>
          <w:szCs w:val="22"/>
        </w:rPr>
        <w:t xml:space="preserve">Risk 1 — KX Price Risk (Market Risk, Unavoidable)</w:t>
      </w:r>
    </w:p>
    <w:p>
      <w:pPr>
        <w:spacing w:before="100" w:after="100"/>
        <w:jc w:val="both"/>
      </w:pPr>
      <w:r>
        <w:rPr>
          <w:rFonts w:ascii="Arial" w:cs="Arial" w:eastAsia="Arial" w:hAnsi="Arial"/>
          <w:sz w:val="22"/>
          <w:szCs w:val="22"/>
        </w:rPr>
        <w:t xml:space="preserve">If KX depreciates during your commitment, you receive KX worth less than the USDC you committed. At overnight durations this risk is small. At longer durations it grows. The yield premium reflects the price risk accepted. This is not a protocol failure — this is the instrument working as designed.</w:t>
      </w:r>
    </w:p>
    <w:p>
      <w:pPr>
        <w:spacing w:before="80" w:after="80"/>
      </w:pPr>
      <w:r>
        <w:t xml:space="preserve"/>
      </w:r>
    </w:p>
    <w:p>
      <w:pPr>
        <w:pStyle w:val="Heading3"/>
        <w:spacing w:before="200" w:after="100"/>
      </w:pPr>
      <w:r>
        <w:rPr>
          <w:rFonts w:ascii="Arial" w:cs="Arial" w:eastAsia="Arial" w:hAnsi="Arial"/>
          <w:b/>
          <w:bCs/>
          <w:sz w:val="22"/>
          <w:szCs w:val="22"/>
        </w:rPr>
        <w:t xml:space="preserve">Risk 2 — Yield Variability</w:t>
      </w:r>
    </w:p>
    <w:p>
      <w:pPr>
        <w:spacing w:before="100" w:after="100"/>
        <w:jc w:val="both"/>
      </w:pPr>
      <w:r>
        <w:rPr>
          <w:rFonts w:ascii="Arial" w:cs="Arial" w:eastAsia="Arial" w:hAnsi="Arial"/>
          <w:sz w:val="22"/>
          <w:szCs w:val="22"/>
        </w:rPr>
        <w:t xml:space="preserve">Yield is your share of HedgeKX's facilitation income on days when your commitment is actively matched. If HedgeKX has low or no activity, yield is zero for that period. Your USDC remains locked. Yield is variable. No minimum is promised.</w:t>
      </w:r>
    </w:p>
    <w:p>
      <w:pPr>
        <w:spacing w:before="80" w:after="80"/>
      </w:pPr>
      <w:r>
        <w:t xml:space="preserve"/>
      </w:r>
    </w:p>
    <w:p>
      <w:pPr>
        <w:pStyle w:val="Heading3"/>
        <w:spacing w:before="200" w:after="100"/>
      </w:pPr>
      <w:r>
        <w:rPr>
          <w:rFonts w:ascii="Arial" w:cs="Arial" w:eastAsia="Arial" w:hAnsi="Arial"/>
          <w:b/>
          <w:bCs/>
          <w:sz w:val="22"/>
          <w:szCs w:val="22"/>
        </w:rPr>
        <w:t xml:space="preserve">Risk 3 — HedgeKX Operational Risk</w:t>
      </w:r>
    </w:p>
    <w:p>
      <w:pPr>
        <w:spacing w:before="100" w:after="100"/>
        <w:jc w:val="both"/>
      </w:pPr>
      <w:r>
        <w:rPr>
          <w:rFonts w:ascii="Arial" w:cs="Arial" w:eastAsia="Arial" w:hAnsi="Arial"/>
          <w:sz w:val="22"/>
          <w:szCs w:val="22"/>
        </w:rPr>
        <w:t xml:space="preserve">If HedgeKX ceases to operate, your USDC escrow contract continues automatically. Your commitment terms are enforced by smart contract, not by HedgeKX's continued existence. At maturity the contract releases your KX automatically. HedgeKX's Mode 2 losses come from its own capital — your escrow is a separate contract HedgeKX cannot access.</w:t>
      </w:r>
    </w:p>
    <w:p>
      <w:pPr>
        <w:spacing w:before="80" w:after="80"/>
      </w:pPr>
      <w:r>
        <w:t xml:space="preserve"/>
      </w:r>
    </w:p>
    <w:p>
      <w:pPr>
        <w:pStyle w:val="Heading3"/>
        <w:spacing w:before="200" w:after="100"/>
      </w:pPr>
      <w:r>
        <w:rPr>
          <w:rFonts w:ascii="Arial" w:cs="Arial" w:eastAsia="Arial" w:hAnsi="Arial"/>
          <w:b/>
          <w:bCs/>
          <w:sz w:val="22"/>
          <w:szCs w:val="22"/>
        </w:rPr>
        <w:t xml:space="preserve">Risk 4 — Smart Contract Risk</w:t>
      </w:r>
    </w:p>
    <w:p>
      <w:pPr>
        <w:spacing w:before="100" w:after="100"/>
        <w:jc w:val="both"/>
      </w:pPr>
      <w:r>
        <w:rPr>
          <w:rFonts w:ascii="Arial" w:cs="Arial" w:eastAsia="Arial" w:hAnsi="Arial"/>
          <w:sz w:val="22"/>
          <w:szCs w:val="22"/>
        </w:rPr>
        <w:t xml:space="preserve">The Base smart contract holding your USDC could contain a bug. Mitigated by public audits, open-source publication, and conservative initial deployment.</w:t>
      </w:r>
    </w:p>
    <w:p>
      <w:pPr>
        <w:spacing w:before="80" w:after="80"/>
      </w:pPr>
      <w:r>
        <w:t xml:space="preserve"/>
      </w:r>
    </w:p>
    <w:p>
      <w:pPr>
        <w:pStyle w:val="Heading3"/>
        <w:spacing w:before="200" w:after="100"/>
      </w:pPr>
      <w:r>
        <w:rPr>
          <w:rFonts w:ascii="Arial" w:cs="Arial" w:eastAsia="Arial" w:hAnsi="Arial"/>
          <w:b/>
          <w:bCs/>
          <w:sz w:val="22"/>
          <w:szCs w:val="22"/>
        </w:rPr>
        <w:t xml:space="preserve">Risk 5 — Base Network Risk</w:t>
      </w:r>
    </w:p>
    <w:p>
      <w:pPr>
        <w:spacing w:before="100" w:after="100"/>
        <w:jc w:val="both"/>
      </w:pPr>
      <w:r>
        <w:rPr>
          <w:rFonts w:ascii="Arial" w:cs="Arial" w:eastAsia="Arial" w:hAnsi="Arial"/>
          <w:sz w:val="22"/>
          <w:szCs w:val="22"/>
        </w:rPr>
        <w:t xml:space="preserve">Base outage delays settlement; USDC is not lost. A hostile Base governance change could theoretically alter contract behavior. These are inherited risks of using any external network.</w:t>
      </w:r>
    </w:p>
    <w:p>
      <w:pPr>
        <w:spacing w:before="80" w:after="80"/>
      </w:pPr>
      <w:r>
        <w:t xml:space="preserve"/>
      </w:r>
    </w:p>
    <w:p>
      <w:pPr>
        <w:pStyle w:val="Heading3"/>
        <w:spacing w:before="200" w:after="100"/>
      </w:pPr>
      <w:r>
        <w:rPr>
          <w:rFonts w:ascii="Arial" w:cs="Arial" w:eastAsia="Arial" w:hAnsi="Arial"/>
          <w:b/>
          <w:bCs/>
          <w:sz w:val="22"/>
          <w:szCs w:val="22"/>
        </w:rPr>
        <w:t xml:space="preserve">Risk 6 — Regulatory Risk</w:t>
      </w:r>
    </w:p>
    <w:p>
      <w:pPr>
        <w:spacing w:before="100" w:after="100"/>
        <w:jc w:val="both"/>
      </w:pPr>
      <w:r>
        <w:rPr>
          <w:rFonts w:ascii="Arial" w:cs="Arial" w:eastAsia="Arial" w:hAnsi="Arial"/>
          <w:sz w:val="22"/>
          <w:szCs w:val="22"/>
        </w:rPr>
        <w:t xml:space="preserve">Regulatory action in your jurisdiction may affect your ability to participate. Legal risk beyond the protocol's control.</w:t>
      </w:r>
    </w:p>
    <w:p>
      <w:pPr>
        <w:spacing w:before="80" w:after="80"/>
      </w:pPr>
      <w:r>
        <w:t xml:space="preserve"/>
      </w:r>
    </w:p>
    <w:p>
      <w:pPr>
        <w:pStyle w:val="Heading3"/>
        <w:spacing w:before="200" w:after="100"/>
      </w:pPr>
      <w:r>
        <w:rPr>
          <w:rFonts w:ascii="Arial" w:cs="Arial" w:eastAsia="Arial" w:hAnsi="Arial"/>
          <w:b/>
          <w:bCs/>
          <w:sz w:val="22"/>
          <w:szCs w:val="22"/>
        </w:rPr>
        <w:t xml:space="preserve">What Cannot Happen to You</w:t>
      </w:r>
    </w:p>
    <w:p>
      <w:pPr>
        <w:pStyle w:val="ListParagraph"/>
        <w:numPr>
          <w:ilvl w:val="0"/>
          <w:numId w:val="2"/>
        </w:numPr>
        <w:spacing w:before="60" w:after="60"/>
      </w:pPr>
      <w:r>
        <w:rPr>
          <w:rFonts w:ascii="Arial" w:cs="Arial" w:eastAsia="Arial" w:hAnsi="Arial"/>
          <w:sz w:val="22"/>
          <w:szCs w:val="22"/>
        </w:rPr>
        <w:t xml:space="preserve">You cannot lose USDC to HedgeKX's Mode 2 losses. Your escrow is separate.</w:t>
      </w:r>
    </w:p>
    <w:p>
      <w:pPr>
        <w:pStyle w:val="ListParagraph"/>
        <w:numPr>
          <w:ilvl w:val="0"/>
          <w:numId w:val="2"/>
        </w:numPr>
        <w:spacing w:before="60" w:after="60"/>
      </w:pPr>
      <w:r>
        <w:rPr>
          <w:rFonts w:ascii="Arial" w:cs="Arial" w:eastAsia="Arial" w:hAnsi="Arial"/>
          <w:sz w:val="22"/>
          <w:szCs w:val="22"/>
        </w:rPr>
        <w:t xml:space="preserve">You cannot be prevented from receiving KX at settlement by HedgeKX's failure. The contract settles automatically.</w:t>
      </w:r>
    </w:p>
    <w:p>
      <w:pPr>
        <w:pStyle w:val="ListParagraph"/>
        <w:numPr>
          <w:ilvl w:val="0"/>
          <w:numId w:val="2"/>
        </w:numPr>
        <w:spacing w:before="60" w:after="60"/>
      </w:pPr>
      <w:r>
        <w:rPr>
          <w:rFonts w:ascii="Arial" w:cs="Arial" w:eastAsia="Arial" w:hAnsi="Arial"/>
          <w:sz w:val="22"/>
          <w:szCs w:val="22"/>
        </w:rPr>
        <w:t xml:space="preserve">You cannot have your commitment extended against your will. The timelock enforces your agreed term exactly.</w:t>
      </w:r>
    </w:p>
    <w:p>
      <w:pPr>
        <w:pStyle w:val="ListParagraph"/>
        <w:numPr>
          <w:ilvl w:val="0"/>
          <w:numId w:val="2"/>
        </w:numPr>
        <w:spacing w:before="60" w:after="60"/>
      </w:pPr>
      <w:r>
        <w:rPr>
          <w:rFonts w:ascii="Arial" w:cs="Arial" w:eastAsia="Arial" w:hAnsi="Arial"/>
          <w:sz w:val="22"/>
          <w:szCs w:val="22"/>
        </w:rPr>
        <w:t xml:space="preserve">You cannot receive less KX than the pre-agreed rate specifies.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O.11 The TYPE_Y Lock Holder's Complete Risk Profile</w:t>
      </w:r>
    </w:p>
    <w:p>
      <w:pPr>
        <w:pStyle w:val="Heading3"/>
        <w:spacing w:before="200" w:after="100"/>
      </w:pPr>
      <w:r>
        <w:rPr>
          <w:rFonts w:ascii="Arial" w:cs="Arial" w:eastAsia="Arial" w:hAnsi="Arial"/>
          <w:b/>
          <w:bCs/>
          <w:sz w:val="22"/>
          <w:szCs w:val="22"/>
        </w:rPr>
        <w:t xml:space="preserve">The Principal Guarantee — What 'Absolute' Means</w:t>
      </w:r>
    </w:p>
    <w:p>
      <w:pPr>
        <w:pBdr>
          <w:left w:val="single" w:color="2E75B6" w:sz="8" w:space="12"/>
        </w:pBdr>
        <w:spacing w:before="160" w:after="160"/>
        <w:ind w:left="720" w:right="720"/>
      </w:pPr>
      <w:r>
        <w:rPr>
          <w:rFonts w:ascii="Arial" w:cs="Arial" w:eastAsia="Arial" w:hAnsi="Arial"/>
          <w:i/>
          <w:iCs/>
          <w:sz w:val="22"/>
          <w:szCs w:val="22"/>
        </w:rPr>
        <w:t xml:space="preserve">The exact quantity of KX you locked will be available to you at your lock's maturity date. This is enforced by ChronX's consensus rules. No entity can prevent this.</w:t>
      </w:r>
    </w:p>
    <w:p>
      <w:pPr>
        <w:spacing w:before="80" w:after="80"/>
      </w:pPr>
      <w:r>
        <w:t xml:space="preserve"/>
      </w:r>
    </w:p>
    <w:p>
      <w:pPr>
        <w:spacing w:before="100" w:after="100"/>
        <w:jc w:val="both"/>
      </w:pPr>
      <w:r>
        <w:rPr>
          <w:rFonts w:ascii="Arial" w:cs="Arial" w:eastAsia="Arial" w:hAnsi="Arial"/>
          <w:sz w:val="22"/>
          <w:szCs w:val="22"/>
        </w:rPr>
        <w:t xml:space="preserve">This guarantee holds against all economic, adversarial, and operational failures within the protocol's threat model. The threat model excludes: catastrophic consensus failure of the ChronX network itself (51% attack), cryptographic collapse of the underlying hash functions, and a community-consensus hard fork that deliberately rewrites lock logic. These are base-layer security assumptions of any blockchain system.</w:t>
      </w:r>
    </w:p>
    <w:p>
      <w:pPr>
        <w:spacing w:before="80" w:after="80"/>
      </w:pPr>
      <w:r>
        <w:t xml:space="preserve"/>
      </w:r>
    </w:p>
    <w:p>
      <w:pPr>
        <w:pStyle w:val="Heading3"/>
        <w:spacing w:before="200" w:after="100"/>
      </w:pPr>
      <w:r>
        <w:rPr>
          <w:rFonts w:ascii="Arial" w:cs="Arial" w:eastAsia="Arial" w:hAnsi="Arial"/>
          <w:b/>
          <w:bCs/>
          <w:sz w:val="22"/>
          <w:szCs w:val="22"/>
        </w:rPr>
        <w:t xml:space="preserve">What Yield Variability Means</w:t>
      </w:r>
    </w:p>
    <w:p>
      <w:pPr>
        <w:spacing w:before="100" w:after="100"/>
        <w:jc w:val="both"/>
      </w:pPr>
      <w:r>
        <w:rPr>
          <w:rFonts w:ascii="Arial" w:cs="Arial" w:eastAsia="Arial" w:hAnsi="Arial"/>
          <w:sz w:val="22"/>
          <w:szCs w:val="22"/>
        </w:rPr>
        <w:t xml:space="preserve">Days with zero yield, periods of low yield, the yield rate changing over time — all are normal and expected. None of these affect principal.</w:t>
      </w:r>
    </w:p>
    <w:p>
      <w:pPr>
        <w:spacing w:before="80" w:after="80"/>
      </w:pPr>
      <w:r>
        <w:t xml:space="preserve"/>
      </w:r>
    </w:p>
    <w:p>
      <w:pPr>
        <w:pStyle w:val="Heading3"/>
        <w:spacing w:before="200" w:after="100"/>
      </w:pPr>
      <w:r>
        <w:rPr>
          <w:rFonts w:ascii="Arial" w:cs="Arial" w:eastAsia="Arial" w:hAnsi="Arial"/>
          <w:b/>
          <w:bCs/>
          <w:sz w:val="22"/>
          <w:szCs w:val="22"/>
        </w:rPr>
        <w:t xml:space="preserve">Independence from Everything External</w:t>
      </w:r>
    </w:p>
    <w:p>
      <w:pPr>
        <w:spacing w:before="100" w:after="100"/>
        <w:jc w:val="both"/>
      </w:pPr>
      <w:r>
        <w:rPr>
          <w:rFonts w:ascii="Arial" w:cs="Arial" w:eastAsia="Arial" w:hAnsi="Arial"/>
          <w:sz w:val="22"/>
          <w:szCs w:val="22"/>
        </w:rPr>
        <w:t xml:space="preserve">Your TYPE_Y lock's maturity and principal return are independent from: HedgeKX's financial condition, the Base network's operational status, the USDC market's liquidity, regulatory actions against any entity, the performance of any forward exchange contract, and any other participant's behavior. The only dependency is the ChronX network's continued operation.</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O.12 Named Attack Vectors and Their Status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Attack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 minting by compromised Facilitator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Eliminated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Minting contract verifies Merkle proofs. HedgeKX cannot mint without verified backing. h1KX non-transferable, expires in 24h.</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State root manipulation for false mints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Mitigated → Eliminated</w:t>
            </w:r>
          </w:p>
        </w:tc>
        <w:tc>
          <w:tcPr>
            <w:tcW w:type="dxa" w:w="5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Multi-relayer interim; ZK light client target. Forging valid proof requires breaking hash functions.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Settlement timing exploitation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Residual, bounded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legs held in escrow before either releases. Finality threshold prevents premature release. Bounded to one settlement.</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h1KX passive expiry bypass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Eliminated</w:t>
            </w:r>
          </w:p>
        </w:tc>
        <w:tc>
          <w:tcPr>
            <w:tcW w:type="dxa" w:w="5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balanceOf returns zero after 24h regardless of stored state. No code path allows expired h1KX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Coordinated mandate withdrawal mid-settlement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viable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h1KX authorized at mandate grant time. Withdrawal reduces future capacity only.</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Mode 2 exhaustion attack</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Bounded</w:t>
            </w:r>
          </w:p>
        </w:tc>
        <w:tc>
          <w:tcPr>
            <w:tcW w:type="dxa" w:w="5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Hard cap limits total exposure. 72h suspension prevents accumulation. Max loss bounded and known in advance.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HSM theft / hardware compromise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120-second window, then halted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Heartbeat halt stops new minting within 120s. Any unauthorized h1KX burns in 24h, non-transferable, no value to attacker.</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External chain governance attack</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Contained</w:t>
            </w:r>
          </w:p>
        </w:tc>
        <w:tc>
          <w:tcPr>
            <w:tcW w:type="dxa" w:w="5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h1KX non-transferable, never held externally. TYPE_Y principals on ChronX unaffected.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attack via Mode 2 signaling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prevent, can survive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functions correctly within caps. Transparency allows participants to verify true state on-chain.</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Phantom liquidity / signaling</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Eliminated</w:t>
            </w:r>
          </w:p>
        </w:tc>
        <w:tc>
          <w:tcPr>
            <w:tcW w:type="dxa" w:w="5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h1KX internal, non-transferable, invisible externally. Any false claims immediately falsifiable by DAG query.</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O.13 Market Failure Scenarios — Why Some Failures Are Not Failures</w:t>
      </w:r>
    </w:p>
    <w:p>
      <w:pPr>
        <w:pStyle w:val="Heading3"/>
        <w:spacing w:before="200" w:after="100"/>
      </w:pPr>
      <w:r>
        <w:rPr>
          <w:rFonts w:ascii="Arial" w:cs="Arial" w:eastAsia="Arial" w:hAnsi="Arial"/>
          <w:b/>
          <w:bCs/>
          <w:sz w:val="22"/>
          <w:szCs w:val="22"/>
        </w:rPr>
        <w:t xml:space="preserve">Scenario 1 — Currency B Committers Disappear</w:t>
      </w:r>
    </w:p>
    <w:p>
      <w:pPr>
        <w:spacing w:before="100" w:after="100"/>
        <w:jc w:val="both"/>
      </w:pPr>
      <w:r>
        <w:rPr>
          <w:rFonts w:ascii="Arial" w:cs="Arial" w:eastAsia="Arial" w:hAnsi="Arial"/>
          <w:sz w:val="22"/>
          <w:szCs w:val="22"/>
        </w:rPr>
        <w:t xml:space="preserve">A global stress event causes capital to flee risk assets. Currency B Committers do not renew. Existing contracts settle normally at maturity. Mode 2 activates briefly, hits cap, suspends. New matching halts. Yield drops to zero. HedgeKX enters dormancy. No principal is lost. No contract is violated. The market has temporarily paused — exactly as any financial market can pause during stress. When conditions improve, the market resumes. The overnight governance restriction makes this scenario far more recoverable than longer-duration instruments would be.</w:t>
      </w:r>
    </w:p>
    <w:p>
      <w:pPr>
        <w:spacing w:before="80" w:after="80"/>
      </w:pPr>
      <w:r>
        <w:t xml:space="preserve"/>
      </w:r>
    </w:p>
    <w:p>
      <w:pPr>
        <w:pStyle w:val="Heading3"/>
        <w:spacing w:before="200" w:after="100"/>
      </w:pPr>
      <w:r>
        <w:rPr>
          <w:rFonts w:ascii="Arial" w:cs="Arial" w:eastAsia="Arial" w:hAnsi="Arial"/>
          <w:b/>
          <w:bCs/>
          <w:sz w:val="22"/>
          <w:szCs w:val="22"/>
        </w:rPr>
        <w:t xml:space="preserve">Scenario 2 — HedgeKX Becomes Insolvent</w:t>
      </w:r>
    </w:p>
    <w:p>
      <w:pPr>
        <w:spacing w:before="100" w:after="100"/>
        <w:jc w:val="both"/>
      </w:pPr>
      <w:r>
        <w:rPr>
          <w:rFonts w:ascii="Arial" w:cs="Arial" w:eastAsia="Arial" w:hAnsi="Arial"/>
          <w:sz w:val="22"/>
          <w:szCs w:val="22"/>
        </w:rPr>
        <w:t xml:space="preserve">Mode 2 losses deplete HedgeKX's operating capital. Mode 2 suspends at minimum capital floor. All existing contracts settle automatically via smart contract logic. New matching requires a Successor Facilitator elected by governance. Insolvency affects HedgeKX's own capital only. No participant loses principal.</w:t>
      </w:r>
    </w:p>
    <w:p>
      <w:pPr>
        <w:spacing w:before="80" w:after="80"/>
      </w:pPr>
      <w:r>
        <w:t xml:space="preserve"/>
      </w:r>
    </w:p>
    <w:p>
      <w:pPr>
        <w:pStyle w:val="Heading3"/>
        <w:spacing w:before="200" w:after="100"/>
      </w:pPr>
      <w:r>
        <w:rPr>
          <w:rFonts w:ascii="Arial" w:cs="Arial" w:eastAsia="Arial" w:hAnsi="Arial"/>
          <w:b/>
          <w:bCs/>
          <w:sz w:val="22"/>
          <w:szCs w:val="22"/>
        </w:rPr>
        <w:t xml:space="preserve">Scenario 3 — Long-Duration Market Develops Then Collapses</w:t>
      </w:r>
    </w:p>
    <w:p>
      <w:pPr>
        <w:spacing w:before="100" w:after="100"/>
        <w:jc w:val="both"/>
      </w:pPr>
      <w:r>
        <w:rPr>
          <w:rFonts w:ascii="Arial" w:cs="Arial" w:eastAsia="Arial" w:hAnsi="Arial"/>
          <w:sz w:val="22"/>
          <w:szCs w:val="22"/>
        </w:rPr>
        <w:t xml:space="preserve">After years of operation, 90-day instruments are available. Stress causes Currency B Committers to flee. Existing 90-day contracts run to maturity and settle normally. New 90-day matching stops. Exchange Buyers who needed 90-day hedges pay higher premiums to entice Committers back, or revert to shorter instruments. When risk increases, the price of risk management increases. The protocol does not guarantee any particular instrument duration will always be available. It guarantees all existing contracts will settle as agreed.</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O.14 Multi-Currency Extension Architecture</w:t>
      </w:r>
    </w:p>
    <w:p>
      <w:pPr>
        <w:spacing w:before="100" w:after="100"/>
        <w:jc w:val="both"/>
      </w:pPr>
      <w:r>
        <w:rPr>
          <w:rFonts w:ascii="Arial" w:cs="Arial" w:eastAsia="Arial" w:hAnsi="Arial"/>
          <w:sz w:val="22"/>
          <w:szCs w:val="22"/>
        </w:rPr>
        <w:t xml:space="preserve">The h-family is designed for extensibility across 100 years. When governance approves a new pair (e.g. h2KX for BTC):</w:t>
      </w:r>
    </w:p>
    <w:p>
      <w:pPr>
        <w:pStyle w:val="ListParagraph"/>
        <w:numPr>
          <w:ilvl w:val="0"/>
          <w:numId w:val="2"/>
        </w:numPr>
        <w:spacing w:before="60" w:after="60"/>
      </w:pPr>
      <w:r>
        <w:rPr>
          <w:rFonts w:ascii="Arial" w:cs="Arial" w:eastAsia="Arial" w:hAnsi="Arial"/>
          <w:sz w:val="22"/>
          <w:szCs w:val="22"/>
        </w:rPr>
        <w:t xml:space="preserve">New contract deployed on the relevant external chain — identical properties to h1KX</w:t>
      </w:r>
    </w:p>
    <w:p>
      <w:pPr>
        <w:pStyle w:val="ListParagraph"/>
        <w:numPr>
          <w:ilvl w:val="0"/>
          <w:numId w:val="2"/>
        </w:numPr>
        <w:spacing w:before="60" w:after="60"/>
      </w:pPr>
      <w:r>
        <w:rPr>
          <w:rFonts w:ascii="Arial" w:cs="Arial" w:eastAsia="Arial" w:hAnsi="Arial"/>
          <w:sz w:val="22"/>
          <w:szCs w:val="22"/>
        </w:rPr>
        <w:t xml:space="preserve">New state root relay infrastructure for that chain's finality model</w:t>
      </w:r>
    </w:p>
    <w:p>
      <w:pPr>
        <w:pStyle w:val="ListParagraph"/>
        <w:numPr>
          <w:ilvl w:val="0"/>
          <w:numId w:val="2"/>
        </w:numPr>
        <w:spacing w:before="60" w:after="60"/>
      </w:pPr>
      <w:r>
        <w:rPr>
          <w:rFonts w:ascii="Arial" w:cs="Arial" w:eastAsia="Arial" w:hAnsi="Arial"/>
          <w:sz w:val="22"/>
          <w:szCs w:val="22"/>
        </w:rPr>
        <w:t xml:space="preserve">TYPE_Y mandate pool automatically routes capacity to the new pair — no lock holder action required</w:t>
      </w:r>
    </w:p>
    <w:p>
      <w:pPr>
        <w:pStyle w:val="ListParagraph"/>
        <w:numPr>
          <w:ilvl w:val="0"/>
          <w:numId w:val="2"/>
        </w:numPr>
        <w:spacing w:before="60" w:after="60"/>
      </w:pPr>
      <w:r>
        <w:rPr>
          <w:rFonts w:ascii="Arial" w:cs="Arial" w:eastAsia="Arial" w:hAnsi="Arial"/>
          <w:sz w:val="22"/>
          <w:szCs w:val="22"/>
        </w:rPr>
        <w:t xml:space="preserve">New pair launches with overnight-only restriction and its own governance parameters</w:t>
      </w:r>
    </w:p>
    <w:p>
      <w:pPr>
        <w:pStyle w:val="ListParagraph"/>
        <w:numPr>
          <w:ilvl w:val="0"/>
          <w:numId w:val="2"/>
        </w:numPr>
        <w:spacing w:before="60" w:after="60"/>
      </w:pPr>
      <w:r>
        <w:rPr>
          <w:rFonts w:ascii="Arial" w:cs="Arial" w:eastAsia="Arial" w:hAnsi="Arial"/>
          <w:sz w:val="22"/>
          <w:szCs w:val="22"/>
        </w:rPr>
        <w:t xml:space="preserve">h1KX operations completely unaffected by h2KX deployment</w:t>
      </w:r>
    </w:p>
    <w:p>
      <w:pPr>
        <w:spacing w:before="80" w:after="80"/>
      </w:pPr>
      <w:r>
        <w:t xml:space="preserve"/>
      </w:r>
    </w:p>
    <w:p>
      <w:pPr>
        <w:spacing w:before="100" w:after="100"/>
        <w:jc w:val="both"/>
      </w:pPr>
      <w:r>
        <w:rPr>
          <w:rFonts w:ascii="Arial" w:cs="Arial" w:eastAsia="Arial" w:hAnsi="Arial"/>
          <w:b/>
          <w:bCs/>
          <w:sz w:val="22"/>
          <w:szCs w:val="22"/>
        </w:rPr>
        <w:t xml:space="preserve">What never changes with each new pair:</w:t>
      </w:r>
    </w:p>
    <w:p>
      <w:pPr>
        <w:pStyle w:val="ListParagraph"/>
        <w:numPr>
          <w:ilvl w:val="0"/>
          <w:numId w:val="2"/>
        </w:numPr>
        <w:spacing w:before="60" w:after="60"/>
      </w:pPr>
      <w:r>
        <w:rPr>
          <w:rFonts w:ascii="Arial" w:cs="Arial" w:eastAsia="Arial" w:hAnsi="Arial"/>
          <w:sz w:val="22"/>
          <w:szCs w:val="22"/>
        </w:rPr>
        <w:t xml:space="preserve">The TYPE_Y lock architecture on ChronX</w:t>
      </w:r>
    </w:p>
    <w:p>
      <w:pPr>
        <w:pStyle w:val="ListParagraph"/>
        <w:numPr>
          <w:ilvl w:val="0"/>
          <w:numId w:val="2"/>
        </w:numPr>
        <w:spacing w:before="60" w:after="60"/>
      </w:pPr>
      <w:r>
        <w:rPr>
          <w:rFonts w:ascii="Arial" w:cs="Arial" w:eastAsia="Arial" w:hAnsi="Arial"/>
          <w:sz w:val="22"/>
          <w:szCs w:val="22"/>
        </w:rPr>
        <w:t xml:space="preserve">The mandate pool (simply becomes available to more pairs)</w:t>
      </w:r>
    </w:p>
    <w:p>
      <w:pPr>
        <w:pStyle w:val="ListParagraph"/>
        <w:numPr>
          <w:ilvl w:val="0"/>
          <w:numId w:val="2"/>
        </w:numPr>
        <w:spacing w:before="60" w:after="60"/>
      </w:pPr>
      <w:r>
        <w:rPr>
          <w:rFonts w:ascii="Arial" w:cs="Arial" w:eastAsia="Arial" w:hAnsi="Arial"/>
          <w:sz w:val="22"/>
          <w:szCs w:val="22"/>
        </w:rPr>
        <w:t xml:space="preserve">The h1KX contract and all h1KX operations</w:t>
      </w:r>
    </w:p>
    <w:p>
      <w:pPr>
        <w:pStyle w:val="ListParagraph"/>
        <w:numPr>
          <w:ilvl w:val="0"/>
          <w:numId w:val="2"/>
        </w:numPr>
        <w:spacing w:before="60" w:after="60"/>
      </w:pPr>
      <w:r>
        <w:rPr>
          <w:rFonts w:ascii="Arial" w:cs="Arial" w:eastAsia="Arial" w:hAnsi="Arial"/>
          <w:sz w:val="22"/>
          <w:szCs w:val="22"/>
        </w:rPr>
        <w:t xml:space="preserve">Any existing forward exchange contract</w:t>
      </w:r>
    </w:p>
    <w:p>
      <w:pPr>
        <w:pStyle w:val="ListParagraph"/>
        <w:numPr>
          <w:ilvl w:val="0"/>
          <w:numId w:val="2"/>
        </w:numPr>
        <w:spacing w:before="60" w:after="60"/>
      </w:pPr>
      <w:r>
        <w:rPr>
          <w:rFonts w:ascii="Arial" w:cs="Arial" w:eastAsia="Arial" w:hAnsi="Arial"/>
          <w:sz w:val="22"/>
          <w:szCs w:val="22"/>
        </w:rPr>
        <w:t xml:space="preserve">Any TYPE_Y lock holder's principal or yield rights</w:t>
      </w:r>
    </w:p>
    <w:p>
      <w:pPr>
        <w:pStyle w:val="ListParagraph"/>
        <w:numPr>
          <w:ilvl w:val="0"/>
          <w:numId w:val="2"/>
        </w:numPr>
        <w:spacing w:before="60" w:after="60"/>
      </w:pPr>
      <w:r>
        <w:rPr>
          <w:rFonts w:ascii="Arial" w:cs="Arial" w:eastAsia="Arial" w:hAnsi="Arial"/>
          <w:sz w:val="22"/>
          <w:szCs w:val="22"/>
        </w:rPr>
        <w:t xml:space="preserve">The 8,270,000,000 KX fixed supply</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O.15 For USDC Holders: Is This Worth Participating In?</w:t>
      </w:r>
    </w:p>
    <w:p>
      <w:pPr>
        <w:pStyle w:val="Heading3"/>
        <w:spacing w:before="200" w:after="100"/>
      </w:pPr>
      <w:r>
        <w:rPr>
          <w:rFonts w:ascii="Arial" w:cs="Arial" w:eastAsia="Arial" w:hAnsi="Arial"/>
          <w:b/>
          <w:bCs/>
          <w:sz w:val="22"/>
          <w:szCs w:val="22"/>
        </w:rPr>
        <w:t xml:space="preserve">What Can Cause You to Lose Money Beyond KX Price Risk</w:t>
      </w:r>
    </w:p>
    <w:p>
      <w:pPr>
        <w:pStyle w:val="ListParagraph"/>
        <w:numPr>
          <w:ilvl w:val="0"/>
          <w:numId w:val="2"/>
        </w:numPr>
        <w:spacing w:before="60" w:after="60"/>
      </w:pPr>
      <w:r>
        <w:rPr>
          <w:rFonts w:ascii="Arial" w:cs="Arial" w:eastAsia="Arial" w:hAnsi="Arial"/>
          <w:sz w:val="22"/>
          <w:szCs w:val="22"/>
        </w:rPr>
        <w:t xml:space="preserve">Smart contract bug in the Base escrow contract. Mitigated by public audits, bug bounties, conservative deployment.</w:t>
      </w:r>
    </w:p>
    <w:p>
      <w:pPr>
        <w:pStyle w:val="ListParagraph"/>
        <w:numPr>
          <w:ilvl w:val="0"/>
          <w:numId w:val="2"/>
        </w:numPr>
        <w:spacing w:before="60" w:after="60"/>
      </w:pPr>
      <w:r>
        <w:rPr>
          <w:rFonts w:ascii="Arial" w:cs="Arial" w:eastAsia="Arial" w:hAnsi="Arial"/>
          <w:sz w:val="22"/>
          <w:szCs w:val="22"/>
        </w:rPr>
        <w:t xml:space="preserve">Base network failure — settlement delayed, USDC not lost.</w:t>
      </w:r>
    </w:p>
    <w:p>
      <w:pPr>
        <w:pStyle w:val="ListParagraph"/>
        <w:numPr>
          <w:ilvl w:val="0"/>
          <w:numId w:val="2"/>
        </w:numPr>
        <w:spacing w:before="60" w:after="60"/>
      </w:pPr>
      <w:r>
        <w:rPr>
          <w:rFonts w:ascii="Arial" w:cs="Arial" w:eastAsia="Arial" w:hAnsi="Arial"/>
          <w:sz w:val="22"/>
          <w:szCs w:val="22"/>
        </w:rPr>
        <w:t xml:space="preserve">Settlement coordination failure in extreme edge case — timeout recovery returns funds automatically.</w:t>
      </w:r>
    </w:p>
    <w:p>
      <w:pPr>
        <w:pStyle w:val="ListParagraph"/>
        <w:numPr>
          <w:ilvl w:val="0"/>
          <w:numId w:val="2"/>
        </w:numPr>
        <w:spacing w:before="60" w:after="60"/>
      </w:pPr>
      <w:r>
        <w:rPr>
          <w:rFonts w:ascii="Arial" w:cs="Arial" w:eastAsia="Arial" w:hAnsi="Arial"/>
          <w:sz w:val="22"/>
          <w:szCs w:val="22"/>
        </w:rPr>
        <w:t xml:space="preserve">Regulatory action in your jurisdiction.</w:t>
      </w:r>
    </w:p>
    <w:p>
      <w:pPr>
        <w:spacing w:before="80" w:after="80"/>
      </w:pPr>
      <w:r>
        <w:t xml:space="preserve"/>
      </w:r>
    </w:p>
    <w:p>
      <w:pPr>
        <w:pStyle w:val="Heading3"/>
        <w:spacing w:before="200" w:after="100"/>
      </w:pPr>
      <w:r>
        <w:rPr>
          <w:rFonts w:ascii="Arial" w:cs="Arial" w:eastAsia="Arial" w:hAnsi="Arial"/>
          <w:b/>
          <w:bCs/>
          <w:sz w:val="22"/>
          <w:szCs w:val="22"/>
        </w:rPr>
        <w:t xml:space="preserve">What Cannot Cause You to Lose Money</w:t>
      </w:r>
    </w:p>
    <w:p>
      <w:pPr>
        <w:pStyle w:val="ListParagraph"/>
        <w:numPr>
          <w:ilvl w:val="0"/>
          <w:numId w:val="2"/>
        </w:numPr>
        <w:spacing w:before="60" w:after="60"/>
      </w:pPr>
      <w:r>
        <w:rPr>
          <w:rFonts w:ascii="Arial" w:cs="Arial" w:eastAsia="Arial" w:hAnsi="Arial"/>
          <w:sz w:val="22"/>
          <w:szCs w:val="22"/>
        </w:rPr>
        <w:t xml:space="preserve">HedgeKX insolvency — your escrow is a separate contract HedgeKX cannot access.</w:t>
      </w:r>
    </w:p>
    <w:p>
      <w:pPr>
        <w:pStyle w:val="ListParagraph"/>
        <w:numPr>
          <w:ilvl w:val="0"/>
          <w:numId w:val="2"/>
        </w:numPr>
        <w:spacing w:before="60" w:after="60"/>
      </w:pPr>
      <w:r>
        <w:rPr>
          <w:rFonts w:ascii="Arial" w:cs="Arial" w:eastAsia="Arial" w:hAnsi="Arial"/>
          <w:sz w:val="22"/>
          <w:szCs w:val="22"/>
        </w:rPr>
        <w:t xml:space="preserve">TYPE_Y lock holder defaults — they cannot default. Their KX is locked on ChronX and cannot move.</w:t>
      </w:r>
    </w:p>
    <w:p>
      <w:pPr>
        <w:pStyle w:val="ListParagraph"/>
        <w:numPr>
          <w:ilvl w:val="0"/>
          <w:numId w:val="2"/>
        </w:numPr>
        <w:spacing w:before="60" w:after="60"/>
      </w:pPr>
      <w:r>
        <w:rPr>
          <w:rFonts w:ascii="Arial" w:cs="Arial" w:eastAsia="Arial" w:hAnsi="Arial"/>
          <w:sz w:val="22"/>
          <w:szCs w:val="22"/>
        </w:rPr>
        <w:t xml:space="preserve">HedgeKX misbehavior — HedgeKX has no discretionary access to your escrow. Every relevant constraint is protocol-enforced.</w:t>
      </w:r>
    </w:p>
    <w:p>
      <w:pPr>
        <w:pStyle w:val="ListParagraph"/>
        <w:numPr>
          <w:ilvl w:val="0"/>
          <w:numId w:val="2"/>
        </w:numPr>
        <w:spacing w:before="60" w:after="60"/>
      </w:pPr>
      <w:r>
        <w:rPr>
          <w:rFonts w:ascii="Arial" w:cs="Arial" w:eastAsia="Arial" w:hAnsi="Arial"/>
          <w:sz w:val="22"/>
          <w:szCs w:val="22"/>
        </w:rPr>
        <w:t xml:space="preserve">Other Currency B Committers' losses — your contract is independent.</w:t>
      </w:r>
    </w:p>
    <w:p>
      <w:pPr>
        <w:spacing w:before="80" w:after="80"/>
      </w:pPr>
      <w:r>
        <w:t xml:space="preserve"/>
      </w:r>
    </w:p>
    <w:p>
      <w:pPr>
        <w:pStyle w:val="Heading3"/>
        <w:spacing w:before="200" w:after="100"/>
      </w:pPr>
      <w:r>
        <w:rPr>
          <w:rFonts w:ascii="Arial" w:cs="Arial" w:eastAsia="Arial" w:hAnsi="Arial"/>
          <w:b/>
          <w:bCs/>
          <w:sz w:val="22"/>
          <w:szCs w:val="22"/>
        </w:rPr>
        <w:t xml:space="preserve">Summary for AI Risk Assessment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Category</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risk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KX directional price risk — market risk, unavoidable, explicitly accepted, priced into yield</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Secondary risks</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Smart contract bug, Base network risk, settlement coordination residual — standard for cross-chain DeFi, mitigated by audits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Negligible risks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HedgeKX operational failure, mandate holder defaults, other participants' losses — all isolated by contract design</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Eliminated risks</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Facilitator theft, unlimited minting, unauthorized escrow access, forced commitment extension</w:t>
            </w:r>
          </w:p>
        </w:tc>
      </w:tr>
    </w:tbl>
    <w:p>
      <w:pPr>
        <w:spacing w:before="80" w:after="80"/>
      </w:pPr>
      <w:r>
        <w:t xml:space="preserve"/>
      </w:r>
    </w:p>
    <w:p>
      <w:pPr>
        <w:spacing w:before="100" w:after="100"/>
        <w:jc w:val="both"/>
      </w:pPr>
      <w:r>
        <w:rPr>
          <w:rFonts w:ascii="Arial" w:cs="Arial" w:eastAsia="Arial" w:hAnsi="Arial"/>
          <w:sz w:val="22"/>
          <w:szCs w:val="22"/>
        </w:rPr>
        <w:t xml:space="preserve">Whether yield adequately compensates for accepted risks depends on market conditions at the time of commitment and the participant's individual risk tolerance and view on KX. The instrument is structurally sound. The primary risk is the one the participant explicitly accepts — currency directional risk — in exchange for yield.</w:t>
      </w:r>
    </w:p>
    <w:p>
      <w:pPr>
        <w:spacing w:before="80" w:after="80"/>
      </w:pPr>
      <w:r>
        <w:t xml:space="preserve"/>
      </w:r>
    </w:p>
    <w:p>
      <w:pPr>
        <w:pBdr>
          <w:bottom w:val="single" w:color="CCCCCC" w:sz="4" w:space="4"/>
        </w:pBdr>
        <w:spacing w:before="120" w:after="120"/>
      </w:pPr>
      <w:r>
        <w:t xml:space="preserve"/>
      </w:r>
    </w:p>
    <w:p>
      <w:pPr>
        <w:spacing w:before="80" w:after="80"/>
      </w:pPr>
      <w:r>
        <w:t xml:space="preserve"/>
      </w:r>
    </w:p>
    <w:p>
      <w:pPr>
        <w:spacing w:before="100" w:after="100"/>
        <w:jc w:val="both"/>
      </w:pPr>
      <w:r>
        <w:rPr>
          <w:rFonts w:ascii="Arial" w:cs="Arial" w:eastAsia="Arial" w:hAnsi="Arial"/>
          <w:sz w:val="22"/>
          <w:szCs w:val="22"/>
        </w:rPr>
        <w:t xml:space="preserve">This appendix will be updated as the protocol evolves, new currency pairs are approved by governance, and the ZK light client upgrade is deployed. Every material change will be documented with the date of the change and the governance vote that authorised it.</w:t>
      </w:r>
    </w:p>
    <w:p>
      <w:pPr>
        <w:spacing w:before="80" w:after="80"/>
      </w:pPr>
      <w:r>
        <w:t xml:space="preserve"/>
      </w:r>
    </w:p>
    <w:p>
      <w:pPr>
        <w:jc w:val="center"/>
      </w:pPr>
      <w:r>
        <w:rPr>
          <w:rFonts w:ascii="Arial" w:cs="Arial" w:eastAsia="Arial" w:hAnsi="Arial"/>
          <w:i/>
          <w:iCs/>
          <w:color w:val="666666"/>
          <w:sz w:val="20"/>
          <w:szCs w:val="20"/>
        </w:rPr>
        <w:t xml:space="preserve">For questions or to report potential security vulnerabilities: yo@chronx.io</w:t>
      </w:r>
    </w:p>
    <w:p>
      <w:pPr>
        <w:spacing w:before="80" w:after="80"/>
      </w:pPr>
      <w:r>
        <w:t xml:space="preserve"/>
      </w:r>
    </w:p>
    <w:p>
      <w:pPr>
        <w:jc w:val="center"/>
      </w:pPr>
      <w:r>
        <w:rPr>
          <w:rFonts w:ascii="Arial" w:cs="Arial" w:eastAsia="Arial" w:hAnsi="Arial"/>
          <w:b/>
          <w:bCs/>
          <w:color w:val="1F4E79"/>
          <w:sz w:val="22"/>
          <w:szCs w:val="22"/>
        </w:rPr>
        <w:t xml:space="preserve">ChronX Protocol — A Promise the Blockchain Keeps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9"/>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2026-03-27T13:55:43.878Z</dcterms:created>
  <dcterms:modified xsi:type="dcterms:W3CDTF">2026-03-27T13:55:43.879Z</dcterms:modified>
</cp:coreProperties>
</file>

<file path=docProps/custom.xml><?xml version="1.0" encoding="utf-8"?>
<Properties xmlns="http://schemas.openxmlformats.org/officeDocument/2006/custom-properties" xmlns:vt="http://schemas.openxmlformats.org/officeDocument/2006/docPropsVTypes"/>
</file>