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240"/>
        <w:jc w:val="center"/>
      </w:pPr>
      <w:r>
        <w:drawing>
          <wp:inline distT="0" distB="0" distL="0" distR="0">
            <wp:extent cx="3048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48000" cy="514350"/>
                    </a:xfrm>
                    <a:prstGeom prst="rect">
                      <a:avLst/>
                    </a:prstGeom>
                  </pic:spPr>
                </pic:pic>
              </a:graphicData>
            </a:graphic>
          </wp:inline>
        </w:drawing>
      </w:r>
    </w:p>
    <w:p>
      <w:pPr>
        <w:spacing w:before="80" w:after="0"/>
      </w:pPr>
      <w:r>
        <w:t xml:space="preserve"/>
      </w:r>
    </w:p>
    <w:p>
      <w:pPr>
        <w:spacing w:before="0" w:after="120"/>
        <w:jc w:val="center"/>
      </w:pPr>
      <w:r>
        <w:rPr>
          <w:rFonts w:ascii="Arial" w:cs="Arial" w:eastAsia="Arial" w:hAnsi="Arial"/>
          <w:b/>
          <w:bCs/>
          <w:color w:val="0A1628"/>
          <w:sz w:val="52"/>
          <w:szCs w:val="52"/>
        </w:rPr>
        <w:t xml:space="preserve">WHITEPAPER</w:t>
      </w:r>
    </w:p>
    <w:p>
      <w:pPr>
        <w:spacing w:before="0" w:after="80"/>
        <w:jc w:val="center"/>
      </w:pPr>
      <w:r>
        <w:rPr>
          <w:rFonts w:ascii="Arial" w:cs="Arial" w:eastAsia="Arial" w:hAnsi="Arial"/>
          <w:i/>
          <w:iCs/>
          <w:color w:val="888888"/>
          <w:sz w:val="22"/>
          <w:szCs w:val="22"/>
        </w:rPr>
        <w:t xml:space="preserve">Version 1.0  |  January 1, 2026</w:t>
      </w:r>
    </w:p>
    <w:p>
      <w:pPr>
        <w:pBdr>
          <w:bottom w:val="single" w:color="C9A84C" w:sz="6" w:space="1"/>
        </w:pBdr>
        <w:spacing w:before="240" w:after="240"/>
      </w:pPr>
      <w:r>
        <w:t xml:space="preserve"/>
      </w:r>
    </w:p>
    <w:p>
      <w:pPr>
        <w:spacing w:before="160" w:after="0"/>
      </w:pPr>
      <w:r>
        <w:t xml:space="preserve"/>
      </w:r>
    </w:p>
    <w:p>
      <w:pPr>
        <w:spacing w:before="0" w:after="160"/>
        <w:jc w:val="center"/>
      </w:pPr>
      <w:r>
        <w:rPr>
          <w:rFonts w:ascii="Arial" w:cs="Arial" w:eastAsia="Arial" w:hAnsi="Arial"/>
          <w:b/>
          <w:bCs/>
          <w:color w:val="1A3A6B"/>
          <w:sz w:val="36"/>
          <w:szCs w:val="36"/>
        </w:rPr>
        <w:t xml:space="preserve">The Future Payment Protocol</w:t>
      </w:r>
    </w:p>
    <w:p>
      <w:pPr>
        <w:spacing w:before="0" w:after="480"/>
        <w:jc w:val="center"/>
      </w:pPr>
      <w:r>
        <w:rPr>
          <w:rFonts w:ascii="Arial" w:cs="Arial" w:eastAsia="Arial" w:hAnsi="Arial"/>
          <w:i/>
          <w:iCs/>
          <w:color w:val="4A4A6A"/>
          <w:sz w:val="22"/>
          <w:szCs w:val="22"/>
        </w:rPr>
        <w:t xml:space="preserve">Lock funds for yourself or anyone else — from one hour to 100 years.
Tamper-proof, quantum-resistant, fully transparent, and unlocks automatically
on the date you choose. No willpower required.</w:t>
      </w:r>
    </w:p>
    <w:p>
      <w:pPr>
        <w:spacing w:before="48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Abstract</w:t>
      </w:r>
    </w:p>
    <w:p>
      <w:pPr>
        <w:spacing w:before="80" w:after="120" w:line="320"/>
        <w:jc w:val="both"/>
      </w:pPr>
      <w:r>
        <w:rPr>
          <w:rFonts w:ascii="Arial" w:cs="Arial" w:eastAsia="Arial" w:hAnsi="Arial"/>
          <w:color w:val="1A1A2E"/>
          <w:sz w:val="22"/>
          <w:szCs w:val="22"/>
        </w:rPr>
        <w:t xml:space="preserve">ChronX is a purpose-built blockchain protocol for future payments — the first chain where time-locked value transfer is a first-class primitive, not an afterthought. Moving value today is trivially easy. Committing value to the future in a way that is enforceable, auditable, tamper-proof, and resilient across decades remains surprisingly hard. ChronX closes that gap.</w:t>
      </w:r>
    </w:p>
    <w:p>
      <w:pPr>
        <w:spacing w:before="80" w:after="0"/>
      </w:pPr>
      <w:r>
        <w:t xml:space="preserve"/>
      </w:r>
    </w:p>
    <w:p>
      <w:pPr>
        <w:spacing w:before="80" w:after="120" w:line="320"/>
        <w:jc w:val="both"/>
      </w:pPr>
      <w:r>
        <w:rPr>
          <w:rFonts w:ascii="Arial" w:cs="Arial" w:eastAsia="Arial" w:hAnsi="Arial"/>
          <w:color w:val="1A1A2E"/>
          <w:sz w:val="22"/>
          <w:szCs w:val="22"/>
        </w:rPr>
        <w:t xml:space="preserve">Built on post-quantum cryptography and powered by proof-of-work consensus, ChronX enables anyone to lock funds for themselves or a recipient, with a guaranteed automatic release at a user-specified date. No custodian. No committee. No willpower required.</w:t>
      </w:r>
    </w:p>
    <w:p>
      <w:pPr>
        <w:spacing w:before="80" w:after="0"/>
      </w:pPr>
      <w:r>
        <w:t xml:space="preserve"/>
      </w:r>
    </w:p>
    <w:p>
      <w:pPr>
        <w:spacing w:before="80" w:after="120" w:line="320"/>
        <w:jc w:val="both"/>
      </w:pPr>
      <w:r>
        <w:rPr>
          <w:rFonts w:ascii="Arial" w:cs="Arial" w:eastAsia="Arial" w:hAnsi="Arial"/>
          <w:color w:val="1A1A2E"/>
          <w:sz w:val="22"/>
          <w:szCs w:val="22"/>
        </w:rPr>
        <w:t xml:space="preserve">This whitepaper describes the protocol design, cryptographic foundations, tokenomics, economic incentives, and long-term vision for ChronX — including its roadmap toward a complete future payments infrastructure capable of serving individuals, institutions, and generations not yet born.</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1. The Problem: Value Has No Future Tense</w:t>
      </w:r>
    </w:p>
    <w:p>
      <w:pPr>
        <w:spacing w:before="80" w:after="120" w:line="320"/>
        <w:jc w:val="both"/>
      </w:pPr>
      <w:r>
        <w:rPr>
          <w:rFonts w:ascii="Arial" w:cs="Arial" w:eastAsia="Arial" w:hAnsi="Arial"/>
          <w:color w:val="1A1A2E"/>
          <w:sz w:val="22"/>
          <w:szCs w:val="22"/>
        </w:rPr>
        <w:t xml:space="preserve">Modern finance has mastered the present. Bank transfers settle in seconds. Crypto transactions confirm in minutes. Stablecoins make digital dollars globally accessible. Yet across both traditional and decentralized finance, one fundamental capability remains poorly served: the durable, enforceable transfer of value to the future.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1.1  What "Future Payment" Actually Means</w:t>
      </w:r>
    </w:p>
    <w:p>
      <w:pPr>
        <w:spacing w:before="80" w:after="120" w:line="320"/>
        <w:jc w:val="both"/>
      </w:pPr>
      <w:r>
        <w:rPr>
          <w:rFonts w:ascii="Arial" w:cs="Arial" w:eastAsia="Arial" w:hAnsi="Arial"/>
          <w:color w:val="1A1A2E"/>
          <w:sz w:val="22"/>
          <w:szCs w:val="22"/>
        </w:rPr>
        <w:t xml:space="preserve">A future payment is not simply a scheduled transfer. It is a commitment that must survive:</w:t>
      </w:r>
    </w:p>
    <w:p>
      <w:pPr>
        <w:pStyle w:val="ListParagraph"/>
        <w:numPr>
          <w:ilvl w:val="0"/>
          <w:numId w:val="2"/>
        </w:numPr>
        <w:spacing w:before="60" w:after="60" w:line="300"/>
      </w:pPr>
      <w:r>
        <w:rPr>
          <w:rFonts w:ascii="Arial" w:cs="Arial" w:eastAsia="Arial" w:hAnsi="Arial"/>
          <w:color w:val="1A1A2E"/>
          <w:sz w:val="22"/>
          <w:szCs w:val="22"/>
        </w:rPr>
        <w:t xml:space="preserve">The recipient losing their wallet or private key</w:t>
      </w:r>
    </w:p>
    <w:p>
      <w:pPr>
        <w:pStyle w:val="ListParagraph"/>
        <w:numPr>
          <w:ilvl w:val="0"/>
          <w:numId w:val="2"/>
        </w:numPr>
        <w:spacing w:before="60" w:after="60" w:line="300"/>
      </w:pPr>
      <w:r>
        <w:rPr>
          <w:rFonts w:ascii="Arial" w:cs="Arial" w:eastAsia="Arial" w:hAnsi="Arial"/>
          <w:color w:val="1A1A2E"/>
          <w:sz w:val="22"/>
          <w:szCs w:val="22"/>
        </w:rPr>
        <w:t xml:space="preserve">Identity drift — the person at claim time may look different from the person specified at lock time</w:t>
      </w:r>
    </w:p>
    <w:p>
      <w:pPr>
        <w:pStyle w:val="ListParagraph"/>
        <w:numPr>
          <w:ilvl w:val="0"/>
          <w:numId w:val="2"/>
        </w:numPr>
        <w:spacing w:before="60" w:after="60" w:line="300"/>
      </w:pPr>
      <w:r>
        <w:rPr>
          <w:rFonts w:ascii="Arial" w:cs="Arial" w:eastAsia="Arial" w:hAnsi="Arial"/>
          <w:color w:val="1A1A2E"/>
          <w:sz w:val="22"/>
          <w:szCs w:val="22"/>
        </w:rPr>
        <w:t xml:space="preserve">Legal and jurisdictional change over multi-decade horizons</w:t>
      </w:r>
    </w:p>
    <w:p>
      <w:pPr>
        <w:pStyle w:val="ListParagraph"/>
        <w:numPr>
          <w:ilvl w:val="0"/>
          <w:numId w:val="2"/>
        </w:numPr>
        <w:spacing w:before="60" w:after="60" w:line="300"/>
      </w:pPr>
      <w:r>
        <w:rPr>
          <w:rFonts w:ascii="Arial" w:cs="Arial" w:eastAsia="Arial" w:hAnsi="Arial"/>
          <w:color w:val="1A1A2E"/>
          <w:sz w:val="22"/>
          <w:szCs w:val="22"/>
        </w:rPr>
        <w:t xml:space="preserve">Adversarial conditions — attempts by third parties to intercept or redirect the funds</w:t>
      </w:r>
    </w:p>
    <w:p>
      <w:pPr>
        <w:pStyle w:val="ListParagraph"/>
        <w:numPr>
          <w:ilvl w:val="0"/>
          <w:numId w:val="2"/>
        </w:numPr>
        <w:spacing w:before="60" w:after="60" w:line="300"/>
      </w:pPr>
      <w:r>
        <w:rPr>
          <w:rFonts w:ascii="Arial" w:cs="Arial" w:eastAsia="Arial" w:hAnsi="Arial"/>
          <w:color w:val="1A1A2E"/>
          <w:sz w:val="22"/>
          <w:szCs w:val="22"/>
        </w:rPr>
        <w:t xml:space="preserve">Protocol upgrades and technological shifts</w:t>
      </w:r>
    </w:p>
    <w:p>
      <w:pPr>
        <w:spacing w:before="120" w:after="0"/>
      </w:pPr>
      <w:r>
        <w:t xml:space="preserve"/>
      </w:r>
    </w:p>
    <w:p>
      <w:pPr>
        <w:spacing w:before="80" w:after="120" w:line="320"/>
        <w:jc w:val="both"/>
      </w:pPr>
      <w:r>
        <w:rPr>
          <w:rFonts w:ascii="Arial" w:cs="Arial" w:eastAsia="Arial" w:hAnsi="Arial"/>
          <w:color w:val="1A1A2E"/>
          <w:sz w:val="22"/>
          <w:szCs w:val="22"/>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1.2  Why Crypto Hasn't Solved This</w:t>
      </w:r>
    </w:p>
    <w:p>
      <w:pPr>
        <w:spacing w:before="80" w:after="120" w:line="320"/>
        <w:jc w:val="both"/>
      </w:pPr>
      <w:r>
        <w:rPr>
          <w:rFonts w:ascii="Arial" w:cs="Arial" w:eastAsia="Arial" w:hAnsi="Arial"/>
          <w:color w:val="1A1A2E"/>
          <w:sz w:val="22"/>
          <w:szCs w:val="22"/>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no solution whatsoever for the scenario every non-technical user will eventually face: "I specified a recipient, and now they can't claim it."</w:t>
      </w:r>
    </w:p>
    <w:p>
      <w:pPr>
        <w:spacing w:before="80" w:after="0"/>
      </w:pPr>
      <w:r>
        <w:t xml:space="preserve"/>
      </w:r>
    </w:p>
    <w:p>
      <w:pPr>
        <w:spacing w:before="80" w:after="120" w:line="320"/>
        <w:jc w:val="both"/>
      </w:pPr>
      <w:r>
        <w:rPr>
          <w:rFonts w:ascii="Arial" w:cs="Arial" w:eastAsia="Arial" w:hAnsi="Arial"/>
          <w:color w:val="1A1A2E"/>
          <w:sz w:val="22"/>
          <w:szCs w:val="22"/>
        </w:rPr>
        <w:t xml:space="preserve">ChronX is built differently. Future payment is not a feature — it is the protocol's core identity. Every design decision, from the cryptographic scheme to the economic incentives, flows from a single question: what does it take to send value forward in time, reliably, for anyone?</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2. The Solution: ChronX Protocol</w:t>
      </w:r>
    </w:p>
    <w:p>
      <w:pPr>
        <w:spacing w:before="80" w:after="120" w:line="320"/>
        <w:jc w:val="both"/>
      </w:pPr>
      <w:r>
        <w:rPr>
          <w:rFonts w:ascii="Arial" w:cs="Arial" w:eastAsia="Arial" w:hAnsi="Arial"/>
          <w:color w:val="1A1A2E"/>
          <w:sz w:val="22"/>
          <w:szCs w:val="22"/>
        </w:rPr>
        <w:t xml:space="preserve">ChronX introduces a dedicated blockchain where time-locked value transfer is the primary use case. The protocol provides atomic, tamper-proof time-locks with guaranteed release, post-quantum security for longevity across decades, and a forthcoming claim resolution system designed to handle the full complexity of real-world future payments.</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2.1  Core Value Proposition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2"/>
              <w:left w:val="thick" w:color="C9A84C" w:sz="12"/>
              <w:bottom w:val="single" w:color="2E6FBF" w:sz="2"/>
              <w:right w:val="single" w:color="2E6FBF" w:sz="2"/>
            </w:tcBorders>
            <w:shd w:fill="F2F5FA" w:val="clear"/>
            <w:tcMar>
              <w:top w:type="dxa" w:w="160"/>
              <w:left w:type="dxa" w:w="240"/>
              <w:bottom w:type="dxa" w:w="160"/>
              <w:right w:type="dxa" w:w="240"/>
            </w:tcMar>
          </w:tcPr>
          <w:p>
            <w:pPr>
              <w:spacing w:before="0" w:after="80"/>
            </w:pPr>
            <w:r>
              <w:rPr>
                <w:rFonts w:ascii="Arial" w:cs="Arial" w:eastAsia="Arial" w:hAnsi="Arial"/>
                <w:b/>
                <w:bCs/>
                <w:color w:val="1A3A6B"/>
                <w:sz w:val="22"/>
                <w:szCs w:val="22"/>
              </w:rPr>
              <w:t xml:space="preserve">The ChronX Promise</w:t>
            </w:r>
          </w:p>
          <w:p>
            <w:pPr>
              <w:spacing w:before="0" w:after="0"/>
            </w:pPr>
            <w:r>
              <w:rPr>
                <w:rFonts w:ascii="Arial" w:cs="Arial" w:eastAsia="Arial" w:hAnsi="Arial"/>
                <w:color w:val="1A1A2E"/>
                <w:sz w:val="20"/>
                <w:szCs w:val="20"/>
              </w:rPr>
              <w:t xml:space="preserve">Lock funds for yourself or anyone else — from one hour to 100 years. The blockchain enforces the release. No bank. No lawyer. No custodian. If the date arrives and the conditions are met, the funds unlock. Full stop.</w:t>
            </w:r>
          </w:p>
        </w:tc>
      </w:tr>
    </w:tbl>
    <w:p>
      <w:pPr>
        <w:spacing w:before="160" w:after="0"/>
      </w:pPr>
      <w:r>
        <w:t xml:space="preserve"/>
      </w:r>
    </w:p>
    <w:p>
      <w:pPr>
        <w:spacing w:before="80" w:after="120" w:line="320"/>
        <w:jc w:val="both"/>
      </w:pPr>
      <w:r>
        <w:rPr>
          <w:rFonts w:ascii="Arial" w:cs="Arial" w:eastAsia="Arial" w:hAnsi="Arial"/>
          <w:color w:val="1A1A2E"/>
          <w:sz w:val="22"/>
          <w:szCs w:val="22"/>
        </w:rPr>
        <w:t xml:space="preserve">This simplicity is powerful. It makes ChronX immediately useful for:</w:t>
      </w:r>
    </w:p>
    <w:p>
      <w:pPr>
        <w:pStyle w:val="ListParagraph"/>
        <w:numPr>
          <w:ilvl w:val="0"/>
          <w:numId w:val="2"/>
        </w:numPr>
        <w:spacing w:before="60" w:after="60" w:line="300"/>
      </w:pPr>
      <w:r>
        <w:rPr>
          <w:rFonts w:ascii="Arial" w:cs="Arial" w:eastAsia="Arial" w:hAnsi="Arial"/>
          <w:color w:val="1A1A2E"/>
          <w:sz w:val="22"/>
          <w:szCs w:val="22"/>
        </w:rPr>
        <w:t xml:space="preserve">Savings discipline — lock funds you don't want to touch until a future date</w:t>
      </w:r>
    </w:p>
    <w:p>
      <w:pPr>
        <w:pStyle w:val="ListParagraph"/>
        <w:numPr>
          <w:ilvl w:val="0"/>
          <w:numId w:val="2"/>
        </w:numPr>
        <w:spacing w:before="60" w:after="60" w:line="300"/>
      </w:pPr>
      <w:r>
        <w:rPr>
          <w:rFonts w:ascii="Arial" w:cs="Arial" w:eastAsia="Arial" w:hAnsi="Arial"/>
          <w:color w:val="1A1A2E"/>
          <w:sz w:val="22"/>
          <w:szCs w:val="22"/>
        </w:rPr>
        <w:t xml:space="preserve">Gifts for children — send KX to a minor that unlocks on their 18th birthday</w:t>
      </w:r>
    </w:p>
    <w:p>
      <w:pPr>
        <w:pStyle w:val="ListParagraph"/>
        <w:numPr>
          <w:ilvl w:val="0"/>
          <w:numId w:val="2"/>
        </w:numPr>
        <w:spacing w:before="60" w:after="60" w:line="300"/>
      </w:pPr>
      <w:r>
        <w:rPr>
          <w:rFonts w:ascii="Arial" w:cs="Arial" w:eastAsia="Arial" w:hAnsi="Arial"/>
          <w:color w:val="1A1A2E"/>
          <w:sz w:val="22"/>
          <w:szCs w:val="22"/>
        </w:rPr>
        <w:t xml:space="preserve">Inheritance-style transfers — direct value to a named recipient after a specified date</w:t>
      </w:r>
    </w:p>
    <w:p>
      <w:pPr>
        <w:pStyle w:val="ListParagraph"/>
        <w:numPr>
          <w:ilvl w:val="0"/>
          <w:numId w:val="2"/>
        </w:numPr>
        <w:spacing w:before="60" w:after="60" w:line="300"/>
      </w:pPr>
      <w:r>
        <w:rPr>
          <w:rFonts w:ascii="Arial" w:cs="Arial" w:eastAsia="Arial" w:hAnsi="Arial"/>
          <w:color w:val="1A1A2E"/>
          <w:sz w:val="22"/>
          <w:szCs w:val="22"/>
        </w:rPr>
        <w:t xml:space="preserve">Deferred compensation — programmable vesting without smart contract complexity</w:t>
      </w:r>
    </w:p>
    <w:p>
      <w:pPr>
        <w:pStyle w:val="ListParagraph"/>
        <w:numPr>
          <w:ilvl w:val="0"/>
          <w:numId w:val="2"/>
        </w:numPr>
        <w:spacing w:before="60" w:after="60" w:line="300"/>
      </w:pPr>
      <w:r>
        <w:rPr>
          <w:rFonts w:ascii="Arial" w:cs="Arial" w:eastAsia="Arial" w:hAnsi="Arial"/>
          <w:color w:val="1A1A2E"/>
          <w:sz w:val="22"/>
          <w:szCs w:val="22"/>
        </w:rPr>
        <w:t xml:space="preserve">Institutional escrow — policy-controlled future payments with audit trails</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2.2  How Time-Locks Work</w:t>
      </w:r>
    </w:p>
    <w:p>
      <w:pPr>
        <w:spacing w:before="80" w:after="120" w:line="320"/>
        <w:jc w:val="both"/>
      </w:pPr>
      <w:r>
        <w:rPr>
          <w:rFonts w:ascii="Arial" w:cs="Arial" w:eastAsia="Arial" w:hAnsi="Arial"/>
          <w:color w:val="1A1A2E"/>
          <w:sz w:val="22"/>
          <w:szCs w:val="22"/>
        </w:rPr>
        <w:t xml:space="preserve">A ChronX time-lock is an on-chain record containing: the sender's account, the recipient's public key, the KX amount, and the unlock timestamp. Once created, the lock is immutable. The underlying funds cannot be moved until the blockchain's internal clock passes the unlock date, at which point the recipient may claim the funds by providing a valid post-quantum signature.</w:t>
      </w:r>
    </w:p>
    <w:p>
      <w:pPr>
        <w:spacing w:before="80" w:after="0"/>
      </w:pPr>
      <w:r>
        <w:t xml:space="preserve"/>
      </w:r>
    </w:p>
    <w:p>
      <w:pPr>
        <w:spacing w:before="80" w:after="120" w:line="320"/>
        <w:jc w:val="both"/>
      </w:pPr>
      <w:r>
        <w:rPr>
          <w:rFonts w:ascii="Arial" w:cs="Arial" w:eastAsia="Arial" w:hAnsi="Arial"/>
          <w:color w:val="1A1A2E"/>
          <w:sz w:val="22"/>
          <w:szCs w:val="22"/>
        </w:rPr>
        <w:t xml:space="preserve">The entire lifecycle — creation, storage, maturation, and claim — happens on-chain without any off-chain dependency or oracle. There is no reliance on external time sources beyond the block timestamp, which is enforced by the network's consensus rules.</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2.3  What Makes ChronX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1628" w:sz="2"/>
              <w:left w:val="single" w:color="0A1628" w:sz="2"/>
              <w:bottom w:val="single" w:color="0A1628" w:sz="2"/>
              <w:right w:val="single" w:color="0A1628"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Feature</w:t>
            </w:r>
          </w:p>
        </w:tc>
        <w:tc>
          <w:tcPr>
            <w:tcW w:type="dxa" w:w="3120"/>
            <w:tcBorders>
              <w:top w:val="single" w:color="0A1628" w:sz="2"/>
              <w:left w:val="single" w:color="0A1628" w:sz="2"/>
              <w:bottom w:val="single" w:color="0A1628" w:sz="2"/>
              <w:right w:val="single" w:color="0A1628"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Traditional / Other Chains</w:t>
            </w:r>
          </w:p>
        </w:tc>
        <w:tc>
          <w:tcPr>
            <w:tcW w:type="dxa" w:w="3120"/>
            <w:tcBorders>
              <w:top w:val="single" w:color="0A1628" w:sz="2"/>
              <w:left w:val="single" w:color="0A1628" w:sz="2"/>
              <w:bottom w:val="single" w:color="0A1628" w:sz="2"/>
              <w:right w:val="single" w:color="0A1628" w:sz="2"/>
            </w:tcBorders>
            <w:shd w:fill="0A1628" w:val="clear"/>
            <w:tcMar>
              <w:top w:type="dxa" w:w="120"/>
              <w:left w:type="dxa" w:w="160"/>
              <w:bottom w:type="dxa" w:w="120"/>
              <w:right w:type="dxa" w:w="160"/>
            </w:tcMar>
          </w:tcPr>
          <w:p>
            <w:r>
              <w:rPr>
                <w:rFonts w:ascii="Arial" w:cs="Arial" w:eastAsia="Arial" w:hAnsi="Arial"/>
                <w:b/>
                <w:bCs/>
                <w:color w:val="C9A84C"/>
                <w:sz w:val="20"/>
                <w:szCs w:val="20"/>
              </w:rPr>
              <w:t xml:space="preserve">ChronX</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Custodian required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Yes (banks, trusts)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No — protocol-enforced</w:t>
            </w:r>
          </w:p>
        </w:tc>
      </w:tr>
      <w:tr>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Quantum-resistant</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No</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Yes — Dilithium2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Recipient key loss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Funds lost or litigation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Claim Agent resolution (roadmap)</w:t>
            </w:r>
          </w:p>
        </w:tc>
      </w:tr>
      <w:tr>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Gas fees</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Variable, unpredictable</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PoW only — no fees deducted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Time horizon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Limited by institution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Up to 100+ years</w:t>
            </w:r>
          </w:p>
        </w:tc>
      </w:tr>
      <w:tr>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Audit trail</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Opaque / private</w:t>
            </w:r>
          </w:p>
        </w:tc>
        <w:tc>
          <w:tcPr>
            <w:tcW w:type="dxa" w:w="312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Fully on-chain, public</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Jurisdictional risk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Protocol-agnostic</w:t>
            </w:r>
          </w:p>
        </w:tc>
      </w:tr>
    </w:tbl>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3. Technical Architecture</w:t>
      </w:r>
    </w:p>
    <w:p>
      <w:pPr>
        <w:spacing w:before="80" w:after="120" w:line="320"/>
        <w:jc w:val="both"/>
      </w:pPr>
      <w:r>
        <w:rPr>
          <w:rFonts w:ascii="Arial" w:cs="Arial" w:eastAsia="Arial" w:hAnsi="Arial"/>
          <w:color w:val="1A1A2E"/>
          <w:sz w:val="22"/>
          <w:szCs w:val="22"/>
        </w:rPr>
        <w:t xml:space="preserve">ChronX is implemented in Rust — chosen for its memory safety guarantees, deterministic performance, and suitability for long-running infrastructure. The protocol is designed to be auditable, minimal, and purpose-built: no extraneous features that expand the attack surface beyond what future payments require.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3.1  Post-Quantum Cryptography: Dilithium2</w:t>
      </w:r>
    </w:p>
    <w:p>
      <w:pPr>
        <w:spacing w:before="80" w:after="120" w:line="320"/>
        <w:jc w:val="both"/>
      </w:pPr>
      <w:r>
        <w:rPr>
          <w:rFonts w:ascii="Arial" w:cs="Arial" w:eastAsia="Arial" w:hAnsi="Arial"/>
          <w:color w:val="1A1A2E"/>
          <w:sz w:val="22"/>
          <w:szCs w:val="22"/>
        </w:rPr>
        <w:t xml:space="preserve">Every account on ChronX is secured by CRYSTALS-Dilithium2, a lattice-based digital signature scheme selected by NIST as a post-quantum cryptography standard. Classical blockchain signatures (ECDSA, EdDSA) are vulnerable to a sufficiently powerful quantum computer running Shor's algorithm. For a protocol designed to hold value for decades, this is not a theoretical risk — it is a planning requirement.</w:t>
      </w:r>
    </w:p>
    <w:p>
      <w:pPr>
        <w:spacing w:before="80" w:after="0"/>
      </w:pPr>
      <w:r>
        <w:t xml:space="preserve"/>
      </w:r>
    </w:p>
    <w:p>
      <w:pPr>
        <w:spacing w:before="80" w:after="120" w:line="320"/>
        <w:jc w:val="both"/>
      </w:pPr>
      <w:r>
        <w:rPr>
          <w:rFonts w:ascii="Arial" w:cs="Arial" w:eastAsia="Arial" w:hAnsi="Arial"/>
          <w:color w:val="1A1A2E"/>
          <w:sz w:val="22"/>
          <w:szCs w:val="22"/>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2"/>
              <w:left w:val="thick" w:color="C9A84C" w:sz="12"/>
              <w:bottom w:val="single" w:color="2E6FBF" w:sz="2"/>
              <w:right w:val="single" w:color="2E6FBF" w:sz="2"/>
            </w:tcBorders>
            <w:shd w:fill="F2F5FA" w:val="clear"/>
            <w:tcMar>
              <w:top w:type="dxa" w:w="160"/>
              <w:left w:type="dxa" w:w="240"/>
              <w:bottom w:type="dxa" w:w="160"/>
              <w:right w:type="dxa" w:w="240"/>
            </w:tcMar>
          </w:tcPr>
          <w:p>
            <w:pPr>
              <w:spacing w:before="0" w:after="80"/>
            </w:pPr>
            <w:r>
              <w:rPr>
                <w:rFonts w:ascii="Arial" w:cs="Arial" w:eastAsia="Arial" w:hAnsi="Arial"/>
                <w:b/>
                <w:bCs/>
                <w:color w:val="1A3A6B"/>
                <w:sz w:val="22"/>
                <w:szCs w:val="22"/>
              </w:rPr>
              <w:t xml:space="preserve">Why Quantum Resistance Matters for Time-Locks</w:t>
            </w:r>
          </w:p>
          <w:p>
            <w:pPr>
              <w:spacing w:before="0" w:after="0"/>
            </w:pPr>
            <w:r>
              <w:rPr>
                <w:rFonts w:ascii="Arial" w:cs="Arial" w:eastAsia="Arial" w:hAnsi="Arial"/>
                <w:color w:val="1A1A2E"/>
                <w:sz w:val="20"/>
                <w:szCs w:val="20"/>
              </w:rPr>
              <w:t xml:space="preserve">A 30-year time-lock created today must still be secure in 2055. Cryptographers broadly expect quantum computers capable of breaking classical signatures to exist within that timeframe. ChronX is the only chain designed from the ground up with this reality in mind.</w:t>
            </w:r>
          </w:p>
        </w:tc>
      </w:tr>
    </w:tbl>
    <w:p>
      <w:pPr>
        <w:spacing w:before="160" w:after="0"/>
      </w:pPr>
      <w:r>
        <w:t xml:space="preserve"/>
      </w:r>
    </w:p>
    <w:p>
      <w:pPr>
        <w:pStyle w:val="Heading2"/>
        <w:spacing w:before="320" w:after="120"/>
      </w:pPr>
      <w:r>
        <w:rPr>
          <w:rFonts w:ascii="Arial" w:cs="Arial" w:eastAsia="Arial" w:hAnsi="Arial"/>
          <w:b/>
          <w:bCs/>
          <w:color w:val="1A3A6B"/>
          <w:sz w:val="26"/>
          <w:szCs w:val="26"/>
        </w:rPr>
        <w:t xml:space="preserve">3.2  Consensus: Proof of Work</w:t>
      </w:r>
    </w:p>
    <w:p>
      <w:pPr>
        <w:spacing w:before="80" w:after="120" w:line="320"/>
        <w:jc w:val="both"/>
      </w:pPr>
      <w:r>
        <w:rPr>
          <w:rFonts w:ascii="Arial" w:cs="Arial" w:eastAsia="Arial" w:hAnsi="Arial"/>
          <w:color w:val="1A1A2E"/>
          <w:sz w:val="22"/>
          <w:szCs w:val="22"/>
        </w:rPr>
        <w:t xml:space="preserve">ChronX uses proof-of-work consensus at difficulty 20 bits. PoW was chosen over proof-of-stake for its simplicity, its absence of staking-based centralization risk, and its suitability for a chain where transaction volume is expected to be moderate and security derives from computational commitment rather than capital lock-up.</w:t>
      </w:r>
    </w:p>
    <w:p>
      <w:pPr>
        <w:spacing w:before="80" w:after="0"/>
      </w:pPr>
      <w:r>
        <w:t xml:space="preserve"/>
      </w:r>
    </w:p>
    <w:p>
      <w:pPr>
        <w:spacing w:before="80" w:after="120" w:line="320"/>
        <w:jc w:val="both"/>
      </w:pPr>
      <w:r>
        <w:rPr>
          <w:rFonts w:ascii="Arial" w:cs="Arial" w:eastAsia="Arial" w:hAnsi="Arial"/>
          <w:color w:val="1A1A2E"/>
          <w:sz w:val="22"/>
          <w:szCs w:val="22"/>
        </w:rPr>
        <w:t xml:space="preserve">Transaction PoW serves a second purpose: spam prevention without fees. Every transaction requires the sender's CPU to solve a small computational puzzle. This imposes a real cost on high-volume spam without deducting any KX from the sender's balance, keeping the fee model simple and predictable.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3.3  Storage and State</w:t>
      </w:r>
    </w:p>
    <w:p>
      <w:pPr>
        <w:spacing w:before="80" w:after="120" w:line="320"/>
        <w:jc w:val="both"/>
      </w:pPr>
      <w:r>
        <w:rPr>
          <w:rFonts w:ascii="Arial" w:cs="Arial" w:eastAsia="Arial" w:hAnsi="Arial"/>
          <w:color w:val="1A1A2E"/>
          <w:sz w:val="22"/>
          <w:szCs w:val="22"/>
        </w:rPr>
        <w:t xml:space="preserve">Chain state is managed via sled, an embedded key-value store optimized for low-latency reads and crash safety. Account balances, time-lock records, and chain metadata are stored in a structured, append-friendly format designed for long-term data integrity. The state database is designed to remain queryable and auditable without external indexing infrastructure.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3.4  Networking: libp2p</w:t>
      </w:r>
    </w:p>
    <w:p>
      <w:pPr>
        <w:spacing w:before="80" w:after="120" w:line="320"/>
        <w:jc w:val="both"/>
      </w:pPr>
      <w:r>
        <w:rPr>
          <w:rFonts w:ascii="Arial" w:cs="Arial" w:eastAsia="Arial" w:hAnsi="Arial"/>
          <w:color w:val="1A1A2E"/>
          <w:sz w:val="22"/>
          <w:szCs w:val="22"/>
        </w:rPr>
        <w:t xml:space="preserve">Node-to-node communication is handled by libp2p, the same peer-to-peer networking stack used by IPFS, Ethereum 2.0, and Filecoin. ChronX nodes discover peers, propagate transactions, and synchronize chain state using libp2p's Kademlia DHT and gossip protocols. The network is permissionless — anyone may run a node.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3.5  Units and Denomination</w:t>
      </w:r>
    </w:p>
    <w:p>
      <w:pPr>
        <w:spacing w:before="80" w:after="120" w:line="320"/>
        <w:jc w:val="both"/>
      </w:pPr>
      <w:r>
        <w:rPr>
          <w:rFonts w:ascii="Arial" w:cs="Arial" w:eastAsia="Arial" w:hAnsi="Arial"/>
          <w:color w:val="1A1A2E"/>
          <w:sz w:val="22"/>
          <w:szCs w:val="22"/>
        </w:rPr>
        <w:t xml:space="preserve">The native currency of ChronX is KX (Chronos). The base unit is the Chrono, where 1 KX = 1,000,000 Chronos (10⁶). This denomination structure provides fine-grained precision for small transactions while keeping user-facing amounts readable at scale.</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4. Tokenomics</w:t>
      </w:r>
    </w:p>
    <w:p>
      <w:pPr>
        <w:spacing w:before="80" w:after="120" w:line="320"/>
        <w:jc w:val="both"/>
      </w:pPr>
      <w:r>
        <w:rPr>
          <w:rFonts w:ascii="Arial" w:cs="Arial" w:eastAsia="Arial" w:hAnsi="Arial"/>
          <w:color w:val="1A1A2E"/>
          <w:sz w:val="22"/>
          <w:szCs w:val="22"/>
        </w:rPr>
        <w:t xml:space="preserve">ChronX has a fixed total supply of 8,270,000,000 KX, allocated at genesis with no inflation mechanism. The supply is permanent and immutable — it cannot be increased by any governance action, protocol upgrade, or administrative decision.</w:t>
      </w:r>
    </w:p>
    <w:p>
      <w:pPr>
        <w:spacing w:before="160" w:after="0"/>
      </w:pPr>
      <w:r>
        <w:t xml:space="preserve"/>
      </w:r>
    </w:p>
    <w:p>
      <w:pPr>
        <w:pStyle w:val="Heading2"/>
        <w:spacing w:before="320" w:after="120"/>
      </w:pPr>
      <w:r>
        <w:rPr>
          <w:rFonts w:ascii="Arial" w:cs="Arial" w:eastAsia="Arial" w:hAnsi="Arial"/>
          <w:b/>
          <w:bCs/>
          <w:color w:val="1A3A6B"/>
          <w:sz w:val="26"/>
          <w:szCs w:val="26"/>
        </w:rPr>
        <w:t xml:space="preserve">4.1  Supply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1A3A6B" w:sz="2"/>
              <w:left w:val="single" w:color="1A3A6B" w:sz="2"/>
              <w:bottom w:val="single" w:color="1A3A6B" w:sz="2"/>
              <w:right w:val="single" w:color="1A3A6B"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Allocation</w:t>
            </w:r>
          </w:p>
        </w:tc>
        <w:tc>
          <w:tcPr>
            <w:tcW w:type="dxa" w:w="2200"/>
            <w:tcBorders>
              <w:top w:val="single" w:color="1A3A6B" w:sz="2"/>
              <w:left w:val="single" w:color="1A3A6B" w:sz="2"/>
              <w:bottom w:val="single" w:color="1A3A6B" w:sz="2"/>
              <w:right w:val="single" w:color="1A3A6B"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Amount (KX)</w:t>
            </w:r>
          </w:p>
        </w:tc>
        <w:tc>
          <w:tcPr>
            <w:tcW w:type="dxa" w:w="2000"/>
            <w:tcBorders>
              <w:top w:val="single" w:color="1A3A6B" w:sz="2"/>
              <w:left w:val="single" w:color="1A3A6B" w:sz="2"/>
              <w:bottom w:val="single" w:color="1A3A6B" w:sz="2"/>
              <w:right w:val="single" w:color="1A3A6B"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 of Supply</w:t>
            </w:r>
          </w:p>
        </w:tc>
        <w:tc>
          <w:tcPr>
            <w:tcW w:type="dxa" w:w="2360"/>
            <w:tcBorders>
              <w:top w:val="single" w:color="1A3A6B" w:sz="2"/>
              <w:left w:val="single" w:color="1A3A6B" w:sz="2"/>
              <w:bottom w:val="single" w:color="1A3A6B" w:sz="2"/>
              <w:right w:val="single" w:color="1A3A6B"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Conditions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Public Sale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7,269,000,000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87.9%</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Spendable at genesis, no deadline</w:t>
            </w:r>
          </w:p>
        </w:tc>
      </w:tr>
      <w:tr>
        <w:tc>
          <w:tcPr>
            <w:tcW w:type="dxa" w:w="28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Treasury</w:t>
            </w:r>
          </w:p>
        </w:tc>
        <w:tc>
          <w:tcPr>
            <w:tcW w:type="dxa" w:w="22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1,000,000,000</w:t>
            </w:r>
          </w:p>
        </w:tc>
        <w:tc>
          <w:tcPr>
            <w:tcW w:type="dxa" w:w="20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12.1%</w:t>
            </w:r>
          </w:p>
        </w:tc>
        <w:tc>
          <w:tcPr>
            <w:tcW w:type="dxa" w:w="23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100 annual time-locks, log-declining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Humanity Stake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1,000,000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0.01%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Locked until January 1, 2127</w:t>
            </w:r>
          </w:p>
        </w:tc>
      </w:tr>
      <w:tr>
        <w:tc>
          <w:tcPr>
            <w:tcW w:type="dxa" w:w="28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TOTAL</w:t>
            </w:r>
          </w:p>
        </w:tc>
        <w:tc>
          <w:tcPr>
            <w:tcW w:type="dxa" w:w="22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8,270,000,000</w:t>
            </w:r>
          </w:p>
        </w:tc>
        <w:tc>
          <w:tcPr>
            <w:tcW w:type="dxa" w:w="20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100%</w:t>
            </w:r>
          </w:p>
        </w:tc>
        <w:tc>
          <w:tcPr>
            <w:tcW w:type="dxa" w:w="23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color w:val="1A1A2E"/>
                <w:sz w:val="20"/>
                <w:szCs w:val="20"/>
              </w:rPr>
              <w:t xml:space="preserve"/>
            </w:r>
          </w:p>
        </w:tc>
      </w:tr>
    </w:tbl>
    <w:p>
      <w:pPr>
        <w:spacing w:before="160" w:after="0"/>
      </w:pPr>
      <w:r>
        <w:t xml:space="preserve"/>
      </w:r>
    </w:p>
    <w:p>
      <w:pPr>
        <w:pStyle w:val="Heading2"/>
        <w:spacing w:before="320" w:after="120"/>
      </w:pPr>
      <w:r>
        <w:rPr>
          <w:rFonts w:ascii="Arial" w:cs="Arial" w:eastAsia="Arial" w:hAnsi="Arial"/>
          <w:b/>
          <w:bCs/>
          <w:color w:val="1A3A6B"/>
          <w:sz w:val="26"/>
          <w:szCs w:val="26"/>
        </w:rPr>
        <w:t xml:space="preserve">4.2  Public Sale Allocation</w:t>
      </w:r>
    </w:p>
    <w:p>
      <w:pPr>
        <w:spacing w:before="80" w:after="120" w:line="320"/>
        <w:jc w:val="both"/>
      </w:pPr>
      <w:r>
        <w:rPr>
          <w:rFonts w:ascii="Arial" w:cs="Arial" w:eastAsia="Arial" w:hAnsi="Arial"/>
          <w:color w:val="1A1A2E"/>
          <w:sz w:val="22"/>
          <w:szCs w:val="22"/>
        </w:rPr>
        <w:t xml:space="preserve">87.9% of total supply — 7,269,000,000 KX — is allocated to the public sale wallet at genesis and is immediately spendable. These funds are available for distribution to early adopters, ecosystem participants, and the public at the founding team's discretion, with no protocol-enforced deadline. The public sale allocation ensures that the vast majority of KX enters open circulation rather than being locked up by insiders.</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4.3  Treasury</w:t>
      </w:r>
    </w:p>
    <w:p>
      <w:pPr>
        <w:spacing w:before="80" w:after="120" w:line="320"/>
        <w:jc w:val="both"/>
      </w:pPr>
      <w:r>
        <w:rPr>
          <w:rFonts w:ascii="Arial" w:cs="Arial" w:eastAsia="Arial" w:hAnsi="Arial"/>
          <w:color w:val="1A1A2E"/>
          <w:sz w:val="22"/>
          <w:szCs w:val="22"/>
        </w:rPr>
        <w:t xml:space="preserve">1,000,000,000 KX is allocated to the treasury across 100 annual time-locks following a harmonic series release schedule (proportional to 1/k, where k is the release number). The first treasury release occurs on January 1, 2029 — two years after genesis — giving the ecosystem time to develop before protocol funding begins. Early releases are larger; later releases are smaller, logarithmically declining toward 2128. This structure incentivizes long-term protocol development while preventing large, destabilizing treasury dumps in any single year. Treasury funds are intended for protocol development, ecosystem grants, and operational sustainability.</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4.4  Humanity Stake</w:t>
      </w:r>
    </w:p>
    <w:p>
      <w:pPr>
        <w:spacing w:before="80" w:after="120" w:line="320"/>
        <w:jc w:val="both"/>
      </w:pPr>
      <w:r>
        <w:rPr>
          <w:rFonts w:ascii="Arial" w:cs="Arial" w:eastAsia="Arial" w:hAnsi="Arial"/>
          <w:color w:val="1A1A2E"/>
          <w:sz w:val="22"/>
          <w:szCs w:val="22"/>
        </w:rPr>
        <w:t xml:space="preserve">1,000,000 KX is locked until January 1, 2127 — a symbolic and functional demonstration of ChronX's core capability. This is a 100-year time-lock created at genesis, visible on-chain to anyone, redeemable by no one alive today. It serves as a permanent proof-of-concept: the protocol can and does hold value across generational timescales.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2"/>
              <w:left w:val="thick" w:color="C9A84C" w:sz="12"/>
              <w:bottom w:val="single" w:color="2E6FBF" w:sz="2"/>
              <w:right w:val="single" w:color="2E6FBF" w:sz="2"/>
            </w:tcBorders>
            <w:shd w:fill="F2F5FA" w:val="clear"/>
            <w:tcMar>
              <w:top w:type="dxa" w:w="160"/>
              <w:left w:type="dxa" w:w="240"/>
              <w:bottom w:type="dxa" w:w="160"/>
              <w:right w:type="dxa" w:w="240"/>
            </w:tcMar>
          </w:tcPr>
          <w:p>
            <w:pPr>
              <w:spacing w:before="0" w:after="80"/>
            </w:pPr>
            <w:r>
              <w:rPr>
                <w:rFonts w:ascii="Arial" w:cs="Arial" w:eastAsia="Arial" w:hAnsi="Arial"/>
                <w:b/>
                <w:bCs/>
                <w:color w:val="1A3A6B"/>
                <w:sz w:val="22"/>
                <w:szCs w:val="22"/>
              </w:rPr>
              <w:t xml:space="preserve">The Humanity Stake</w:t>
            </w:r>
          </w:p>
          <w:p>
            <w:pPr>
              <w:spacing w:before="0" w:after="0"/>
            </w:pPr>
            <w:r>
              <w:rPr>
                <w:rFonts w:ascii="Arial" w:cs="Arial" w:eastAsia="Arial" w:hAnsi="Arial"/>
                <w:color w:val="1A1A2E"/>
                <w:sz w:val="20"/>
                <w:szCs w:val="20"/>
              </w:rPr>
              <w:t xml:space="preserve">One million KX locked for 100 years. Not a marketing claim. An on-chain record, verifiable by anyone, redeemable by no one alive today. ChronX puts its own protocol to the test from block zero.</w:t>
            </w:r>
          </w:p>
        </w:tc>
      </w:tr>
    </w:tbl>
    <w:p>
      <w:pPr>
        <w:spacing w:before="160" w:after="0"/>
      </w:pPr>
      <w:r>
        <w:t xml:space="preserve"/>
      </w:r>
    </w:p>
    <w:p>
      <w:pPr>
        <w:pStyle w:val="Heading2"/>
        <w:spacing w:before="320" w:after="120"/>
      </w:pPr>
      <w:r>
        <w:rPr>
          <w:rFonts w:ascii="Arial" w:cs="Arial" w:eastAsia="Arial" w:hAnsi="Arial"/>
          <w:b/>
          <w:bCs/>
          <w:color w:val="1A3A6B"/>
          <w:sz w:val="26"/>
          <w:szCs w:val="26"/>
        </w:rPr>
        <w:t xml:space="preserve">4.5  No Inflation, No Staking Rewards</w:t>
      </w:r>
    </w:p>
    <w:p>
      <w:pPr>
        <w:spacing w:before="80" w:after="120" w:line="320"/>
        <w:jc w:val="both"/>
      </w:pPr>
      <w:r>
        <w:rPr>
          <w:rFonts w:ascii="Arial" w:cs="Arial" w:eastAsia="Arial" w:hAnsi="Arial"/>
          <w:color w:val="1A1A2E"/>
          <w:sz w:val="22"/>
          <w:szCs w:val="22"/>
        </w:rPr>
        <w:t xml:space="preserve">ChronX does not mint new tokens. There are no block rewards, no staking yields, and no inflationary mechanism. The total supply at genesis equals the total supply forever. This design choice reflects a philosophy: KX should derive its value from utility and scarcity, not from engineered yield that dilutes existing holders.</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5. Genesis Easter Eggs</w:t>
      </w:r>
    </w:p>
    <w:p>
      <w:pPr>
        <w:spacing w:before="80" w:after="120" w:line="320"/>
        <w:jc w:val="both"/>
      </w:pPr>
      <w:r>
        <w:rPr>
          <w:rFonts w:ascii="Arial" w:cs="Arial" w:eastAsia="Arial" w:hAnsi="Arial"/>
          <w:color w:val="1A1A2E"/>
          <w:sz w:val="22"/>
          <w:szCs w:val="22"/>
        </w:rPr>
        <w:t xml:space="preserve">ChronX was designed with intention at every level. Several details embedded in the genesis block are not accidents — they are deliberate choices that reflect the protocol's values and long-term thinking.</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5.1  One Coin Per Person</w:t>
      </w:r>
    </w:p>
    <w:p>
      <w:pPr>
        <w:spacing w:before="80" w:after="120" w:line="320"/>
        <w:jc w:val="both"/>
      </w:pPr>
      <w:r>
        <w:rPr>
          <w:rFonts w:ascii="Arial" w:cs="Arial" w:eastAsia="Arial" w:hAnsi="Arial"/>
          <w:color w:val="1A1A2E"/>
          <w:sz w:val="22"/>
          <w:szCs w:val="22"/>
        </w:rPr>
        <w:t xml:space="preserve">The total supply of 8,270,000,000 KX was chosen to approximate the world population at the time of the protocol's design — roughly one KX for every person alive on Earth. This is not a coincidence. It is a statement of intent: ChronX is not designed for whales, speculators, or insiders. It is designed for people. Every person alive today could, in principle, hold one KX.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2"/>
              <w:left w:val="thick" w:color="C9A84C" w:sz="12"/>
              <w:bottom w:val="single" w:color="2E6FBF" w:sz="2"/>
              <w:right w:val="single" w:color="2E6FBF" w:sz="2"/>
            </w:tcBorders>
            <w:shd w:fill="F2F5FA" w:val="clear"/>
            <w:tcMar>
              <w:top w:type="dxa" w:w="160"/>
              <w:left w:type="dxa" w:w="240"/>
              <w:bottom w:type="dxa" w:w="160"/>
              <w:right w:type="dxa" w:w="240"/>
            </w:tcMar>
          </w:tcPr>
          <w:p>
            <w:pPr>
              <w:spacing w:before="0" w:after="80"/>
            </w:pPr>
            <w:r>
              <w:rPr>
                <w:rFonts w:ascii="Arial" w:cs="Arial" w:eastAsia="Arial" w:hAnsi="Arial"/>
                <w:b/>
                <w:bCs/>
                <w:color w:val="1A3A6B"/>
                <w:sz w:val="22"/>
                <w:szCs w:val="22"/>
              </w:rPr>
              <w:t xml:space="preserve">8,270,000,000 KX</w:t>
            </w:r>
          </w:p>
          <w:p>
            <w:pPr>
              <w:spacing w:before="0" w:after="0"/>
            </w:pPr>
            <w:r>
              <w:rPr>
                <w:rFonts w:ascii="Arial" w:cs="Arial" w:eastAsia="Arial" w:hAnsi="Arial"/>
                <w:color w:val="1A1A2E"/>
                <w:sz w:val="20"/>
                <w:szCs w:val="20"/>
              </w:rPr>
              <w:t xml:space="preserve">One coin for every human alive. Not a round number chosen for aesthetics — a population number chosen for meaning. The ledger was sized for humanity.</w:t>
            </w:r>
          </w:p>
        </w:tc>
      </w:tr>
    </w:tbl>
    <w:p>
      <w:pPr>
        <w:spacing w:before="160" w:after="0"/>
      </w:pPr>
      <w:r>
        <w:t xml:space="preserve"/>
      </w:r>
    </w:p>
    <w:p>
      <w:pPr>
        <w:pStyle w:val="Heading2"/>
        <w:spacing w:before="320" w:after="120"/>
      </w:pPr>
      <w:r>
        <w:rPr>
          <w:rFonts w:ascii="Arial" w:cs="Arial" w:eastAsia="Arial" w:hAnsi="Arial"/>
          <w:b/>
          <w:bCs/>
          <w:color w:val="1A3A6B"/>
          <w:sz w:val="26"/>
          <w:szCs w:val="26"/>
        </w:rPr>
        <w:t xml:space="preserve">5.2  The Humanity Stake</w:t>
      </w:r>
    </w:p>
    <w:p>
      <w:pPr>
        <w:spacing w:before="80" w:after="120" w:line="320"/>
        <w:jc w:val="both"/>
      </w:pPr>
      <w:r>
        <w:rPr>
          <w:rFonts w:ascii="Arial" w:cs="Arial" w:eastAsia="Arial" w:hAnsi="Arial"/>
          <w:color w:val="1A1A2E"/>
          <w:sz w:val="22"/>
          <w:szCs w:val="22"/>
        </w:rPr>
        <w:t xml:space="preserve">At genesis, 1,000,000 KX was locked in a single time-lock contract until January 1, 2127 — exactly 101 years in the future. No one alive today can claim it. No governance vote can unlock it early. It sits in the ledger, visible to anyone, as a permanent proof that the protocol can and does hold value across generational timescales.</w:t>
      </w:r>
    </w:p>
    <w:p>
      <w:pPr>
        <w:spacing w:before="80" w:after="0"/>
      </w:pPr>
      <w:r>
        <w:t xml:space="preserve"/>
      </w:r>
    </w:p>
    <w:p>
      <w:pPr>
        <w:spacing w:before="80" w:after="120" w:line="320"/>
        <w:jc w:val="both"/>
      </w:pPr>
      <w:r>
        <w:rPr>
          <w:rFonts w:ascii="Arial" w:cs="Arial" w:eastAsia="Arial" w:hAnsi="Arial"/>
          <w:color w:val="1A1A2E"/>
          <w:sz w:val="22"/>
          <w:szCs w:val="22"/>
        </w:rPr>
        <w:t xml:space="preserve">The memo field of this lock reads: "The humanity stake — 1,000,000 KX — locked until Jan 1 2127 00:00:00 UTC. The largest single promise in the ledger." It is there in the code, in the chain, forever.</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5.3  Treasury Release #99 and the 2127 Alignment</w:t>
      </w:r>
    </w:p>
    <w:p>
      <w:pPr>
        <w:spacing w:before="80" w:after="120" w:line="320"/>
        <w:jc w:val="both"/>
      </w:pPr>
      <w:r>
        <w:rPr>
          <w:rFonts w:ascii="Arial" w:cs="Arial" w:eastAsia="Arial" w:hAnsi="Arial"/>
          <w:color w:val="1A1A2E"/>
          <w:sz w:val="22"/>
          <w:szCs w:val="22"/>
        </w:rPr>
        <w:t xml:space="preserve">The 100th treasury release — Treasury Release #99 in zero-indexed terms — is scheduled to unlock on January 1, 2127. This is the same date as the Humanity Stake unlock. The alignment is intentional: on January 1, 2127, two promises made at genesis in 2026 will mature simultaneously. The last treasury release and the humanity stake, both unlocking on the same day, 101 years after the chain's first block.</w:t>
      </w:r>
    </w:p>
    <w:p>
      <w:pPr>
        <w:spacing w:before="80" w:after="0"/>
      </w:pPr>
      <w:r>
        <w:t xml:space="preserve"/>
      </w:r>
    </w:p>
    <w:p>
      <w:pPr>
        <w:spacing w:before="80" w:after="120" w:line="320"/>
        <w:jc w:val="both"/>
      </w:pPr>
      <w:r>
        <w:rPr>
          <w:rFonts w:ascii="Arial" w:cs="Arial" w:eastAsia="Arial" w:hAnsi="Arial"/>
          <w:color w:val="1A1A2E"/>
          <w:sz w:val="22"/>
          <w:szCs w:val="22"/>
        </w:rPr>
        <w:t xml:space="preserve">The final treasury release follows one year later, on January 1, 2128 — completing a 100-year funding arc that spans from 2029 to 2128.</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5.4  A Fully Transparent Genesis</w:t>
      </w:r>
    </w:p>
    <w:p>
      <w:pPr>
        <w:spacing w:before="80" w:after="120" w:line="320"/>
        <w:jc w:val="both"/>
      </w:pPr>
      <w:r>
        <w:rPr>
          <w:rFonts w:ascii="Arial" w:cs="Arial" w:eastAsia="Arial" w:hAnsi="Arial"/>
          <w:color w:val="1A1A2E"/>
          <w:sz w:val="22"/>
          <w:szCs w:val="22"/>
        </w:rPr>
        <w:t xml:space="preserve">Every token that will ever exist was created at genesis on January 1, 2026. There is no mining reward. There is no inflation. There is no hidden allocation. The complete distribution — public sale wallet, 100 treasury time-locks, and the humanity stake — is visible on-chain from block zero and verifiable by anyone running a node.</w:t>
      </w:r>
    </w:p>
    <w:p>
      <w:pPr>
        <w:spacing w:before="80" w:after="0"/>
      </w:pPr>
      <w:r>
        <w:t xml:space="preserve"/>
      </w:r>
    </w:p>
    <w:p>
      <w:pPr>
        <w:spacing w:before="80" w:after="120" w:line="320"/>
        <w:jc w:val="both"/>
      </w:pPr>
      <w:r>
        <w:rPr>
          <w:rFonts w:ascii="Arial" w:cs="Arial" w:eastAsia="Arial" w:hAnsi="Arial"/>
          <w:color w:val="1A1A2E"/>
          <w:sz w:val="22"/>
          <w:szCs w:val="22"/>
        </w:rPr>
        <w:t xml:space="preserve">This is what the ChronX team calls a fully transparent genesis issuance: not a pre-mine in the pejorative sense of hidden insider enrichment, but a publicly declared, on-chain-verifiable allocation where every token's origin, destination, and unlock condition is known before the first user transaction is ever submitted.</w:t>
      </w:r>
    </w:p>
    <w:p>
      <w:pPr>
        <w:pStyle w:val="Heading1"/>
        <w:pBdr>
          <w:bottom w:val="single" w:color="C9A84C" w:sz="4" w:space="8"/>
        </w:pBdr>
        <w:spacing w:before="480" w:after="160"/>
      </w:pPr>
      <w:r>
        <w:rPr>
          <w:rFonts w:ascii="Arial" w:cs="Arial" w:eastAsia="Arial" w:hAnsi="Arial"/>
          <w:b/>
          <w:bCs/>
          <w:color w:val="0A1628"/>
          <w:sz w:val="36"/>
          <w:szCs w:val="36"/>
        </w:rPr>
        <w:t xml:space="preserve">6. Claim Resolution: The Hard Problem</w:t>
      </w:r>
    </w:p>
    <w:p>
      <w:pPr>
        <w:spacing w:before="80" w:after="120" w:line="320"/>
        <w:jc w:val="both"/>
      </w:pPr>
      <w:r>
        <w:rPr>
          <w:rFonts w:ascii="Arial" w:cs="Arial" w:eastAsia="Arial" w:hAnsi="Arial"/>
          <w:color w:val="1A1A2E"/>
          <w:sz w:val="22"/>
          <w:szCs w:val="22"/>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before="120" w:after="0"/>
      </w:pPr>
      <w:r>
        <w:t xml:space="preserve"/>
      </w:r>
    </w:p>
    <w:p>
      <w:pPr>
        <w:spacing w:before="80" w:after="120" w:line="320"/>
        <w:jc w:val="both"/>
      </w:pPr>
      <w:r>
        <w:rPr>
          <w:rFonts w:ascii="Arial" w:cs="Arial" w:eastAsia="Arial" w:hAnsi="Arial"/>
          <w:color w:val="1A1A2E"/>
          <w:sz w:val="22"/>
          <w:szCs w:val="22"/>
        </w:rPr>
        <w:t xml:space="preserve">ChronX's current implementation supports direct claims by recipients with valid private keys. The roadmap addresses the far harder problem: what happens when that direct path is unavailable?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5.1  Bonded Claim Agents</w:t>
      </w:r>
    </w:p>
    <w:p>
      <w:pPr>
        <w:spacing w:before="80" w:after="120" w:line="320"/>
        <w:jc w:val="both"/>
      </w:pPr>
      <w:r>
        <w:rPr>
          <w:rFonts w:ascii="Arial" w:cs="Arial" w:eastAsia="Arial" w:hAnsi="Arial"/>
          <w:color w:val="1A1A2E"/>
          <w:sz w:val="22"/>
          <w:szCs w:val="22"/>
        </w:rPr>
        <w:t xml:space="preserve">ChronX will introduce a permissionless registry of bonded Claim Agents — independent third parties who post economic bonds and compete to complete claims on behalf of recipients who cannot claim directly. A Claim Agent submits an Outcome Certificate attesting that the described recipient is identifiable and reachable, and facilitates the claim process under the lock's policy.</w:t>
      </w:r>
    </w:p>
    <w:p>
      <w:pPr>
        <w:spacing w:before="80" w:after="0"/>
      </w:pPr>
      <w:r>
        <w:t xml:space="preserve"/>
      </w:r>
    </w:p>
    <w:p>
      <w:pPr>
        <w:spacing w:before="80" w:after="120" w:line="320"/>
        <w:jc w:val="both"/>
      </w:pPr>
      <w:r>
        <w:rPr>
          <w:rFonts w:ascii="Arial" w:cs="Arial" w:eastAsia="Arial" w:hAnsi="Arial"/>
          <w:color w:val="1A1A2E"/>
          <w:sz w:val="22"/>
          <w:szCs w:val="22"/>
        </w:rPr>
        <w:t xml:space="preserve">Claim Agents are incentivized by fees paid from the claimed funds. They are deterred from fraud by value-scaled bonding: the bond required to serve as a Claim Agent scales with the value of the lock being claimed. False or fraudulent claims can be challenged during a defined challenge window, during which challengers earn a portion of the slashed bond. This creates a profitable fraud-hunting incentive without requiring a standing oversight committee.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5.2  Bonded Attestors</w:t>
      </w:r>
    </w:p>
    <w:p>
      <w:pPr>
        <w:spacing w:before="80" w:after="120" w:line="320"/>
        <w:jc w:val="both"/>
      </w:pPr>
      <w:r>
        <w:rPr>
          <w:rFonts w:ascii="Arial" w:cs="Arial" w:eastAsia="Arial" w:hAnsi="Arial"/>
          <w:color w:val="1A1A2E"/>
          <w:sz w:val="22"/>
          <w:szCs w:val="22"/>
        </w:rPr>
        <w:t xml:space="preserve">For locks requiring identity verification or compliance certificates, Attestors provide signed Compliance Certificates that satisfy the lock's precommitted policy. Attestors are also bonded and subject to the same challenge mechanism as Claim Agents. The lane that determines which certificate types are required is selected at claim time based on the fiat-equivalent value of the lock in the claiming jurisdiction — not the raw token amount — ensuring that compliance requirements scale with real-world stakes.</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5.3  Ambiguity Mode</w:t>
      </w:r>
    </w:p>
    <w:p>
      <w:pPr>
        <w:spacing w:before="80" w:after="120" w:line="320"/>
        <w:jc w:val="both"/>
      </w:pPr>
      <w:r>
        <w:rPr>
          <w:rFonts w:ascii="Arial" w:cs="Arial" w:eastAsia="Arial" w:hAnsi="Arial"/>
          <w:color w:val="1A1A2E"/>
          <w:sz w:val="22"/>
          <w:szCs w:val="22"/>
        </w:rPr>
        <w:t xml:space="preserve">ChronX does not guess. When a lock specifies a recipient that could match multiple real-world entities — for example, "Human Society" rather than "Humane Society of [City], registration number 12345" — the lock enters Ambiguity Mode. Resolution requires an unambiguous certificate satisfying the sender's precommitted interpretation policy. The protocol will not resolve ambiguity by majority vote, committee discretion, or AI inference. Precision at lock creation time is incentivized; ambiguity has a resolution cost.</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5.4  Commit-Reveal and Anti-Frontrunning</w:t>
      </w:r>
    </w:p>
    <w:p>
      <w:pPr>
        <w:spacing w:before="80" w:after="120" w:line="320"/>
        <w:jc w:val="both"/>
      </w:pPr>
      <w:r>
        <w:rPr>
          <w:rFonts w:ascii="Arial" w:cs="Arial" w:eastAsia="Arial" w:hAnsi="Arial"/>
          <w:color w:val="1A1A2E"/>
          <w:sz w:val="22"/>
          <w:szCs w:val="22"/>
        </w:rPr>
        <w:t xml:space="preserve">Claim submissions use a commit-reveal scheme to prevent frontrunning. A Claim Agent first commits a hash of their claim, waits for a defined number of blocks, then reveals the full claim. This prevents other actors from observing a valid claim in the mempool and submitting a competing claim before it confirms — a critical property for high-value long-horizon locks.</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7. Who ChronX Is For</w:t>
      </w:r>
    </w:p>
    <w:p>
      <w:pPr>
        <w:pStyle w:val="Heading2"/>
        <w:spacing w:before="320" w:after="120"/>
      </w:pPr>
      <w:r>
        <w:rPr>
          <w:rFonts w:ascii="Arial" w:cs="Arial" w:eastAsia="Arial" w:hAnsi="Arial"/>
          <w:b/>
          <w:bCs/>
          <w:color w:val="1A3A6B"/>
          <w:sz w:val="26"/>
          <w:szCs w:val="26"/>
        </w:rPr>
        <w:t xml:space="preserve">6.1  Everyday People</w:t>
      </w:r>
    </w:p>
    <w:p>
      <w:pPr>
        <w:spacing w:before="80" w:after="120" w:line="320"/>
        <w:jc w:val="both"/>
      </w:pPr>
      <w:r>
        <w:rPr>
          <w:rFonts w:ascii="Arial" w:cs="Arial" w:eastAsia="Arial" w:hAnsi="Arial"/>
          <w:color w:val="1A1A2E"/>
          <w:sz w:val="22"/>
          <w:szCs w:val="22"/>
        </w:rPr>
        <w:t xml:space="preserve">The first and largest market for ChronX is ordinary people with ordinary needs: parents who want to save for their children's future, individuals who struggle with savings discipline and want their money truly out of reach until a date they choose, people who want to make a deferred gift to a friend or family member without involving a lawyer or a bank.</w:t>
      </w:r>
    </w:p>
    <w:p>
      <w:pPr>
        <w:spacing w:before="80" w:after="0"/>
      </w:pPr>
      <w:r>
        <w:t xml:space="preserve"/>
      </w:r>
    </w:p>
    <w:p>
      <w:pPr>
        <w:spacing w:before="80" w:after="120" w:line="320"/>
        <w:jc w:val="both"/>
      </w:pPr>
      <w:r>
        <w:rPr>
          <w:rFonts w:ascii="Arial" w:cs="Arial" w:eastAsia="Arial" w:hAnsi="Arial"/>
          <w:color w:val="1A1A2E"/>
          <w:sz w:val="22"/>
          <w:szCs w:val="22"/>
        </w:rPr>
        <w:t xml:space="preserve">For these users, ChronX needs to be — and is being built to be — as simple as sending a message. Create a lock, specify a recipient and a date, confirm. The blockchain handles everything else.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6.2  Crypto-Native Users</w:t>
      </w:r>
    </w:p>
    <w:p>
      <w:pPr>
        <w:spacing w:before="80" w:after="120" w:line="320"/>
        <w:jc w:val="both"/>
      </w:pPr>
      <w:r>
        <w:rPr>
          <w:rFonts w:ascii="Arial" w:cs="Arial" w:eastAsia="Arial" w:hAnsi="Arial"/>
          <w:color w:val="1A1A2E"/>
          <w:sz w:val="22"/>
          <w:szCs w:val="22"/>
        </w:rPr>
        <w:t xml:space="preserve">The second market is the technically sophisticated crypto user who has tried to implement timelocks using existing tools and found them wanting. Bitcoin script timelocks require technical expertise to construct safely. Ethereum smart contract timelocks expose users to contract bugs, gas volatility, and the need to audit code they did not write.</w:t>
      </w:r>
    </w:p>
    <w:p>
      <w:pPr>
        <w:spacing w:before="80" w:after="0"/>
      </w:pPr>
      <w:r>
        <w:t xml:space="preserve"/>
      </w:r>
    </w:p>
    <w:p>
      <w:pPr>
        <w:spacing w:before="80" w:after="120" w:line="320"/>
        <w:jc w:val="both"/>
      </w:pPr>
      <w:r>
        <w:rPr>
          <w:rFonts w:ascii="Arial" w:cs="Arial" w:eastAsia="Arial" w:hAnsi="Arial"/>
          <w:color w:val="1A1A2E"/>
          <w:sz w:val="22"/>
          <w:szCs w:val="22"/>
        </w:rPr>
        <w:t xml:space="preserve">ChronX provides a native, auditable, purpose-built alternative. The time-lock is not a smart contract — it is a first-class protocol primitive, as simple and reliable as a balance transfer.</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6.3  Institutions and Professionals</w:t>
      </w:r>
    </w:p>
    <w:p>
      <w:pPr>
        <w:spacing w:before="80" w:after="120" w:line="320"/>
        <w:jc w:val="both"/>
      </w:pPr>
      <w:r>
        <w:rPr>
          <w:rFonts w:ascii="Arial" w:cs="Arial" w:eastAsia="Arial" w:hAnsi="Arial"/>
          <w:color w:val="1A1A2E"/>
          <w:sz w:val="22"/>
          <w:szCs w:val="22"/>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pPr>
        <w:spacing w:before="80" w:after="0"/>
      </w:pPr>
      <w:r>
        <w:t xml:space="preserve"/>
      </w:r>
    </w:p>
    <w:p>
      <w:pPr>
        <w:spacing w:before="80" w:after="120" w:line="320"/>
        <w:jc w:val="both"/>
      </w:pPr>
      <w:r>
        <w:rPr>
          <w:rFonts w:ascii="Arial" w:cs="Arial" w:eastAsia="Arial" w:hAnsi="Arial"/>
          <w:color w:val="1A1A2E"/>
          <w:sz w:val="22"/>
          <w:szCs w:val="22"/>
        </w:rPr>
        <w:t xml:space="preserve">This market is not addressable on day one. It requires the full claim resolution infrastructure — Claim Agents, Attestors, Compliance Certificates, and governance — that ChronX is building toward. When that infrastructure is in place, ChronX will offer something genuinely novel: a decentralized, auditable, policy-aware future payment protocol that meets institutional requirements without institutional custody.</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8. Roadmap</w:t>
      </w:r>
    </w:p>
    <w:p>
      <w:pPr>
        <w:pStyle w:val="Heading2"/>
        <w:spacing w:before="320" w:after="120"/>
      </w:pPr>
      <w:r>
        <w:rPr>
          <w:rFonts w:ascii="Arial" w:cs="Arial" w:eastAsia="Arial" w:hAnsi="Arial"/>
          <w:b/>
          <w:bCs/>
          <w:color w:val="1A3A6B"/>
          <w:sz w:val="26"/>
          <w:szCs w:val="26"/>
        </w:rPr>
        <w:t xml:space="preserve">Phase 1 — Foundation (Current)</w:t>
      </w:r>
    </w:p>
    <w:p>
      <w:pPr>
        <w:pStyle w:val="ListParagraph"/>
        <w:numPr>
          <w:ilvl w:val="0"/>
          <w:numId w:val="2"/>
        </w:numPr>
        <w:spacing w:before="60" w:after="60" w:line="30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Mainnet launch with genesis block</w:t>
      </w:r>
    </w:p>
    <w:p>
      <w:pPr>
        <w:pStyle w:val="ListParagraph"/>
        <w:numPr>
          <w:ilvl w:val="0"/>
          <w:numId w:val="2"/>
        </w:numPr>
        <w:spacing w:before="60" w:after="60" w:line="30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Post-quantum wallet (Windows desktop, Android)</w:t>
      </w:r>
    </w:p>
    <w:p>
      <w:pPr>
        <w:pStyle w:val="ListParagraph"/>
        <w:numPr>
          <w:ilvl w:val="0"/>
          <w:numId w:val="2"/>
        </w:numPr>
        <w:spacing w:before="60" w:after="60" w:line="30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Direct time-lock creation and claim</w:t>
      </w:r>
    </w:p>
    <w:p>
      <w:pPr>
        <w:pStyle w:val="ListParagraph"/>
        <w:numPr>
          <w:ilvl w:val="0"/>
          <w:numId w:val="2"/>
        </w:numPr>
        <w:spacing w:before="60" w:after="60" w:line="30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Public node infrastructure (Vultr mainnet node)</w:t>
      </w:r>
    </w:p>
    <w:p>
      <w:pPr>
        <w:pStyle w:val="ListParagraph"/>
        <w:numPr>
          <w:ilvl w:val="0"/>
          <w:numId w:val="2"/>
        </w:numPr>
        <w:spacing w:before="60" w:after="60" w:line="30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Two-node P2P network</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Phase 2 — Accessibility</w:t>
      </w:r>
    </w:p>
    <w:p>
      <w:pPr>
        <w:pStyle w:val="ListParagraph"/>
        <w:numPr>
          <w:ilvl w:val="0"/>
          <w:numId w:val="2"/>
        </w:numPr>
        <w:spacing w:before="60" w:after="60" w:line="300"/>
      </w:pPr>
      <w:r>
        <w:rPr>
          <w:rFonts w:ascii="Arial" w:cs="Arial" w:eastAsia="Arial" w:hAnsi="Arial"/>
          <w:color w:val="1A1A2E"/>
          <w:sz w:val="22"/>
          <w:szCs w:val="22"/>
        </w:rPr>
        <w:t xml:space="preserve">Mobile wallet UX refinement (iOS, Android)</w:t>
      </w:r>
    </w:p>
    <w:p>
      <w:pPr>
        <w:pStyle w:val="ListParagraph"/>
        <w:numPr>
          <w:ilvl w:val="0"/>
          <w:numId w:val="2"/>
        </w:numPr>
        <w:spacing w:before="60" w:after="60" w:line="300"/>
      </w:pPr>
      <w:r>
        <w:rPr>
          <w:rFonts w:ascii="Arial" w:cs="Arial" w:eastAsia="Arial" w:hAnsi="Arial"/>
          <w:color w:val="1A1A2E"/>
          <w:sz w:val="22"/>
          <w:szCs w:val="22"/>
        </w:rPr>
        <w:t xml:space="preserve">Walletless onboarding — account abstraction for non-crypto users</w:t>
      </w:r>
    </w:p>
    <w:p>
      <w:pPr>
        <w:pStyle w:val="ListParagraph"/>
        <w:numPr>
          <w:ilvl w:val="0"/>
          <w:numId w:val="2"/>
        </w:numPr>
        <w:spacing w:before="60" w:after="60" w:line="300"/>
      </w:pPr>
      <w:r>
        <w:rPr>
          <w:rFonts w:ascii="Arial" w:cs="Arial" w:eastAsia="Arial" w:hAnsi="Arial"/>
          <w:color w:val="1A1A2E"/>
          <w:sz w:val="22"/>
          <w:szCs w:val="22"/>
        </w:rPr>
        <w:t xml:space="preserve">Web wallet interface</w:t>
      </w:r>
    </w:p>
    <w:p>
      <w:pPr>
        <w:pStyle w:val="ListParagraph"/>
        <w:numPr>
          <w:ilvl w:val="0"/>
          <w:numId w:val="2"/>
        </w:numPr>
        <w:spacing w:before="60" w:after="60" w:line="300"/>
      </w:pPr>
      <w:r>
        <w:rPr>
          <w:rFonts w:ascii="Arial" w:cs="Arial" w:eastAsia="Arial" w:hAnsi="Arial"/>
          <w:color w:val="1A1A2E"/>
          <w:sz w:val="22"/>
          <w:szCs w:val="22"/>
        </w:rPr>
        <w:t xml:space="preserve">Explorer — public block and time-lock browser</w:t>
      </w:r>
    </w:p>
    <w:p>
      <w:pPr>
        <w:pStyle w:val="ListParagraph"/>
        <w:numPr>
          <w:ilvl w:val="0"/>
          <w:numId w:val="2"/>
        </w:numPr>
        <w:spacing w:before="60" w:after="60" w:line="300"/>
      </w:pPr>
      <w:r>
        <w:rPr>
          <w:rFonts w:ascii="Arial" w:cs="Arial" w:eastAsia="Arial" w:hAnsi="Arial"/>
          <w:color w:val="1A1A2E"/>
          <w:sz w:val="22"/>
          <w:szCs w:val="22"/>
        </w:rPr>
        <w:t xml:space="preserve">Developer SDK and documentation</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Phase 3 — Claim Resolution</w:t>
      </w:r>
    </w:p>
    <w:p>
      <w:pPr>
        <w:pStyle w:val="ListParagraph"/>
        <w:numPr>
          <w:ilvl w:val="0"/>
          <w:numId w:val="2"/>
        </w:numPr>
        <w:spacing w:before="60" w:after="60" w:line="300"/>
      </w:pPr>
      <w:r>
        <w:rPr>
          <w:rFonts w:ascii="Arial" w:cs="Arial" w:eastAsia="Arial" w:hAnsi="Arial"/>
          <w:color w:val="1A1A2E"/>
          <w:sz w:val="22"/>
          <w:szCs w:val="22"/>
        </w:rPr>
        <w:t xml:space="preserve">Claim Agent registry and bonding mechanism</w:t>
      </w:r>
    </w:p>
    <w:p>
      <w:pPr>
        <w:pStyle w:val="ListParagraph"/>
        <w:numPr>
          <w:ilvl w:val="0"/>
          <w:numId w:val="2"/>
        </w:numPr>
        <w:spacing w:before="60" w:after="60" w:line="300"/>
      </w:pPr>
      <w:r>
        <w:rPr>
          <w:rFonts w:ascii="Arial" w:cs="Arial" w:eastAsia="Arial" w:hAnsi="Arial"/>
          <w:color w:val="1A1A2E"/>
          <w:sz w:val="22"/>
          <w:szCs w:val="22"/>
        </w:rPr>
        <w:t xml:space="preserve">Attestor registry and Compliance Certificate framework</w:t>
      </w:r>
    </w:p>
    <w:p>
      <w:pPr>
        <w:pStyle w:val="ListParagraph"/>
        <w:numPr>
          <w:ilvl w:val="0"/>
          <w:numId w:val="2"/>
        </w:numPr>
        <w:spacing w:before="60" w:after="60" w:line="300"/>
      </w:pPr>
      <w:r>
        <w:rPr>
          <w:rFonts w:ascii="Arial" w:cs="Arial" w:eastAsia="Arial" w:hAnsi="Arial"/>
          <w:color w:val="1A1A2E"/>
          <w:sz w:val="22"/>
          <w:szCs w:val="22"/>
        </w:rPr>
        <w:t xml:space="preserve">Ambiguity Mode and interpretation policy engine</w:t>
      </w:r>
    </w:p>
    <w:p>
      <w:pPr>
        <w:pStyle w:val="ListParagraph"/>
        <w:numPr>
          <w:ilvl w:val="0"/>
          <w:numId w:val="2"/>
        </w:numPr>
        <w:spacing w:before="60" w:after="60" w:line="300"/>
      </w:pPr>
      <w:r>
        <w:rPr>
          <w:rFonts w:ascii="Arial" w:cs="Arial" w:eastAsia="Arial" w:hAnsi="Arial"/>
          <w:color w:val="1A1A2E"/>
          <w:sz w:val="22"/>
          <w:szCs w:val="22"/>
        </w:rPr>
        <w:t xml:space="preserve">Commit-reveal claim submission</w:t>
      </w:r>
    </w:p>
    <w:p>
      <w:pPr>
        <w:pStyle w:val="ListParagraph"/>
        <w:numPr>
          <w:ilvl w:val="0"/>
          <w:numId w:val="2"/>
        </w:numPr>
        <w:spacing w:before="60" w:after="60" w:line="300"/>
      </w:pPr>
      <w:r>
        <w:rPr>
          <w:rFonts w:ascii="Arial" w:cs="Arial" w:eastAsia="Arial" w:hAnsi="Arial"/>
          <w:color w:val="1A1A2E"/>
          <w:sz w:val="22"/>
          <w:szCs w:val="22"/>
        </w:rPr>
        <w:t xml:space="preserve">Challenge window and bond slashing</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Phase 4 — Institutional Infrastructure</w:t>
      </w:r>
    </w:p>
    <w:p>
      <w:pPr>
        <w:pStyle w:val="ListParagraph"/>
        <w:numPr>
          <w:ilvl w:val="0"/>
          <w:numId w:val="2"/>
        </w:numPr>
        <w:spacing w:before="60" w:after="60" w:line="300"/>
      </w:pPr>
      <w:r>
        <w:rPr>
          <w:rFonts w:ascii="Arial" w:cs="Arial" w:eastAsia="Arial" w:hAnsi="Arial"/>
          <w:color w:val="1A1A2E"/>
          <w:sz w:val="22"/>
          <w:szCs w:val="22"/>
        </w:rPr>
        <w:t xml:space="preserve">Governance for protocol parameter updates and registry management</w:t>
      </w:r>
    </w:p>
    <w:p>
      <w:pPr>
        <w:pStyle w:val="ListParagraph"/>
        <w:numPr>
          <w:ilvl w:val="0"/>
          <w:numId w:val="2"/>
        </w:numPr>
        <w:spacing w:before="60" w:after="60" w:line="300"/>
      </w:pPr>
      <w:r>
        <w:rPr>
          <w:rFonts w:ascii="Arial" w:cs="Arial" w:eastAsia="Arial" w:hAnsi="Arial"/>
          <w:color w:val="1A1A2E"/>
          <w:sz w:val="22"/>
          <w:szCs w:val="22"/>
        </w:rPr>
        <w:t xml:space="preserve">Jurisdiction-aware lane selection</w:t>
      </w:r>
    </w:p>
    <w:p>
      <w:pPr>
        <w:pStyle w:val="ListParagraph"/>
        <w:numPr>
          <w:ilvl w:val="0"/>
          <w:numId w:val="2"/>
        </w:numPr>
        <w:spacing w:before="60" w:after="60" w:line="300"/>
      </w:pPr>
      <w:r>
        <w:rPr>
          <w:rFonts w:ascii="Arial" w:cs="Arial" w:eastAsia="Arial" w:hAnsi="Arial"/>
          <w:color w:val="1A1A2E"/>
          <w:sz w:val="22"/>
          <w:szCs w:val="22"/>
        </w:rPr>
        <w:t xml:space="preserve">Institutional wallet with policy controls and audit trails</w:t>
      </w:r>
    </w:p>
    <w:p>
      <w:pPr>
        <w:pStyle w:val="ListParagraph"/>
        <w:numPr>
          <w:ilvl w:val="0"/>
          <w:numId w:val="2"/>
        </w:numPr>
        <w:spacing w:before="60" w:after="60" w:line="300"/>
      </w:pPr>
      <w:r>
        <w:rPr>
          <w:rFonts w:ascii="Arial" w:cs="Arial" w:eastAsia="Arial" w:hAnsi="Arial"/>
          <w:color w:val="1A1A2E"/>
          <w:sz w:val="22"/>
          <w:szCs w:val="22"/>
        </w:rPr>
        <w:t xml:space="preserve">DEX and liquidity infrastructure (if it serves utility, not speculation)</w:t>
      </w:r>
    </w:p>
    <w:p>
      <w:pPr>
        <w:pStyle w:val="ListParagraph"/>
        <w:numPr>
          <w:ilvl w:val="0"/>
          <w:numId w:val="2"/>
        </w:numPr>
        <w:spacing w:before="60" w:after="60" w:line="300"/>
      </w:pPr>
      <w:r>
        <w:rPr>
          <w:rFonts w:ascii="Arial" w:cs="Arial" w:eastAsia="Arial" w:hAnsi="Arial"/>
          <w:color w:val="1A1A2E"/>
          <w:sz w:val="22"/>
          <w:szCs w:val="22"/>
        </w:rPr>
        <w:t xml:space="preserve">Long-horizon compliance tooling for legal professionals</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9. Security Considerations</w:t>
      </w:r>
    </w:p>
    <w:p>
      <w:pPr>
        <w:pStyle w:val="Heading2"/>
        <w:spacing w:before="320" w:after="120"/>
      </w:pPr>
      <w:r>
        <w:rPr>
          <w:rFonts w:ascii="Arial" w:cs="Arial" w:eastAsia="Arial" w:hAnsi="Arial"/>
          <w:b/>
          <w:bCs/>
          <w:color w:val="1A3A6B"/>
          <w:sz w:val="26"/>
          <w:szCs w:val="26"/>
        </w:rPr>
        <w:t xml:space="preserve">8.1  Cryptographic Security</w:t>
      </w:r>
    </w:p>
    <w:p>
      <w:pPr>
        <w:spacing w:before="80" w:after="120" w:line="320"/>
        <w:jc w:val="both"/>
      </w:pPr>
      <w:r>
        <w:rPr>
          <w:rFonts w:ascii="Arial" w:cs="Arial" w:eastAsia="Arial" w:hAnsi="Arial"/>
          <w:color w:val="1A1A2E"/>
          <w:sz w:val="22"/>
          <w:szCs w:val="22"/>
        </w:rPr>
        <w:t xml:space="preserve">All ChronX accounts use CRYSTALS-Dilithium2 signatures, providing 128-bit post-quantum security. This is the same standard recommended by NIST for long-term cryptographic security. Private keys are stored locally in encrypted keyfiles and never transmitted or stored on the network.</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8.2  Consensus Security</w:t>
      </w:r>
    </w:p>
    <w:p>
      <w:pPr>
        <w:spacing w:before="80" w:after="120" w:line="320"/>
        <w:jc w:val="both"/>
      </w:pPr>
      <w:r>
        <w:rPr>
          <w:rFonts w:ascii="Arial" w:cs="Arial" w:eastAsia="Arial" w:hAnsi="Arial"/>
          <w:color w:val="1A1A2E"/>
          <w:sz w:val="22"/>
          <w:szCs w:val="22"/>
        </w:rPr>
        <w:t xml:space="preserve">The PoW consensus mechanism at difficulty 20 bits provides robust protection against double-spend attacks for a network at its current scale. Difficulty will increase as network hash rate grows. The commit-reveal mechanism for high-value claims adds an additional layer of protection against transaction-level frontrunning.</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8.3  Time-Lock Immutability</w:t>
      </w:r>
    </w:p>
    <w:p>
      <w:pPr>
        <w:spacing w:before="80" w:after="120" w:line="320"/>
        <w:jc w:val="both"/>
      </w:pPr>
      <w:r>
        <w:rPr>
          <w:rFonts w:ascii="Arial" w:cs="Arial" w:eastAsia="Arial" w:hAnsi="Arial"/>
          <w:color w:val="1A1A2E"/>
          <w:sz w:val="22"/>
          <w:szCs w:val="22"/>
        </w:rPr>
        <w:t xml:space="preserve">Once created, a time-lock record is immutable on-chain. No party — including the sender — can modify the unlock date, redirect the funds, or cancel the lock after creation. This immutability is a feature, not a limitation: it is what makes a ChronX time-lock a genuine commitment rather than a revocable promise.</w:t>
      </w:r>
    </w:p>
    <w:p>
      <w:pPr>
        <w:spacing w:before="120" w:after="0"/>
      </w:pPr>
      <w:r>
        <w:t xml:space="preserve"/>
      </w:r>
    </w:p>
    <w:p>
      <w:pPr>
        <w:pStyle w:val="Heading2"/>
        <w:spacing w:before="320" w:after="120"/>
      </w:pPr>
      <w:r>
        <w:rPr>
          <w:rFonts w:ascii="Arial" w:cs="Arial" w:eastAsia="Arial" w:hAnsi="Arial"/>
          <w:b/>
          <w:bCs/>
          <w:color w:val="1A3A6B"/>
          <w:sz w:val="26"/>
          <w:szCs w:val="26"/>
        </w:rPr>
        <w:t xml:space="preserve">8.4  Economic Security of Claim Resolution</w:t>
      </w:r>
    </w:p>
    <w:p>
      <w:pPr>
        <w:spacing w:before="80" w:after="120" w:line="320"/>
        <w:jc w:val="both"/>
      </w:pPr>
      <w:r>
        <w:rPr>
          <w:rFonts w:ascii="Arial" w:cs="Arial" w:eastAsia="Arial" w:hAnsi="Arial"/>
          <w:color w:val="1A1A2E"/>
          <w:sz w:val="22"/>
          <w:szCs w:val="22"/>
        </w:rPr>
        <w:t xml:space="preserve">The bonded Claim Agent model aligns incentives rather than relying on trust. Agents who submit fraudulent claims lose their bonds to challengers, making fraud economically irrational at scale. The value-scaled bonding requirement ensures that the cost of fraud always exceeds the potential gain, regardless of the lock's denomination.</w:t>
      </w:r>
    </w:p>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10. Vision: The Default Protocol for Future Payments</w:t>
      </w:r>
    </w:p>
    <w:p>
      <w:pPr>
        <w:spacing w:before="80" w:after="120" w:line="320"/>
        <w:jc w:val="both"/>
      </w:pPr>
      <w:r>
        <w:rPr>
          <w:rFonts w:ascii="Arial" w:cs="Arial" w:eastAsia="Arial" w:hAnsi="Arial"/>
          <w:color w:val="1A1A2E"/>
          <w:sz w:val="22"/>
          <w:szCs w:val="22"/>
        </w:rPr>
        <w:t xml:space="preserve">In five years, the ChronX team envisions a world where sending value to the future is as normal as sending value today. A parent opens the ChronX wallet on their phone, locks 10,000 KX for their newborn child, and knows — not hopes, but knows — that those funds will be available when the child turns 18. A professional structures a deferred payment to a contractor, specifying policy conditions for compliance. A person in one jurisdiction sends value to a trusted friend in another, with an unlock date decades away, without any bank, trust company, or court standing between the sender's intent and the recipient's eventual claim.</w:t>
      </w:r>
    </w:p>
    <w:p>
      <w:pPr>
        <w:spacing w:before="120" w:after="0"/>
      </w:pPr>
      <w:r>
        <w:t xml:space="preserve"/>
      </w:r>
    </w:p>
    <w:p>
      <w:pPr>
        <w:spacing w:before="80" w:after="120" w:line="320"/>
        <w:jc w:val="both"/>
      </w:pPr>
      <w:r>
        <w:rPr>
          <w:rFonts w:ascii="Arial" w:cs="Arial" w:eastAsia="Arial" w:hAnsi="Arial"/>
          <w:color w:val="1A1A2E"/>
          <w:sz w:val="22"/>
          <w:szCs w:val="22"/>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before="120" w:after="0"/>
      </w:pPr>
      <w:r>
        <w:t xml:space="preserve"/>
      </w:r>
    </w:p>
    <w:p>
      <w:pPr>
        <w:spacing w:before="80" w:after="120" w:line="320"/>
        <w:jc w:val="both"/>
      </w:pPr>
      <w:r>
        <w:rPr>
          <w:rFonts w:ascii="Arial" w:cs="Arial" w:eastAsia="Arial" w:hAnsi="Arial"/>
          <w:color w:val="1A1A2E"/>
          <w:sz w:val="22"/>
          <w:szCs w:val="22"/>
        </w:rPr>
        <w:t xml:space="preserve">The team is building toward that vision with discipline: not adding features that don't serve future payments, not designing tokenomics for speculation, not compromising cryptographic security for throughput. Every decision is made with the question: will this still make sense in 50 years?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2"/>
              <w:left w:val="thick" w:color="C9A84C" w:sz="12"/>
              <w:bottom w:val="single" w:color="2E6FBF" w:sz="2"/>
              <w:right w:val="single" w:color="2E6FBF" w:sz="2"/>
            </w:tcBorders>
            <w:shd w:fill="F2F5FA" w:val="clear"/>
            <w:tcMar>
              <w:top w:type="dxa" w:w="160"/>
              <w:left w:type="dxa" w:w="240"/>
              <w:bottom w:type="dxa" w:w="160"/>
              <w:right w:type="dxa" w:w="240"/>
            </w:tcMar>
          </w:tcPr>
          <w:p>
            <w:pPr>
              <w:spacing w:before="0" w:after="80"/>
            </w:pPr>
            <w:r>
              <w:rPr>
                <w:rFonts w:ascii="Arial" w:cs="Arial" w:eastAsia="Arial" w:hAnsi="Arial"/>
                <w:b/>
                <w:bCs/>
                <w:color w:val="1A3A6B"/>
                <w:sz w:val="22"/>
                <w:szCs w:val="22"/>
              </w:rPr>
              <w:t xml:space="preserve">A 100-Year Proof of Concept</w:t>
            </w:r>
          </w:p>
          <w:p>
            <w:pPr>
              <w:spacing w:before="0" w:after="0"/>
            </w:pPr>
            <w:r>
              <w:rPr>
                <w:rFonts w:ascii="Arial" w:cs="Arial" w:eastAsia="Arial" w:hAnsi="Arial"/>
                <w:color w:val="1A1A2E"/>
                <w:sz w:val="20"/>
                <w:szCs w:val="20"/>
              </w:rPr>
              <w:t xml:space="preserve">The Humanity Stake — 1,000,000 KX locked until January 1, 2127 — is not a marketing stunt. It is the team's public commitment to the claim that this protocol is built to last. The funds are on-chain now. They will be there in 2127. That is the standard we hold ourselves to.</w:t>
            </w:r>
          </w:p>
        </w:tc>
      </w:tr>
    </w:tbl>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11.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2"/>
              <w:left w:val="single" w:color="0A1628" w:sz="2"/>
              <w:bottom w:val="single" w:color="0A1628" w:sz="2"/>
              <w:right w:val="single" w:color="0A1628"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Parameter</w:t>
            </w:r>
          </w:p>
        </w:tc>
        <w:tc>
          <w:tcPr>
            <w:tcW w:type="dxa" w:w="5760"/>
            <w:tcBorders>
              <w:top w:val="single" w:color="0A1628" w:sz="2"/>
              <w:left w:val="single" w:color="0A1628" w:sz="2"/>
              <w:bottom w:val="single" w:color="0A1628" w:sz="2"/>
              <w:right w:val="single" w:color="0A1628" w:sz="2"/>
            </w:tcBorders>
            <w:shd w:fill="0A1628" w:val="clear"/>
            <w:tcMar>
              <w:top w:type="dxa" w:w="120"/>
              <w:left w:type="dxa" w:w="160"/>
              <w:bottom w:type="dxa" w:w="120"/>
              <w:right w:type="dxa" w:w="16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Chain 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chronx-mainnet-1</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Native Token</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KX (Chronos)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Base Unit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Chrono (1 KX = 10⁶ Chronos)</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Total Supply</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8,270,000,000 KX (fixed)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Consensus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Proof of Work (SHA-based, difficulty 20)</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Signature Scheme</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CRYSTALS-Dilithium2 (NIST PQC Standard)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Public Key Size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1,312 bytes</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Signature Size</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2,420 bytes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Networking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libp2p (Kademlia DHT + Gossip)</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P2P Port</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30303 (TCP)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RPC Port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8545</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Implementation Language</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Rust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State Storage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sled (embedded key-value)</w:t>
            </w:r>
          </w:p>
        </w:tc>
      </w:tr>
      <w:tr>
        <w:tc>
          <w:tcPr>
            <w:tcW w:type="dxa" w:w="360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bCs/>
                <w:color w:val="1A3A6B"/>
                <w:sz w:val="20"/>
                <w:szCs w:val="20"/>
              </w:rPr>
              <w:t xml:space="preserve">Genesis Timestamp</w:t>
            </w:r>
          </w:p>
        </w:tc>
        <w:tc>
          <w:tcPr>
            <w:tcW w:type="dxa" w:w="5760"/>
            <w:tcBorders>
              <w:top w:val="single" w:color="CCCCCC" w:sz="1"/>
              <w:left w:val="single" w:color="CCCCCC" w:sz="1"/>
              <w:bottom w:val="single" w:color="CCCCCC" w:sz="1"/>
              <w:right w:val="single" w:color="CCCCCC" w:sz="1"/>
            </w:tcBorders>
            <w:shd w:fill="F2F5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January 1, 2026 00:00:00 UTC</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A3A6B"/>
                <w:sz w:val="20"/>
                <w:szCs w:val="20"/>
              </w:rPr>
              <w:t xml:space="preserve">Humanity Stake Unlock</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2E"/>
                <w:sz w:val="20"/>
                <w:szCs w:val="20"/>
              </w:rPr>
              <w:t xml:space="preserve">January 1, 2127</w:t>
            </w:r>
          </w:p>
        </w:tc>
      </w:tr>
    </w:tbl>
    <w:p>
      <w:pPr>
        <w:spacing w:before="240" w:after="0"/>
      </w:pPr>
      <w:r>
        <w:t xml:space="preserve"/>
      </w:r>
    </w:p>
    <w:p>
      <w:r>
        <w:br w:type="page"/>
      </w:r>
    </w:p>
    <w:p>
      <w:pPr>
        <w:pStyle w:val="Heading1"/>
        <w:pBdr>
          <w:bottom w:val="single" w:color="C9A84C" w:sz="4" w:space="8"/>
        </w:pBdr>
        <w:spacing w:before="480" w:after="160"/>
      </w:pPr>
      <w:r>
        <w:rPr>
          <w:rFonts w:ascii="Arial" w:cs="Arial" w:eastAsia="Arial" w:hAnsi="Arial"/>
          <w:b/>
          <w:bCs/>
          <w:color w:val="0A1628"/>
          <w:sz w:val="36"/>
          <w:szCs w:val="36"/>
        </w:rPr>
        <w:t xml:space="preserve">Disclaimer</w:t>
      </w:r>
    </w:p>
    <w:p>
      <w:pPr>
        <w:spacing w:before="80" w:after="120" w:line="320"/>
        <w:jc w:val="both"/>
      </w:pPr>
      <w:r>
        <w:rPr>
          <w:rFonts w:ascii="Arial" w:cs="Arial" w:eastAsia="Arial" w:hAnsi="Arial"/>
          <w:color w:val="1A1A2E"/>
          <w:sz w:val="22"/>
          <w:szCs w:val="22"/>
        </w:rPr>
        <w:t xml:space="preserve">This whitepaper is provided for informational purposes only. Nothing in this document constitutes financial advice, investment advice, or a solicitation to purchase any token or security. KX is a utility token designed for use within the ChronX protocol. Past performance of any cryptocurrency is not indicative of future results.</w:t>
      </w:r>
    </w:p>
    <w:p>
      <w:pPr>
        <w:spacing w:before="80" w:after="0"/>
      </w:pPr>
      <w:r>
        <w:t xml:space="preserve"/>
      </w:r>
    </w:p>
    <w:p>
      <w:pPr>
        <w:spacing w:before="80" w:after="120" w:line="320"/>
        <w:jc w:val="both"/>
      </w:pPr>
      <w:r>
        <w:rPr>
          <w:rFonts w:ascii="Arial" w:cs="Arial" w:eastAsia="Arial" w:hAnsi="Arial"/>
          <w:color w:val="1A1A2E"/>
          <w:sz w:val="22"/>
          <w:szCs w:val="22"/>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before="80" w:after="0"/>
      </w:pPr>
      <w:r>
        <w:t xml:space="preserve"/>
      </w:r>
    </w:p>
    <w:p>
      <w:pPr>
        <w:spacing w:before="80" w:after="120" w:line="320"/>
        <w:jc w:val="both"/>
      </w:pPr>
      <w:r>
        <w:rPr>
          <w:rFonts w:ascii="Arial" w:cs="Arial" w:eastAsia="Arial" w:hAnsi="Arial"/>
          <w:color w:val="1A1A2E"/>
          <w:sz w:val="22"/>
          <w:szCs w:val="22"/>
        </w:rPr>
        <w:t xml:space="preserve">Participation in any cryptocurrency ecosystem involves significant risk, including the risk of total loss. You should conduct your own due diligence and consult with qualified professionals before making any financial decisions.</w:t>
      </w:r>
    </w:p>
    <w:p>
      <w:pPr>
        <w:spacing w:before="160" w:after="0"/>
      </w:pPr>
      <w:r>
        <w:t xml:space="preserve"/>
      </w:r>
    </w:p>
    <w:p>
      <w:pPr>
        <w:pBdr>
          <w:bottom w:val="single" w:color="C9A84C" w:sz="6" w:space="1"/>
        </w:pBdr>
        <w:spacing w:before="240" w:after="240"/>
      </w:pPr>
      <w:r>
        <w:t xml:space="preserve"/>
      </w:r>
    </w:p>
    <w:p>
      <w:pPr>
        <w:spacing w:before="120" w:after="0"/>
      </w:pPr>
      <w:r>
        <w:t xml:space="preserve"/>
      </w:r>
    </w:p>
    <w:p>
      <w:pPr>
        <w:jc w:val="center"/>
      </w:pPr>
      <w:r>
        <w:drawing>
          <wp:inline distT="0" distB="0" distL="0" distR="0">
            <wp:extent cx="1524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524000" cy="257175"/>
                    </a:xfrm>
                    <a:prstGeom prst="rect">
                      <a:avLst/>
                    </a:prstGeom>
                  </pic:spPr>
                </pic:pic>
              </a:graphicData>
            </a:graphic>
          </wp:inline>
        </w:drawing>
      </w:r>
    </w:p>
    <w:p>
      <w:pPr>
        <w:spacing w:before="80" w:after="0"/>
      </w:pPr>
      <w:r>
        <w:t xml:space="preserve"/>
      </w:r>
    </w:p>
    <w:p>
      <w:pPr>
        <w:spacing w:before="0" w:after="80"/>
        <w:jc w:val="center"/>
      </w:pPr>
      <w:r>
        <w:rPr>
          <w:rFonts w:ascii="Arial" w:cs="Arial" w:eastAsia="Arial" w:hAnsi="Arial"/>
          <w:i/>
          <w:iCs/>
          <w:color w:val="888888"/>
          <w:sz w:val="20"/>
          <w:szCs w:val="20"/>
        </w:rPr>
        <w:t xml:space="preserve">ChronX — Financial commitment, built into the blockchain.</w:t>
      </w:r>
    </w:p>
    <w:p>
      <w:pPr>
        <w:jc w:val="center"/>
      </w:pPr>
      <w:r>
        <w:rPr>
          <w:rFonts w:ascii="Arial" w:cs="Arial" w:eastAsia="Arial" w:hAnsi="Arial"/>
          <w:color w:val="AAAAAA"/>
          <w:sz w:val="18"/>
          <w:szCs w:val="18"/>
        </w:rPr>
        <w:t xml:space="preserve">chronx.io  |  github.com/Counselco/chronx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jp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2026-03-01T03:26:35.423Z</dcterms:created>
  <dcterms:modified xsi:type="dcterms:W3CDTF">2026-03-01T03:26:35.424Z</dcterms:modified>
</cp:coreProperties>
</file>

<file path=docProps/custom.xml><?xml version="1.0" encoding="utf-8"?>
<Properties xmlns="http://schemas.openxmlformats.org/officeDocument/2006/custom-properties" xmlns:vt="http://schemas.openxmlformats.org/officeDocument/2006/docPropsVTypes"/>
</file>