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两阶段赔付模型未来研究计划</w:t>
      </w:r>
    </w:p>
    <w:p>
      <w:pPr>
        <w:pStyle w:val="Subtitle"/>
      </w:pPr>
      <w:r>
        <w:t>先改进赔付金额估计 再检验收益与代价</w:t>
      </w:r>
    </w:p>
    <w:p>
      <w:pPr>
        <w:spacing w:after="240"/>
      </w:pPr>
      <w:r>
        <w:rPr>
          <w:rFonts w:ascii="Arial" w:hAnsi="Arial" w:eastAsia="Heiti SC" w:cs="Arial"/>
          <w:color w:val="555555"/>
          <w:sz w:val="19"/>
          <w:lang w:val="en-US" w:eastAsia="zh-CN"/>
        </w:rPr>
        <w:t>DBA5102 Capstone 项目组   |   2026年10月12日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下一轮围绕现有两阶段模型推进。概率部分已有一定跨月一致性，金额部分仍有高额Call退化、峰值低估和事后偏高的问题。我们先查清偏差，再用少量可解释信息修正金额，最后决定哪些修正值得保留。</w:t>
      </w:r>
    </w:p>
    <w:p>
      <w:pPr>
        <w:pStyle w:val="Heading1"/>
      </w:pPr>
      <w:r>
        <w:t>1 找出金额估计偏差的来源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要解决的问题：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模型可能正确判断会赔付，却估错赔付金额；也可能金额估计合理，但赔付概率偏低。若不分开检查，增加特征容易改错位置。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怎么做：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复用严格按时间前推的历史预测，分别检查“是否赔付”和“发生赔付后赔多少”。按Put与Call、剩余保障期限、当前价格与保障价格的距离，以及市场变化前后比较误差。实际持有期只用于事后解释。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看什么结果：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寻找在多个日期或月份重复出现的偏差，尤其是高额Call和冲击后高估。单独出现于6月24日的现象只能作为案例，不能直接变成模型规则。</w:t>
      </w:r>
    </w:p>
    <w:p>
      <w:pPr>
        <w:pStyle w:val="Heading1"/>
      </w:pPr>
      <w:r>
        <w:t>2 让不同合同获得更合适的金额修正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要解决的问题：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当前金额阶段在同一天给同方向订单使用同一个系数。保障还剩多久、价格离触发赔付的位置有多远，可能影响正赔付金额；一个平均系数未必能同时处理这些差异。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怎么做：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固定现有概率模型，保留官方Base，只让金额修正随剩余期限和价格位置发生简单变化。先比较不加新信息的金额估计版本，再加入这两项合同信息，以分清改善来自估计方法还是来自新特征。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看什么结果：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比较整体误差、高额Call、Put和各月份的表现。若复杂版本没有超过简单对照，就保留简单版本；历史样本不足或估计失败时，回退到现有金额系数。</w:t>
      </w:r>
    </w:p>
    <w:p>
      <w:pPr>
        <w:keepNext w:val="0"/>
        <w:spacing w:line="280" w:lineRule="exact" w:after="120"/>
      </w:pPr>
      <w:r>
        <w:rPr>
          <w:rFonts w:ascii="Arial" w:hAnsi="Arial" w:eastAsia="Songti SC" w:cs="Arial"/>
          <w:color w:val="000000"/>
          <w:sz w:val="20"/>
          <w:lang w:val="en-US" w:eastAsia="zh-CN"/>
        </w:rPr>
        <w:t>这一阶段仍估计平均赔付，不额外加入保守加价余量。目标是先让风险估计更准确，避免用普遍抬高预测掩盖模型偏差。</w:t>
      </w:r>
    </w:p>
    <w:p>
      <w:pPr>
        <w:pStyle w:val="Heading1"/>
        <w:pageBreakBefore/>
        <w:spacing w:before="0"/>
      </w:pPr>
      <w:r>
        <w:t>3 检验波动变化是否提供额外信息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要解决的问题：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仅靠合同信息可能难以及时反映风险升温。但此前快速响应和高风险报警没有稳定覆盖峰值，加入更多信号也可能只增加误报。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怎么做：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在上一阶段的合同信息之外，只增加一个预先限定的信号：最近1小时的方向波动，相对最近4小时是否明显增强。Put观察下跌波动，Call观察上涨波动；只使用报价时已经完成的行情数据。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看什么结果：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新信号必须在合同模型之上带来额外收益，并在多个时段有一致方向。如果只是拟合个别高峰，或改善高峰却明显损伤其他订单，就删除这一项。</w:t>
      </w:r>
    </w:p>
    <w:p>
      <w:pPr>
        <w:pStyle w:val="Heading1"/>
      </w:pPr>
      <w:r>
        <w:t>4 限制修正过度带来的损失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要解决的问题：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平均误差下降时，高额订单或总赔付估计仍可能变差。因此，需要限制修正的代价，同时允许不同方向采用不同程度的修正。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怎么做：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先确定一个候选方案，再依次比较完整修正、只采用一半修正、保留官方Base。Put和Call分别检查。比如Base为100、模型为140，采用一半修正就是120；模型为60时，则回到80。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看什么结果：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除了整体误差，还检查非高额订单、高额订单、总金额偏差，以及逐笔低估和高估的累计金额。无法通过约束或证据不足的方向，保留Base；收缩本身不保证能预测峰值。</w:t>
      </w:r>
    </w:p>
    <w:p>
      <w:pPr>
        <w:pStyle w:val="Heading2"/>
      </w:pPr>
      <w:r>
        <w:t>本轮保持不变的条件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仍使用4至6月开发数据，逐日使用过去30天内创建且已经结算的订单更新；所有含Base方法在同一批订单上比较。7月继续保留，赔付结果、实际结束时间及事后峰值日期均不进入预测输入。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本轮不扩展高风险分类器、外部市场数据或订单热度特征，也不同时搜索大量窗口和倍率。每一步只有带来可核实的增量，才保留增加的复杂度。</w:t>
      </w:r>
    </w:p>
    <w:p>
      <w:pPr>
        <w:pStyle w:val="Heading1"/>
        <w:pageBreakBefore/>
        <w:spacing w:before="0"/>
      </w:pPr>
      <w:r>
        <w:t>5 确认改进能否跨期成立并适应提交条件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要解决的问题：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4至6月已经被反复分析，少数行情事件可能左右成绩；每日更新还依赖及时收到结算结果，官方提交时未必有这一条件。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怎么做：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始终保留官方Base、方向与期限分组均值、简单倍率和现有两阶段模型作为对照。分别替换概率或金额部分，确认收益来自哪里；按连续日期成块重复抽样，检查改善是否依赖少数日期。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随后锁定模型结构、参数选择规则和评价清单，再对7月做一次内部后期测试。测试中可按既定规则使用此前已结算的订单更新，但不能根据7月成绩重新选特征或规则。另做不依赖新标签的冻结系数回放，检验提交条件下还能保留多少效果。</w:t>
      </w:r>
    </w:p>
    <w:p>
      <w:pPr>
        <w:keepNext w:val="0"/>
      </w:pPr>
      <w:r>
        <w:rPr>
          <w:rFonts w:ascii="Arial" w:hAnsi="Arial" w:eastAsia="Songti SC" w:cs="Arial"/>
          <w:b/>
          <w:color w:val="000000"/>
          <w:sz w:val="23"/>
          <w:lang w:val="en-US" w:eastAsia="zh-CN"/>
        </w:rPr>
        <w:t>看什么结果：</w:t>
      </w:r>
      <w:r>
        <w:rPr>
          <w:rFonts w:ascii="Arial" w:hAnsi="Arial" w:eastAsia="Songti SC" w:cs="Arial"/>
          <w:color w:val="000000"/>
          <w:sz w:val="23"/>
          <w:lang w:val="en-US" w:eastAsia="zh-CN"/>
        </w:rPr>
        <w:t>主看月等权RMSE，同时核查MAE、尾部误差和金额低估。与简单对照差距很小时选择更简单的方案；不确定性区间若包含没有改善，就保留“证据不足”的结论。官方评分、输出形式和标签回传方式需在提交前确认。</w:t>
      </w:r>
    </w:p>
    <w:p>
      <w:pPr>
        <w:pStyle w:val="Heading2"/>
      </w:pPr>
      <w:r>
        <w:t>执行顺序与阶段成果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5" w:type="dxa"/>
          <w:bottom w:w="105" w:type="dxa"/>
          <w:left w:w="120" w:type="dxa"/>
          <w:right w:w="120" w:type="dxa"/>
        </w:tblCellMar>
      </w:tblPr>
      <w:tblGrid>
        <w:gridCol w:w="1512"/>
        <w:gridCol w:w="3384"/>
        <w:gridCol w:w="4896"/>
      </w:tblGrid>
      <w:tr>
        <w:trPr>
          <w:cantSplit/>
          <w:tblHeader/>
        </w:trPr>
        <w:tc>
          <w:tcPr>
            <w:tcW w:type="dxa" w:w="1512"/>
            <w:vAlign w:val="center"/>
            <w:shd w:fill="333333"/>
          </w:tcPr>
          <w:p>
            <w:pPr>
              <w:keepNext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/>
                <w:color w:val="FFFFFF"/>
                <w:sz w:val="21"/>
                <w:lang w:val="en-US" w:eastAsia="zh-CN"/>
              </w:rPr>
              <w:t>阶段</w:t>
            </w:r>
          </w:p>
        </w:tc>
        <w:tc>
          <w:tcPr>
            <w:tcW w:type="dxa" w:w="3384"/>
            <w:vAlign w:val="center"/>
            <w:shd w:fill="333333"/>
          </w:tcPr>
          <w:p>
            <w:pPr>
              <w:keepNext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/>
                <w:color w:val="FFFFFF"/>
                <w:sz w:val="21"/>
                <w:lang w:val="en-US" w:eastAsia="zh-CN"/>
              </w:rPr>
              <w:t>主要工作</w:t>
            </w:r>
          </w:p>
        </w:tc>
        <w:tc>
          <w:tcPr>
            <w:tcW w:type="dxa" w:w="4896"/>
            <w:vAlign w:val="center"/>
            <w:shd w:fill="333333"/>
          </w:tcPr>
          <w:p>
            <w:pPr>
              <w:keepNext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/>
                <w:color w:val="FFFFFF"/>
                <w:sz w:val="21"/>
                <w:lang w:val="en-US" w:eastAsia="zh-CN"/>
              </w:rPr>
              <w:t>完成时应得到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第1天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复现与偏差诊断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一致的对照成绩与主要误差分组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第2至3天</w:t>
            </w:r>
          </w:p>
        </w:tc>
        <w:tc>
          <w:tcPr>
            <w:tcW w:type="dxa" w:w="3384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合同信息与少量市场修正</w:t>
            </w:r>
          </w:p>
        </w:tc>
        <w:tc>
          <w:tcPr>
            <w:tcW w:type="dxa" w:w="4896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固定候选的比较结果与回退记录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第4天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收益归因与修正幅度约束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唯一候选或无候选通过的结论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第5天</w:t>
            </w:r>
          </w:p>
        </w:tc>
        <w:tc>
          <w:tcPr>
            <w:tcW w:type="dxa" w:w="3384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不确定性与提交模式核查</w:t>
            </w:r>
          </w:p>
        </w:tc>
        <w:tc>
          <w:tcPr>
            <w:tcW w:type="dxa" w:w="4896"/>
            <w:vAlign w:val="center"/>
            <w:shd w:fill="F5F6F7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冻结的配置和评价清单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第6至7天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一次后期测试与汇报整理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before="0" w:after="0" w:line="300" w:lineRule="exact"/>
              <w:jc w:val="left"/>
            </w:pPr>
            <w:r>
              <w:rPr>
                <w:rFonts w:ascii="Arial" w:hAnsi="Arial" w:eastAsia="Heiti SC" w:cs="Arial"/>
                <w:b w:val="0"/>
                <w:color w:val="000000"/>
                <w:sz w:val="21"/>
                <w:lang w:val="en-US" w:eastAsia="zh-CN"/>
              </w:rPr>
              <w:t>完整结果及适用范围</w:t>
            </w:r>
          </w:p>
        </w:tc>
      </w:tr>
    </w:tbl>
    <w:p>
      <w:pPr>
        <w:spacing w:before="0" w:after="0" w:line="80" w:lineRule="exact"/>
      </w:pPr>
      <w:r>
        <w:rPr>
          <w:rFonts w:ascii="Arial" w:hAnsi="Arial" w:eastAsia="Songti SC" w:cs="Arial"/>
          <w:color w:val="000000"/>
          <w:sz w:val="6"/>
          <w:lang w:val="en-US" w:eastAsia="zh-CN"/>
        </w:rPr>
      </w:r>
    </w:p>
    <w:p>
      <w:pPr>
        <w:keepNext w:val="0"/>
        <w:spacing w:line="280" w:lineRule="exact" w:after="120"/>
      </w:pPr>
      <w:r>
        <w:rPr>
          <w:rFonts w:ascii="Arial" w:hAnsi="Arial" w:eastAsia="Songti SC" w:cs="Arial"/>
          <w:color w:val="000000"/>
          <w:sz w:val="20"/>
          <w:lang w:val="en-US" w:eastAsia="zh-CN"/>
        </w:rPr>
        <w:t>以上为后续实施开始后的工作量估计。现有低维模型使用CPU即可；预计拟合本身为分钟级，主要时间用于数据核查、对照分析与结果整理。</w:t>
      </w:r>
    </w:p>
    <w:p>
      <w:pPr>
        <w:pStyle w:val="Heading2"/>
      </w:pPr>
      <w:r>
        <w:t>最终完成标准</w:t>
      </w:r>
    </w:p>
    <w:p>
      <w:pPr>
        <w:keepNext w:val="0"/>
      </w:pPr>
      <w:r>
        <w:rPr>
          <w:rFonts w:ascii="Arial" w:hAnsi="Arial" w:eastAsia="Songti SC" w:cs="Arial"/>
          <w:color w:val="000000"/>
          <w:sz w:val="23"/>
          <w:lang w:val="en-US" w:eastAsia="zh-CN"/>
        </w:rPr>
        <w:t>保留能够说明“比Base好在哪里、比简单方法多带来什么、牺牲了什么”的最简单方案。预定候选用尽后，无增量就停止扩展；后期测试失败也如实报告。本轮不以缺少需求与费用数据的离线结果宣称实际利润提升。</w:t>
      </w:r>
    </w:p>
    <w:sectPr w:rsidR="00FC693F" w:rsidRPr="0006063C" w:rsidSect="00034616">
      <w:footerReference w:type="default" r:id="rId9"/>
      <w:pgSz w:w="12240" w:h="15840"/>
      <w:pgMar w:top="1066" w:right="1224" w:bottom="979" w:left="1224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eiti SC" w:cs="Arial"/>
        <w:color w:val="555555"/>
        <w:sz w:val="18"/>
        <w:lang w:val="en-US" w:eastAsia="zh-CN"/>
      </w:rPr>
      <w:t xml:space="preserve">第 </w:t>
    </w:r>
    <w:fldSimple w:instr="PAGE"/>
    <w:r>
      <w:rPr>
        <w:rFonts w:ascii="Arial" w:hAnsi="Arial" w:eastAsia="Heiti SC" w:cs="Arial"/>
        <w:color w:val="555555"/>
        <w:sz w:val="18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40" w:line="350" w:lineRule="exact"/>
      <w:snapToGrid w:val="0"/>
    </w:pPr>
    <w:rPr>
      <w:rFonts w:ascii="Arial" w:hAnsi="Arial" w:eastAsia="Songti SC" w:cs="Arial"/>
      <w:b w:val="0"/>
      <w:i w:val="0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405" w:lineRule="exact"/>
      <w:outlineLvl w:val="0"/>
      <w:snapToGrid w:val="0"/>
    </w:pPr>
    <w:rPr>
      <w:rFonts w:ascii="Arial" w:hAnsi="Arial" w:eastAsia="Heiti SC" w:cs="Arial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24" w:lineRule="exact"/>
      <w:outlineLvl w:val="1"/>
      <w:snapToGrid w:val="0"/>
    </w:pPr>
    <w:rPr>
      <w:rFonts w:ascii="Arial" w:hAnsi="Arial" w:eastAsia="Heiti SC" w:cs="Arial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621" w:lineRule="exact" w:before="0"/>
      <w:contextualSpacing/>
      <w:snapToGrid w:val="0"/>
    </w:pPr>
    <w:rPr>
      <w:rFonts w:ascii="Arial" w:hAnsi="Arial" w:eastAsia="Heiti SC" w:cs="Arial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 w:line="324" w:lineRule="exact"/>
      <w:snapToGrid w:val="0"/>
    </w:pPr>
    <w:rPr>
      <w:rFonts w:ascii="Arial" w:hAnsi="Arial" w:eastAsia="Heiti SC" w:cs="Arial"/>
      <w:b w:val="0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0" w:lineRule="exact" w:before="0" w:after="100"/>
      <w:snapToGrid w:val="0"/>
    </w:pPr>
    <w:rPr>
      <w:rFonts w:ascii="Arial" w:hAnsi="Arial" w:eastAsia="Songti SC" w:cs="Arial"/>
      <w:b w:val="0"/>
      <w:bCs/>
      <w:i w:val="0"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两阶段赔付模型未来研究计划</dc:title>
  <dc:subject>先改进赔付金额估计 再检验收益与代价</dc:subject>
  <dc:creator>DBA5102 Capstone 项目组</dc:creator>
  <cp:keywords>两阶段模型, 赔付预测, 商业汇报</cp:keywords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