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保险产品定价优化研究报告大纲</w:t>
      </w:r>
    </w:p>
    <w:p>
      <w:pPr>
        <w:pStyle w:val="Subtitle"/>
      </w:pPr>
      <w:r>
        <w:t>两阶段模型的研究路径 成果展示与商业建议</w:t>
      </w:r>
    </w:p>
    <w:p>
      <w:pPr>
        <w:spacing w:after="240"/>
      </w:pPr>
      <w:r>
        <w:rPr>
          <w:rFonts w:ascii="Arial" w:hAnsi="Arial" w:eastAsia="Heiti SC" w:cs="Arial"/>
          <w:color w:val="555555"/>
          <w:sz w:val="19"/>
          <w:lang w:val="en-US" w:eastAsia="zh-CN"/>
        </w:rPr>
        <w:t>DBA5102 Capstone 项目组   |   2026年10月12日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本报告评估两阶段模型能否在官方基础值之上改善赔付估计，并说明适合怎样的业务应用。大纲覆盖完整研究路线；现有成果与后续待完成结果统一放入第五章，商业建议依据最终验证结果形成。</w:t>
      </w:r>
    </w:p>
    <w:p>
      <w:pPr>
        <w:pStyle w:val="Heading1"/>
      </w:pPr>
      <w:r>
        <w:t>1 业务目标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我们希望在官方基础值Base之上，更准确地估计每笔订单的预期赔付，为保费调整提供风险成本依据。Put对应下跌方向的保障，Call对应上涨方向的保障，两类订单分别处理。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汇报的核心是模型在哪些订单上改善了估计、改善幅度有多大，以及代价是否可接受。当前结果衡量赔付预测质量；真实收费还涉及客户购买意愿、费用和风险预算，尚不能据此判断利润提升。</w:t>
      </w:r>
    </w:p>
    <w:p>
      <w:pPr>
        <w:pStyle w:val="Heading1"/>
      </w:pPr>
      <w:r>
        <w:t>2 数据与公平比较口径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主要比较使用4至6月的2,953笔共同订单，覆盖72个有评分订单的日期。风险数据共4,074笔，其中1,121笔缺少Base，仅用于覆盖说明，不加入含Base模型的成绩。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每天使用此前30天创建、且预测日前已经结算的订单更新模型；当日及未来结果不参加当天训练。最终赔付用于监督标签与事后评价，实际结束时间和实际持有期不作为定价输入。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4至6月已经经历多轮探索，属于开发期。7月保留为内部后期测试，尚未用于本轮模型评价。误差均按每BTC赔付比较；总金额另按各订单BTC数量换算。</w:t>
      </w:r>
    </w:p>
    <w:p>
      <w:pPr>
        <w:pStyle w:val="Heading1"/>
      </w:pPr>
      <w:r>
        <w:t>3 核心模型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第一阶段估计“这笔订单有多大概率发生赔付”。第二阶段在发生赔付的条件下，估计“预计赔多少”。两者相乘，得到订单的预期单位赔付。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概率模型使用Base、剩余保障期限，以及当前价格相对保障价格的位置等定价时可见信息。金额模型保留Base，再乘以从同方向历史正赔付订单学得的系数；Put与Call分别每日更新。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本章说明模型为何适合大量零赔付与少数大额赔付并存的数据，以及两阶段如何分别解释。当前金额系数在同一天、同一方向内相同；后续将检验合同与市场信息能否改善这一部分，核心分解保持不变。</w:t>
      </w:r>
    </w:p>
    <w:p>
      <w:pPr>
        <w:pStyle w:val="Heading1"/>
        <w:pageBreakBefore/>
        <w:spacing w:before="0"/>
      </w:pPr>
      <w:r>
        <w:t>4 研究路径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研究按“识别现有弱点、逐步修正、限制代价、跨期确认”的顺序展开。本章解释每一步的依据和要回答的问题，数值结果集中在第五章展示。</w:t>
      </w:r>
    </w:p>
    <w:p>
      <w:pPr>
        <w:pStyle w:val="Heading2"/>
      </w:pPr>
      <w:r>
        <w:t>基准诊断与两阶段主线选择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已完成。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对照官方Base、方向与期限分组均值、简单倍率和两阶段模型，判断已有信息能解释多少赔付差异。当前证据显示概率部分具有一定跨月一致性，金额部分仍有高额Call退化和峰值前后错位，因此后续优先改进金额估计。</w:t>
      </w:r>
    </w:p>
    <w:p>
      <w:pPr>
        <w:keepNext w:val="0"/>
        <w:spacing w:line="280" w:lineRule="exact" w:after="120"/>
      </w:pPr>
      <w:r>
        <w:rPr>
          <w:rFonts w:ascii="Arial" w:hAnsi="Arial" w:eastAsia="Songti SC" w:cs="Arial"/>
          <w:color w:val="000000"/>
          <w:sz w:val="20"/>
          <w:lang w:val="en-US" w:eastAsia="zh-CN"/>
        </w:rPr>
        <w:t>快速响应、稀疏冲击加价和高风险分类等探索用于说明主线选择的依据；正文只概括与决策有关的发现，完整实验保留在附录。没有稳定增益的尝试同样报告。</w:t>
      </w:r>
    </w:p>
    <w:p>
      <w:pPr>
        <w:pStyle w:val="Heading2"/>
      </w:pPr>
      <w:r>
        <w:t>合同信息驱动的金额修正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待研究。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固定概率模型，先比较不同金额估计方法，再让金额系数随剩余期限和价格位置变化。回答同方向订单是否需要不同修正，以及新增合同信息能否超过简单平均系数。</w:t>
      </w:r>
    </w:p>
    <w:p>
      <w:pPr>
        <w:pStyle w:val="Heading2"/>
      </w:pPr>
      <w:r>
        <w:t>方向波动的增量验证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待研究。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在合同信息之外，只加入一个方向波动变化信号，比较近期1小时相对4小时的风险是否增强。Put关注下跌波动，Call关注上涨波动，检验市场信息是否提供额外收益。</w:t>
      </w:r>
    </w:p>
    <w:p>
      <w:pPr>
        <w:pStyle w:val="Heading2"/>
      </w:pPr>
      <w:r>
        <w:t>修正幅度约束与分方向回退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待研究。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比较完整修正、只保留一半修正和维持Base，分别检查Put与Call。判断能否保留平均误差收益，同时限制高额订单退化、累计低估和冲击后的高估；未通过或证据不足时保留简单方案。</w:t>
      </w:r>
    </w:p>
    <w:p>
      <w:pPr>
        <w:pStyle w:val="Heading2"/>
      </w:pPr>
      <w:r>
        <w:t>收益归因与跨期确认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待研究。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分别替换概率与金额部分，说明改善来自哪里；检查结果对月份和少数事件的依赖。方案锁定后进行一次7月内部后期测试，并比较逐日更新与冻结系数两种运行条件，判断实际提交时能保留多少效果。</w:t>
      </w:r>
    </w:p>
    <w:p>
      <w:pPr>
        <w:keepNext w:val="0"/>
        <w:spacing w:line="280" w:lineRule="exact" w:after="120"/>
      </w:pPr>
      <w:r>
        <w:rPr>
          <w:rFonts w:ascii="Arial" w:hAnsi="Arial" w:eastAsia="Songti SC" w:cs="Arial"/>
          <w:color w:val="000000"/>
          <w:sz w:val="20"/>
          <w:lang w:val="en-US" w:eastAsia="zh-CN"/>
        </w:rPr>
        <w:t>所有新增步骤都保留“不产生增量”的可能。若简单方案已足够，最终模型可以只采用部分修正；不因需要完整故事而保留无效模块。</w:t>
      </w:r>
    </w:p>
    <w:p>
      <w:pPr>
        <w:pStyle w:val="Heading1"/>
        <w:pageBreakBefore/>
        <w:spacing w:before="0"/>
      </w:pPr>
      <w:r>
        <w:t>5 研究结果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本章汇集已有成果与后续研究结果，按整体效果、改进来源、风险表现和跨期稳定性组织。以下数值已完成验证；标记为“后续补充”的部分目前仅确定展示内容。</w:t>
      </w:r>
    </w:p>
    <w:p>
      <w:pPr>
        <w:pStyle w:val="Heading2"/>
      </w:pPr>
      <w:r>
        <w:t>已有模型的共同样本比较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5" w:type="dxa"/>
          <w:bottom w:w="105" w:type="dxa"/>
          <w:left w:w="120" w:type="dxa"/>
          <w:right w:w="120" w:type="dxa"/>
        </w:tblCellMar>
      </w:tblPr>
      <w:tblGrid>
        <w:gridCol w:w="3960"/>
        <w:gridCol w:w="1800"/>
        <w:gridCol w:w="1800"/>
        <w:gridCol w:w="2232"/>
      </w:tblGrid>
      <w:tr>
        <w:trPr>
          <w:cantSplit/>
          <w:tblHeader/>
        </w:trPr>
        <w:tc>
          <w:tcPr>
            <w:tcW w:type="dxa" w:w="3960"/>
            <w:vAlign w:val="center"/>
            <w:shd w:fill="333333"/>
          </w:tcPr>
          <w:p>
            <w:pPr>
              <w:keepNext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/>
                <w:color w:val="FFFFFF"/>
                <w:sz w:val="21"/>
                <w:lang w:val="en-US" w:eastAsia="zh-CN"/>
              </w:rPr>
              <w:t>方法</w:t>
            </w:r>
          </w:p>
        </w:tc>
        <w:tc>
          <w:tcPr>
            <w:tcW w:type="dxa" w:w="1800"/>
            <w:vAlign w:val="center"/>
            <w:shd w:fill="333333"/>
          </w:tcPr>
          <w:p>
            <w:pPr>
              <w:keepNext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21"/>
                <w:lang w:val="en-US" w:eastAsia="zh-CN"/>
              </w:rPr>
              <w:t>RMSE</w:t>
            </w:r>
          </w:p>
        </w:tc>
        <w:tc>
          <w:tcPr>
            <w:tcW w:type="dxa" w:w="1800"/>
            <w:vAlign w:val="center"/>
            <w:shd w:fill="333333"/>
          </w:tcPr>
          <w:p>
            <w:pPr>
              <w:keepNext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21"/>
                <w:lang w:val="en-US" w:eastAsia="zh-CN"/>
              </w:rPr>
              <w:t>MAE</w:t>
            </w:r>
          </w:p>
        </w:tc>
        <w:tc>
          <w:tcPr>
            <w:tcW w:type="dxa" w:w="2232"/>
            <w:vAlign w:val="center"/>
            <w:shd w:fill="333333"/>
          </w:tcPr>
          <w:p>
            <w:pPr>
              <w:keepNext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21"/>
                <w:lang w:val="en-US" w:eastAsia="zh-CN"/>
              </w:rPr>
              <w:t>总金额比例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官方Base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292.57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182.13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73.5%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方向与期限分组均值</w:t>
            </w:r>
          </w:p>
        </w:tc>
        <w:tc>
          <w:tcPr>
            <w:tcW w:type="dxa" w:w="1800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288.34</w:t>
            </w:r>
          </w:p>
        </w:tc>
        <w:tc>
          <w:tcPr>
            <w:tcW w:type="dxa" w:w="1800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174.40</w:t>
            </w:r>
          </w:p>
        </w:tc>
        <w:tc>
          <w:tcPr>
            <w:tcW w:type="dxa" w:w="2232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76.3%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分方向倍率校准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289.73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169.80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69.9%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静态分布修正</w:t>
            </w:r>
          </w:p>
        </w:tc>
        <w:tc>
          <w:tcPr>
            <w:tcW w:type="dxa" w:w="1800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288.91</w:t>
            </w:r>
          </w:p>
        </w:tc>
        <w:tc>
          <w:tcPr>
            <w:tcW w:type="dxa" w:w="1800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179.18</w:t>
            </w:r>
          </w:p>
        </w:tc>
        <w:tc>
          <w:tcPr>
            <w:tcW w:type="dxa" w:w="2232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85.4%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现有两阶段模型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288.20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170.55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center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71.7%</w:t>
            </w:r>
          </w:p>
        </w:tc>
      </w:tr>
    </w:tbl>
    <w:p>
      <w:pPr>
        <w:spacing w:before="0" w:after="0" w:line="80" w:lineRule="exact"/>
      </w:pPr>
      <w:r>
        <w:rPr>
          <w:rFonts w:ascii="Arial" w:hAnsi="Arial" w:eastAsia="Songti SC" w:cs="Arial"/>
          <w:color w:val="000000"/>
          <w:sz w:val="6"/>
          <w:lang w:val="en-US" w:eastAsia="zh-CN"/>
        </w:rPr>
      </w:r>
    </w:p>
    <w:p>
      <w:pPr>
        <w:keepNext w:val="0"/>
        <w:spacing w:line="280" w:lineRule="exact" w:after="120"/>
      </w:pPr>
      <w:r>
        <w:rPr>
          <w:rFonts w:ascii="Arial" w:hAnsi="Arial" w:eastAsia="Songti SC" w:cs="Arial"/>
          <w:color w:val="000000"/>
          <w:sz w:val="20"/>
          <w:lang w:val="en-US" w:eastAsia="zh-CN"/>
        </w:rPr>
        <w:t>4至6月共同样本，2,953笔订单。误差单位USDC/BTC，越低越好；RMSE先平均各月均方误差再开方，MAE为各月均值。总金额比例为按订单BTC数量换算后的预测总赔付除以实际总赔付。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已有结论。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两阶段模型相对Base的月等权RMSE下降1.49%，MAE下降6.36%，三个单月均改善。但RMSE仅比分组均值低约0.05%，总金额比例从73.5%降至71.7%，尚未解决金额低估。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改善主要来自非高额Call，其合并RMSE下降14.20%；高额Call的RMSE反而上升6.64%。概率误差在3个月与2个方向的全部6组比较中均优于历史发生率，支持进一步检查金额阶段。</w:t>
      </w:r>
    </w:p>
    <w:p>
      <w:pPr>
        <w:keepNext w:val="0"/>
        <w:spacing w:line="280" w:lineRule="exact" w:after="120"/>
      </w:pPr>
      <w:r>
        <w:rPr>
          <w:rFonts w:ascii="Arial" w:hAnsi="Arial" w:eastAsia="Songti SC" w:cs="Arial"/>
          <w:color w:val="000000"/>
          <w:sz w:val="20"/>
          <w:lang w:val="en-US" w:eastAsia="zh-CN"/>
        </w:rPr>
        <w:t>高额组依据预测日前历史单位赔付的90%分位阈值事后划分，不等同于报价时已知的高波动状态。</w:t>
      </w:r>
    </w:p>
    <w:p>
      <w:pPr>
        <w:pStyle w:val="Heading2"/>
      </w:pPr>
      <w:r>
        <w:t>后续模型改进结果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后续补充逐步对照表与模块贡献。展示现有两阶段、合同信息修正、增加方向波动、加入幅度约束后的变化，并与Base及简单校准比较。保留失败分支，说明最终采用哪些模块及其增量。</w:t>
      </w:r>
    </w:p>
    <w:p>
      <w:pPr>
        <w:pStyle w:val="Heading2"/>
      </w:pPr>
      <w:r>
        <w:t>后续风险表现与跨期结果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后续补充分方向、分月份和高额订单的表现，以及预测与实际日总赔付曲线。同步展示累计低估、累计高估、峰值及随后时段的偏差，判断平均准确性是否以更高的尾部风险为代价。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方案冻结后，补充7月内部后期测试、不确定性区间，以及有无新结算反馈时的运行结果。最终结论区分开发期改善、跨期支持与证据不足，不预设未来实验会优于Base。</w:t>
      </w:r>
    </w:p>
    <w:p>
      <w:pPr>
        <w:pStyle w:val="Heading1"/>
        <w:pageBreakBefore/>
        <w:spacing w:before="0"/>
      </w:pPr>
      <w:r>
        <w:t>6 商业建议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本章将第五章的最终结果转化为使用建议，说明适合在哪些订单和运行条件下采用修正，以及哪些情况继续使用Base。当前建议与后续结果支持的建议分别表述。</w:t>
      </w:r>
    </w:p>
    <w:p>
      <w:pPr>
        <w:pStyle w:val="Heading2"/>
      </w:pPr>
      <w:r>
        <w:t>赔付预测在定价中的应用定位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当前可以将模型作为风险成本估计和报价复核的候选工具，帮助识别官方基础值与历史实际赔付之间的偏差。模型输出不是已经考虑客户需求、费用和资本成本的最优保费。</w:t>
      </w:r>
    </w:p>
    <w:p>
      <w:pPr>
        <w:pStyle w:val="Heading2"/>
      </w:pPr>
      <w:r>
        <w:t>按证据选择修正范围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后续依据分方向、普通与高额订单的结果，提出完整修正、有限修正或保留Base的适用范围。不能仅凭总体误差下降就普遍加价；最终建议需同时说明改进幅度、使用限制和回退条件。</w:t>
      </w:r>
    </w:p>
    <w:p>
      <w:pPr>
        <w:pStyle w:val="Heading2"/>
      </w:pPr>
      <w:r>
        <w:t>运行条件与商业验证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依据逐日更新和冻结系数的比较，明确模型是否依赖及时收到新结算结果。若进入业务试点，应同步记录报价曝光、购买与未购买、赔付及费用，再评估转化率、价格接受度和净收益。</w:t>
      </w:r>
    </w:p>
    <w:p>
      <w:pPr>
        <w:pStyle w:val="Heading1"/>
      </w:pPr>
      <w:r>
        <w:t>7 研究局限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数据覆盖。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仅观察已成交且经过筛选的订单，部分订单缺少Base；结论不能直接推广到所有潜在客户，也不足以识别需求弹性或最优价格。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风险与样本。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大额赔付集中于少数行情事件，订单之间并非独立；三个月开发数据已经被多轮分析。7月仅提供有限的后期证据，不能代表所有未来市场状态。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信息与运行。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客户实际结束保障的时间在报价时未知；Base采用120秒内最近报价匹配，可能涉及报价前后的时点差异。官方是否回传新标签，也会影响每日更新能否落地。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评价与商业解释。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研究指标不等于尚未明确的官方评分，Base也不等于完整收费策略。缺少需求、费用和资本占用信息时，误差下降不能直接表述为真实利润上升。</w:t>
      </w:r>
    </w:p>
    <w:p>
      <w:pPr>
        <w:keepNext w:val="0"/>
        <w:spacing w:line="280" w:lineRule="exact" w:after="120"/>
      </w:pPr>
      <w:r>
        <w:rPr>
          <w:rFonts w:ascii="Arial" w:hAnsi="Arial" w:eastAsia="Songti SC" w:cs="Arial"/>
          <w:color w:val="000000"/>
          <w:sz w:val="20"/>
          <w:lang w:val="en-US" w:eastAsia="zh-CN"/>
        </w:rPr>
        <w:t>现有数值依据2026年10月9日的4至6月滚动校准及高风险GBDT核验报告；后续章节依据两阶段研究计划安排，尚未产生新的实验成绩。</w:t>
      </w:r>
    </w:p>
    <w:sectPr w:rsidR="00FC693F" w:rsidRPr="0006063C" w:rsidSect="00034616">
      <w:footerReference w:type="default" r:id="rId9"/>
      <w:pgSz w:w="12240" w:h="15840"/>
      <w:pgMar w:top="1066" w:right="1224" w:bottom="979" w:left="1224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eiti SC" w:cs="Arial"/>
        <w:color w:val="555555"/>
        <w:sz w:val="18"/>
        <w:lang w:val="en-US" w:eastAsia="zh-CN"/>
      </w:rPr>
      <w:t xml:space="preserve">第 </w:t>
    </w:r>
    <w:fldSimple w:instr="PAGE"/>
    <w:r>
      <w:rPr>
        <w:rFonts w:ascii="Arial" w:hAnsi="Arial" w:eastAsia="Heiti SC" w:cs="Arial"/>
        <w:color w:val="555555"/>
        <w:sz w:val="18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40" w:line="350" w:lineRule="exact"/>
      <w:snapToGrid w:val="0"/>
    </w:pPr>
    <w:rPr>
      <w:rFonts w:ascii="Arial" w:hAnsi="Arial" w:eastAsia="Songti SC" w:cs="Arial"/>
      <w:b w:val="0"/>
      <w:i w:val="0"/>
      <w:color w:val="000000"/>
      <w:sz w:val="23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 w:line="405" w:lineRule="exact"/>
      <w:outlineLvl w:val="0"/>
      <w:snapToGrid w:val="0"/>
    </w:pPr>
    <w:rPr>
      <w:rFonts w:ascii="Arial" w:hAnsi="Arial" w:eastAsia="Heiti SC" w:cs="Arial"/>
      <w:b/>
      <w:bCs/>
      <w:i w:val="0"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24" w:lineRule="exact"/>
      <w:outlineLvl w:val="1"/>
      <w:snapToGrid w:val="0"/>
    </w:pPr>
    <w:rPr>
      <w:rFonts w:ascii="Arial" w:hAnsi="Arial" w:eastAsia="Heiti SC" w:cs="Arial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621" w:lineRule="exact" w:before="0"/>
      <w:contextualSpacing/>
      <w:snapToGrid w:val="0"/>
    </w:pPr>
    <w:rPr>
      <w:rFonts w:ascii="Arial" w:hAnsi="Arial" w:eastAsia="Heiti SC" w:cs="Arial"/>
      <w:b/>
      <w:i w:val="0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 w:line="324" w:lineRule="exact"/>
      <w:snapToGrid w:val="0"/>
    </w:pPr>
    <w:rPr>
      <w:rFonts w:ascii="Arial" w:hAnsi="Arial" w:eastAsia="Heiti SC" w:cs="Arial"/>
      <w:b w:val="0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0" w:lineRule="exact" w:before="0" w:after="100"/>
      <w:snapToGrid w:val="0"/>
    </w:pPr>
    <w:rPr>
      <w:rFonts w:ascii="Arial" w:hAnsi="Arial" w:eastAsia="Songti SC" w:cs="Arial"/>
      <w:b w:val="0"/>
      <w:bCs/>
      <w:i w:val="0"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保险产品定价优化研究报告大纲</dc:title>
  <dc:subject>核心模型 研究路径 结果展示 商业建议与研究局限</dc:subject>
  <dc:creator>DBA5102 Capstone 项目组</dc:creator>
  <cp:keywords>两阶段模型, 赔付预测, 商业汇报</cp:keywords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