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保险产品定价优化研究报告大纲</w:t>
      </w:r>
    </w:p>
    <w:p>
      <w:pPr>
        <w:pStyle w:val="Subtitle"/>
      </w:pPr>
      <w:r>
        <w:t>H0与Base混合模型的研究路径 成果与商业建议</w:t>
      </w:r>
    </w:p>
    <w:p>
      <w:pPr>
        <w:spacing w:line="280" w:lineRule="exact" w:after="100"/>
      </w:pPr>
      <w:r>
        <w:rPr>
          <w:sz w:val="19"/>
        </w:rPr>
        <w:t>DBA5102 Capstone 项目组  |  2026年10月15日</w:t>
      </w:r>
    </w:p>
    <w:p>
      <w:r>
        <w:t>汇报主线：在官方Base之上加入可解释的历史赔付校准，并用有限混合控制跨期退化。H0在5、6月有优势，但7月明显变弱；分方向混合保留了部分收益，也减轻了7月退化。当前提升仅体现在月等权误差，全期逐单误差与完整风险约束仍未胜过Base。</w:t>
      </w:r>
    </w:p>
    <w:p>
      <w:pPr>
        <w:pStyle w:val="Heading1"/>
      </w:pPr>
      <w:r>
        <w:t>1 业务目标</w:t>
      </w:r>
    </w:p>
    <w:p>
      <w:r>
        <w:t>围绕BTC价格保障产品，回答“官方基础值是否需要修正、修正多少、何时值得承担修正风险”。Call对应上涨方向的保障，Put对应下跌方向的保障；两类订单分别校准。</w:t>
      </w:r>
    </w:p>
    <w:p>
      <w:r>
        <w:t>目标是改善每BTC预期赔付估计，为报价复核和风险成本评估提供依据。优先关注大误差与金额低估，同时监控普通订单代价。现阶段没有需求弹性、转化率或费用模型，不能把预测误差下降直接解释为利润增加。</w:t>
      </w:r>
    </w:p>
    <w:p>
      <w:pPr>
        <w:pStyle w:val="Heading1"/>
      </w:pPr>
      <w:r>
        <w:t>2 数据与公平比较口径</w:t>
      </w:r>
    </w:p>
    <w:tbl>
      <w:tblPr>
        <w:tblW w:type="dxa" w:w="9792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136"/>
      </w:tblGrid>
      <w:tr>
        <w:trPr>
          <w:cantSplit/>
          <w:tblHeader/>
        </w:trPr>
        <w:tc>
          <w:tcPr>
            <w:tcW w:type="dxa" w:w="1656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136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当前设置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时间与样本</w:t>
            </w:r>
          </w:p>
        </w:tc>
        <w:tc>
          <w:tcPr>
            <w:tcW w:type="dxa" w:w="8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2026年4月训练；5–7月滚动验证，共4,640单。5月726单、6月1,373单、7月2,541单。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更新与反馈</w:t>
            </w:r>
          </w:p>
        </w:tc>
        <w:tc>
          <w:tcPr>
            <w:tcW w:type="dxa" w:w="813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从5月1日起连续每7日更新；只用此前30日创建且更新时已结算的订单。周内参数冻结，已结算验证订单可进入后续更新。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预测与评价</w:t>
            </w:r>
          </w:p>
        </w:tc>
        <w:tc>
          <w:tcPr>
            <w:tcW w:type="dxa" w:w="813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输入限于报价时可用信息；最终赔付仅作训练目标和事后评分。误差单位为USDC/BTC；现金金额按订单BTC数量换算。</w:t>
            </w:r>
          </w:p>
        </w:tc>
      </w:tr>
      <w:tr>
        <w:trPr>
          <w:cantSplit/>
        </w:trPr>
        <w:tc>
          <w:tcPr>
            <w:tcW w:type="dxa" w:w="165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指标与数据角色</w:t>
            </w:r>
          </w:p>
        </w:tc>
        <w:tc>
          <w:tcPr>
            <w:tcW w:type="dxa" w:w="813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RMSE优先，MAE监控代价，另查方向尾部和现金低估。5–7月均已用于开发；新官方验证集未使用。</w:t>
            </w:r>
          </w:p>
        </w:tc>
      </w:tr>
    </w:tbl>
    <w:p>
      <w:pPr>
        <w:spacing w:line="280" w:lineRule="exact" w:after="0"/>
      </w:pPr>
    </w:p>
    <w:p>
      <w:pPr>
        <w:spacing w:line="280" w:lineRule="exact" w:after="100"/>
      </w:pPr>
      <w:r>
        <w:rPr>
          <w:sz w:val="19"/>
        </w:rPr>
        <w:t>月等权RMSE先平均三个单月的均方误差，再开方；全期逐单RMSE按全部订单计算。两者并列报告：前者衡量跨月表现，后者更接近本队列实际订单分布。7月占54.76%的订单，权重差异会改变结论。</w:t>
      </w:r>
    </w:p>
    <w:p>
      <w:pPr>
        <w:spacing w:line="280" w:lineRule="exact" w:after="100"/>
      </w:pPr>
      <w:r>
        <w:rPr>
          <w:sz w:val="19"/>
        </w:rPr>
        <w:t>依据：</w:t>
      </w:r>
      <w:hyperlink r:id="rId10">
        <w:r>
          <w:rPr>
            <w:color w:val="3D5266"/>
            <w:sz w:val="18"/>
          </w:rPr>
          <w:t>验证协议v3</w:t>
        </w:r>
      </w:hyperlink>
      <w:r>
        <w:t>；</w:t>
      </w:r>
      <w:hyperlink r:id="rId11">
        <w:r>
          <w:rPr>
            <w:color w:val="3D5266"/>
            <w:sz w:val="18"/>
          </w:rPr>
          <w:t>结果与样本来源</w:t>
        </w:r>
      </w:hyperlink>
    </w:p>
    <w:p>
      <w:r>
        <w:br w:type="page"/>
      </w:r>
    </w:p>
    <w:p>
      <w:pPr>
        <w:pStyle w:val="Heading1"/>
      </w:pPr>
      <w:r>
        <w:t>3 核心模型</w:t>
      </w:r>
    </w:p>
    <w:p>
      <w:pPr>
        <w:pStyle w:val="Heading2"/>
      </w:pPr>
      <w:r>
        <w:t>官方基础值提供已有定价信息</w:t>
      </w:r>
    </w:p>
    <w:p>
      <w:r>
        <w:t>Base保留官方模型已经处理的市场与合同信息，也是所有实验的共同参照。研究重点是在该基础上估计历史赔付偏差；当前数据并不足以证明重新构建完整市场定价模型更可靠。</w:t>
      </w:r>
    </w:p>
    <w:p>
      <w:pPr>
        <w:pStyle w:val="Heading2"/>
      </w:pPr>
      <w:r>
        <w:t>H0分别估计赔付概率与条件金额</w:t>
      </w:r>
    </w:p>
    <w:p>
      <w:r>
        <w:t>大量零赔付与少量高赔付并存，适合先估计“会不会赔”，再估计“发生赔付时赔多少”。Call与Put分别拟合，便于解释同一信号在两个方向上的不同作用。</w:t>
      </w:r>
    </w:p>
    <w:tbl>
      <w:tblPr>
        <w:tblW w:type="dxa" w:w="9792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4752"/>
        <w:gridCol w:w="3312"/>
      </w:tblGrid>
      <w:tr>
        <w:trPr>
          <w:cantSplit/>
          <w:tblHeader/>
        </w:trPr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4752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实现与输入</w:t>
            </w:r>
          </w:p>
        </w:tc>
        <w:tc>
          <w:tcPr>
            <w:tcW w:type="dxa" w:w="3312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业务解释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赔付概率 p</w:t>
            </w:r>
          </w:p>
        </w:tc>
        <w:tc>
          <w:tcPr>
            <w:tcW w:type="dxa" w:w="475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逻辑回归；输入Base、剩余保障期限、按近60分钟波动标准化的方向价格位置。</w:t>
            </w:r>
          </w:p>
        </w:tc>
        <w:tc>
          <w:tcPr>
            <w:tcW w:type="dxa" w:w="331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当前订单发生正赔付的可能性。</w:t>
            </w:r>
          </w:p>
        </w:tc>
      </w:tr>
      <w:tr>
        <w:trPr>
          <w:cantSplit/>
        </w:trPr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条件金额</w:t>
            </w:r>
          </w:p>
        </w:tc>
        <w:tc>
          <w:tcPr>
            <w:tcW w:type="dxa" w:w="4752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同方向正赔付历史拟合一个相对Base的金额系数；使用平方误差目标。</w:t>
            </w:r>
          </w:p>
        </w:tc>
        <w:tc>
          <w:tcPr>
            <w:tcW w:type="dxa" w:w="3312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保留订单间Base差异，并校准该方向的赔付金额水平。</w:t>
            </w:r>
          </w:p>
        </w:tc>
      </w:tr>
    </w:tbl>
    <w:p>
      <w:pPr>
        <w:spacing w:line="280" w:lineRule="exact" w:after="0"/>
      </w:pPr>
    </w:p>
    <w:p>
      <w:pPr>
        <w:spacing w:after="160"/>
        <w:jc w:val="center"/>
      </w:pPr>
      <m:oMath>
        <m:r>
          <m:rPr>
            <m:sty m:val="p"/>
          </m:rPr>
          <w:rPr>
            <w:rFonts w:ascii="Arial" w:hAnsi="Arial" w:eastAsia="Songti SC"/>
          </w:rPr>
          <m:t>H0 = p × Base × c</m:t>
        </m:r>
      </m:oMath>
    </w:p>
    <w:p>
      <w:r>
        <w:t>概率模型参数与金额系数每7日更新。金额系数在同一周、同一方向内相同；概率仍会随每笔订单的报价输入变化。H0已使用小时波动信息，但金额阶段没有额外的小时响应模块。</w:t>
      </w:r>
    </w:p>
    <w:p>
      <w:pPr>
        <w:pStyle w:val="Heading2"/>
      </w:pPr>
      <w:r>
        <w:t>分方向混合限制对历史校准的依赖</w:t>
      </w:r>
    </w:p>
    <w:p>
      <w:pPr>
        <w:spacing w:after="160"/>
        <w:jc w:val="center"/>
      </w:pPr>
      <m:oMath>
        <m:r>
          <m:rPr>
            <m:sty m:val="p"/>
          </m:rPr>
          <w:rPr>
            <w:rFonts w:ascii="Arial" w:hAnsi="Arial" w:eastAsia="Songti SC"/>
          </w:rPr>
          <m:t>Prediction = α × H0 + (1 − α) × Base</m:t>
        </m:r>
      </m:oMath>
    </w:p>
    <w:tbl>
      <w:tblPr>
        <w:tblW w:type="dxa" w:w="9792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5184"/>
        <w:gridCol w:w="3024"/>
      </w:tblGrid>
      <w:tr>
        <w:trPr>
          <w:cantSplit/>
          <w:tblHeader/>
        </w:trPr>
        <w:tc>
          <w:tcPr>
            <w:tcW w:type="dxa" w:w="1584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方向</w:t>
            </w:r>
          </w:p>
        </w:tc>
        <w:tc>
          <w:tcPr>
            <w:tcW w:type="dxa" w:w="5184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当前开发候选</w:t>
            </w:r>
          </w:p>
        </w:tc>
        <w:tc>
          <w:tcPr>
            <w:tcW w:type="dxa" w:w="3024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保留的Base权重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Call</w:t>
            </w:r>
          </w:p>
        </w:tc>
        <w:tc>
          <w:tcPr>
            <w:tcW w:type="dxa" w:w="518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40% H0 + 60% Base</w:t>
            </w:r>
          </w:p>
        </w:tc>
        <w:tc>
          <w:tcPr>
            <w:tcW w:type="dxa" w:w="302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60%</w:t>
            </w:r>
          </w:p>
        </w:tc>
      </w:tr>
      <w:tr>
        <w:trPr>
          <w:cantSplit/>
        </w:trPr>
        <w:tc>
          <w:tcPr>
            <w:tcW w:type="dxa" w:w="1584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Put</w:t>
            </w:r>
          </w:p>
        </w:tc>
        <w:tc>
          <w:tcPr>
            <w:tcW w:type="dxa" w:w="5184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15% H0 + 85% Base</w:t>
            </w:r>
          </w:p>
        </w:tc>
        <w:tc>
          <w:tcPr>
            <w:tcW w:type="dxa" w:w="3024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85%</w:t>
            </w:r>
          </w:p>
        </w:tc>
      </w:tr>
    </w:tbl>
    <w:p>
      <w:pPr>
        <w:spacing w:line="280" w:lineRule="exact" w:after="0"/>
      </w:pPr>
    </w:p>
    <w:p>
      <w:r>
        <w:t>混合比例在整个验证期固定，H0按周更新。较低的Put权重减少普通Put订单代价，同时会回吐部分尾部收益；比例是验证选择结果，不代表市场规律或赔付概率。</w:t>
      </w:r>
    </w:p>
    <w:p>
      <w:pPr>
        <w:spacing w:line="280" w:lineRule="exact" w:after="100"/>
      </w:pPr>
      <w:r>
        <w:rPr>
          <w:sz w:val="19"/>
        </w:rPr>
        <w:t>若接口要求输出相对Base的倍率，可等价输出 1 + α × (p × c − 1)。这只是预测值的表达方式，40%与15%并非涨价幅度，也没有在此基础上额外叠加利润或保守余量。</w:t>
      </w:r>
    </w:p>
    <w:p>
      <w:pPr>
        <w:spacing w:line="280" w:lineRule="exact" w:after="100"/>
      </w:pPr>
      <w:r>
        <w:rPr>
          <w:sz w:val="19"/>
        </w:rPr>
        <w:t>正式汇报建议展示：一张从报价信息、两阶段估计到分方向混合的模型结构图，并标明每周更新与逐单输入的区别。</w:t>
      </w:r>
    </w:p>
    <w:p>
      <w:pPr>
        <w:spacing w:line="280" w:lineRule="exact" w:after="100"/>
      </w:pPr>
      <w:r>
        <w:rPr>
          <w:sz w:val="19"/>
        </w:rPr>
        <w:t>依据：</w:t>
      </w:r>
      <w:hyperlink r:id="rId12">
        <w:r>
          <w:rPr>
            <w:color w:val="3D5266"/>
            <w:sz w:val="18"/>
          </w:rPr>
          <w:t>H0实现</w:t>
        </w:r>
      </w:hyperlink>
      <w:r>
        <w:t>；</w:t>
      </w:r>
      <w:hyperlink r:id="rId11">
        <w:r>
          <w:rPr>
            <w:color w:val="3D5266"/>
            <w:sz w:val="18"/>
          </w:rPr>
          <w:t>混合设置</w:t>
        </w:r>
      </w:hyperlink>
    </w:p>
    <w:p>
      <w:r>
        <w:br w:type="page"/>
      </w:r>
    </w:p>
    <w:p>
      <w:pPr>
        <w:pStyle w:val="Heading1"/>
      </w:pPr>
      <w:r>
        <w:t>4 研究路径</w:t>
      </w:r>
    </w:p>
    <w:p>
      <w:r>
        <w:t>围绕H0的跨期弱点，依次检验更快学习、增加即时信号和减少修正幅度。关键发现是：提高响应速度并不自动改善结果，普通订单与尾部之间存在代价；较简单的固定混合在本轮比动态选择更有价值。</w:t>
      </w:r>
    </w:p>
    <w:tbl>
      <w:tblPr>
        <w:tblW w:type="dxa" w:w="9792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2"/>
        <w:gridCol w:w="5256"/>
        <w:gridCol w:w="2664"/>
      </w:tblGrid>
      <w:tr>
        <w:trPr>
          <w:cantSplit/>
          <w:tblHeader/>
        </w:trPr>
        <w:tc>
          <w:tcPr>
            <w:tcW w:type="dxa" w:w="1872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探索问题</w:t>
            </w:r>
          </w:p>
        </w:tc>
        <w:tc>
          <w:tcPr>
            <w:tcW w:type="dxa" w:w="5256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已完成的验证与关键结果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对主线的影响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历史信息是否过时</w:t>
            </w:r>
          </w:p>
        </w:tc>
        <w:tc>
          <w:tcPr>
            <w:tcW w:type="dxa" w:w="525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7日与14日半衰期：月等权RMSE为299.008、297.965，原H0为298.010。14日改善极小，逐单RMSE均退化。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未采用。更快遗忘会放大近期冲击，不能统一加速。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金额能否响应小时波动</w:t>
            </w:r>
          </w:p>
        </w:tc>
        <w:tc>
          <w:tcPr>
            <w:tcW w:type="dxa" w:w="525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测试方向波动水平、变化速度、保守门控；RMSE为298.035、298.124、298.010。部分尾部改善伴随普通订单代价。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未采用。新增市场信号需要证明有增量。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能否动态判断应相信谁</w:t>
            </w:r>
          </w:p>
        </w:tc>
        <w:tc>
          <w:tcPr>
            <w:tcW w:type="dxa" w:w="525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市场状态回退、历史误差混合及组合：RMSE为297.712、296.200、296.050，均未胜Base。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历史误差只能在结算后纠偏；状态变化也未充分触发回退。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固定混合是否更稳妥</w:t>
            </w:r>
          </w:p>
        </w:tc>
        <w:tc>
          <w:tcPr>
            <w:tcW w:type="dxa" w:w="525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两方向各50%为293.715；25组粗网格选择Call50%与Put25%，降至293.115。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保留分方向混合，减少参数估计与切换代价。</w:t>
            </w:r>
          </w:p>
        </w:tc>
      </w:tr>
      <w:tr>
        <w:trPr>
          <w:cantSplit/>
        </w:trPr>
        <w:tc>
          <w:tcPr>
            <w:tcW w:type="dxa" w:w="1872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附近比例能否继续改善</w:t>
            </w:r>
          </w:p>
        </w:tc>
        <w:tc>
          <w:tcPr>
            <w:tcW w:type="dxa" w:w="525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63组细网格以5个百分点搜索，Call40%与Put15%为293.048；35%与15%仅相差0.000418。</w:t>
            </w:r>
          </w:p>
        </w:tc>
        <w:tc>
          <w:tcPr>
            <w:tcW w:type="dxa" w:w="2664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记录为开发候选。邻域平坦，继续精细选参价值有限。</w:t>
            </w:r>
          </w:p>
        </w:tc>
      </w:tr>
    </w:tbl>
    <w:p>
      <w:pPr>
        <w:spacing w:line="280" w:lineRule="exact" w:after="0"/>
      </w:pPr>
    </w:p>
    <w:p>
      <w:pPr>
        <w:spacing w:line="280" w:lineRule="exact" w:after="100"/>
      </w:pPr>
      <w:r>
        <w:rPr>
          <w:sz w:val="19"/>
        </w:rPr>
        <w:t>上述及公告模型均已按同一口径重跑，共99个既有配置，未扩展搜索范围。数值为5–7月月等权RMSE，单位USDC/BTC；动态方案只用已结算的历史前向误差，仍存在多轮查看验证结果的选择偏差。</w:t>
      </w:r>
    </w:p>
    <w:p>
      <w:pPr>
        <w:pStyle w:val="Heading2"/>
      </w:pPr>
      <w:r>
        <w:t>宏观公告作为外部信息的独立探索</w:t>
      </w:r>
    </w:p>
    <w:p>
      <w:r>
        <w:t>本轮公告倍率也按周更、30日历史重跑，1/10/100三档收缩均与Base一致：4,640单全部回退到倍率1。各窗口有效独立事件最多3个，未达到共享项5事件门槛。这代表当前样本不足，不能解释为公告没有预测价值。</w:t>
      </w:r>
    </w:p>
    <w:p>
      <w:pPr>
        <w:spacing w:line="280" w:lineRule="exact" w:after="100"/>
      </w:pPr>
      <w:r>
        <w:rPr>
          <w:sz w:val="19"/>
        </w:rPr>
        <w:t>原方向项还要求3个事件月份，本轮30日窗口无法满足。保留公告日历作为候选风险信息；后续若继续研究，应单独讨论历史窗口，本轮不放宽支持门槛。</w:t>
      </w:r>
    </w:p>
    <w:p>
      <w:pPr>
        <w:spacing w:line="280" w:lineRule="exact" w:after="100"/>
      </w:pPr>
      <w:r>
        <w:rPr>
          <w:sz w:val="19"/>
        </w:rPr>
        <w:t>依据：</w:t>
      </w:r>
      <w:hyperlink r:id="rId13">
        <w:r>
          <w:rPr>
            <w:color w:val="3D5266"/>
            <w:sz w:val="18"/>
          </w:rPr>
          <w:t>时间衰减</w:t>
        </w:r>
      </w:hyperlink>
      <w:r>
        <w:t>；</w:t>
      </w:r>
      <w:hyperlink r:id="rId14">
        <w:r>
          <w:rPr>
            <w:color w:val="3D5266"/>
            <w:sz w:val="18"/>
          </w:rPr>
          <w:t>小时响应</w:t>
        </w:r>
      </w:hyperlink>
      <w:r>
        <w:t>；</w:t>
      </w:r>
      <w:hyperlink r:id="rId15">
        <w:r>
          <w:rPr>
            <w:color w:val="3D5266"/>
            <w:sz w:val="18"/>
          </w:rPr>
          <w:t>动态回退</w:t>
        </w:r>
      </w:hyperlink>
      <w:r>
        <w:t>；</w:t>
      </w:r>
      <w:hyperlink r:id="rId16">
        <w:r>
          <w:rPr>
            <w:color w:val="3D5266"/>
            <w:sz w:val="18"/>
          </w:rPr>
          <w:t>公告倍率</w:t>
        </w:r>
      </w:hyperlink>
    </w:p>
    <w:p>
      <w:r>
        <w:br w:type="page"/>
      </w:r>
    </w:p>
    <w:p>
      <w:pPr>
        <w:pStyle w:val="Heading1"/>
      </w:pPr>
      <w:r>
        <w:t>5 研究结果</w:t>
      </w:r>
    </w:p>
    <w:p>
      <w:pPr>
        <w:pStyle w:val="Heading2"/>
      </w:pPr>
      <w:r>
        <w:t>整体改善取决于评价口径</w:t>
      </w:r>
    </w:p>
    <w:tbl>
      <w:tblPr>
        <w:tblW w:type="dxa" w:w="9792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月等权</w:t>
              <w:br/>
              <w:t>RMSE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月等权</w:t>
              <w:br/>
              <w:t>MAE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全期逐单</w:t>
              <w:br/>
              <w:t>RMSE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全期逐单</w:t>
              <w:br/>
              <w:t>MAE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官方Base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293.564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184.440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295.150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185.245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H0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298.010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186.263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303.532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192.836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粗网格50% / 25%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293.115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183.653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296.047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186.468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候选40% / 15%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293.048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183.558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295.614</w:t>
            </w:r>
          </w:p>
        </w:tc>
        <w:tc>
          <w:tcPr>
            <w:tcW w:type="dxa" w:w="1728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/>
                <w:color w:val="000000"/>
                <w:sz w:val="20"/>
              </w:rPr>
              <w:t>185.804</w:t>
            </w:r>
          </w:p>
        </w:tc>
      </w:tr>
    </w:tbl>
    <w:p>
      <w:pPr>
        <w:spacing w:line="280" w:lineRule="exact" w:after="0"/>
      </w:pPr>
    </w:p>
    <w:p>
      <w:pPr>
        <w:spacing w:line="280" w:lineRule="exact" w:after="100"/>
      </w:pPr>
      <w:r>
        <w:rPr>
          <w:sz w:val="19"/>
        </w:rPr>
        <w:t>所有误差单位USDC/BTC，越低越好；比例依次为Call与Put的H0权重。</w:t>
      </w:r>
    </w:p>
    <w:p>
      <w:r>
        <w:t>相对Base，候选的月等权RMSE下降0.176%，MAE下降0.478%；全期逐单RMSE却上升0.157%。因此可支持“小幅改善跨月等权表现”，尚不能支持“按本队列全部订单全面超过Base”。</w:t>
      </w:r>
    </w:p>
    <w:p>
      <w:pPr>
        <w:pStyle w:val="Heading2"/>
      </w:pPr>
      <w:r>
        <w:t>混合减轻7月退化并保留前两月部分收益</w:t>
      </w:r>
    </w:p>
    <w:tbl>
      <w:tblPr>
        <w:tblW w:type="dxa" w:w="9792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60"/>
        <w:gridCol w:w="2376"/>
        <w:gridCol w:w="2376"/>
        <w:gridCol w:w="2880"/>
      </w:tblGrid>
      <w:tr>
        <w:trPr>
          <w:cantSplit/>
          <w:tblHeader/>
        </w:trPr>
        <w:tc>
          <w:tcPr>
            <w:tcW w:type="dxa" w:w="2160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单月RMSE</w:t>
            </w:r>
          </w:p>
        </w:tc>
        <w:tc>
          <w:tcPr>
            <w:tcW w:type="dxa" w:w="2376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Base</w:t>
            </w:r>
          </w:p>
        </w:tc>
        <w:tc>
          <w:tcPr>
            <w:tcW w:type="dxa" w:w="2376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H0</w:t>
            </w:r>
          </w:p>
        </w:tc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候选40% / 15%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5月</w:t>
            </w:r>
          </w:p>
        </w:tc>
        <w:tc>
          <w:tcPr>
            <w:tcW w:type="dxa" w:w="237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246.602</w:t>
            </w:r>
          </w:p>
        </w:tc>
        <w:tc>
          <w:tcPr>
            <w:tcW w:type="dxa" w:w="237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244.673</w:t>
            </w:r>
          </w:p>
        </w:tc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244.999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6月</w:t>
            </w:r>
          </w:p>
        </w:tc>
        <w:tc>
          <w:tcPr>
            <w:tcW w:type="dxa" w:w="237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349.129</w:t>
            </w:r>
          </w:p>
        </w:tc>
        <w:tc>
          <w:tcPr>
            <w:tcW w:type="dxa" w:w="237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347.268</w:t>
            </w:r>
          </w:p>
        </w:tc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346.482</w:t>
            </w:r>
          </w:p>
        </w:tc>
      </w:tr>
      <w:tr>
        <w:trPr>
          <w:cantSplit/>
        </w:trPr>
        <w:tc>
          <w:tcPr>
            <w:tcW w:type="dxa" w:w="216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7月</w:t>
            </w:r>
          </w:p>
        </w:tc>
        <w:tc>
          <w:tcPr>
            <w:tcW w:type="dxa" w:w="237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275.384</w:t>
            </w:r>
          </w:p>
        </w:tc>
        <w:tc>
          <w:tcPr>
            <w:tcW w:type="dxa" w:w="237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293.208</w:t>
            </w:r>
          </w:p>
        </w:tc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278.491</w:t>
            </w:r>
          </w:p>
        </w:tc>
      </w:tr>
    </w:tbl>
    <w:p>
      <w:pPr>
        <w:spacing w:line="280" w:lineRule="exact" w:after="0"/>
      </w:pPr>
    </w:p>
    <w:p>
      <w:r>
        <w:t>H0在5、6月优于Base，7月却增加17.823的RMSE。混合把7月差距缩至3.106，减少约82.6%；但该月仍未胜Base。这是降低模型退化幅度的证据，不是识别了新的赔付高峰信号。</w:t>
      </w:r>
    </w:p>
    <w:p>
      <w:r>
        <w:t>7月的主要剩余代价来自普通订单：Call与Put普通订单RMSE分别为160.530和203.226，仍高于Base的151.831和199.020。尾部接近或略优于Base，也不足以抵消普通订单代价。</w:t>
      </w:r>
    </w:p>
    <w:p>
      <w:pPr>
        <w:pStyle w:val="Heading2"/>
      </w:pPr>
      <w:r>
        <w:t>正式汇报中的结果展示</w:t>
      </w:r>
    </w:p>
    <w:p>
      <w:r>
        <w:t>优先展示分月RMSE折线与Base差值图，配一张全期逐单和月等权对照表；再用方向与普通尾部分组图解释收益来源。完整网格放在附录，正文强调相邻比例实质接近，避免突出一个精确“最优”比例。</w:t>
      </w:r>
    </w:p>
    <w:p>
      <w:pPr>
        <w:spacing w:line="280" w:lineRule="exact" w:after="100"/>
      </w:pPr>
      <w:r>
        <w:rPr>
          <w:sz w:val="19"/>
        </w:rPr>
        <w:t>依据：</w:t>
      </w:r>
      <w:hyperlink r:id="rId11">
        <w:r>
          <w:rPr>
            <w:color w:val="3D5266"/>
            <w:sz w:val="18"/>
          </w:rPr>
          <w:t>细网格结果</w:t>
        </w:r>
      </w:hyperlink>
      <w:r>
        <w:t>；</w:t>
      </w:r>
      <w:hyperlink r:id="rId17">
        <w:r>
          <w:rPr>
            <w:color w:val="3D5266"/>
            <w:sz w:val="18"/>
          </w:rPr>
          <w:t>固定比例统计</w:t>
        </w:r>
      </w:hyperlink>
      <w:r>
        <w:t>；</w:t>
      </w:r>
      <w:hyperlink r:id="rId18">
        <w:r>
          <w:rPr>
            <w:color w:val="3D5266"/>
            <w:sz w:val="18"/>
          </w:rPr>
          <w:t>分月统计</w:t>
        </w:r>
      </w:hyperlink>
    </w:p>
    <w:p>
      <w:r>
        <w:br w:type="page"/>
      </w:r>
    </w:p>
    <w:p>
      <w:pPr>
        <w:pStyle w:val="Heading2"/>
      </w:pPr>
      <w:r>
        <w:t>尾部表现与结果可信度</w:t>
      </w:r>
    </w:p>
    <w:p>
      <w:r>
        <w:t>本章结果需同时解释收益和代价。尾部按每月初已结算历史的方向与期限分组90%分位阈值定义；历史不足时回退分组。订单是否属于尾部由每BTC实际赔付事后判定，不能当作报价时已知信息。</w:t>
      </w:r>
    </w:p>
    <w:tbl>
      <w:tblPr>
        <w:tblW w:type="dxa" w:w="9792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2016"/>
        <w:gridCol w:w="2016"/>
        <w:gridCol w:w="2880"/>
      </w:tblGrid>
      <w:tr>
        <w:trPr>
          <w:cantSplit/>
          <w:tblHeader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分组月等权RMSE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Base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H0</w:t>
            </w:r>
          </w:p>
        </w:tc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候选40% / 15%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Call普通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151.653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148.820</w:t>
            </w:r>
          </w:p>
        </w:tc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148.740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Call尾部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574.894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597.780</w:t>
            </w:r>
          </w:p>
        </w:tc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583.260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Put普通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182.731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222.960</w:t>
            </w:r>
          </w:p>
        </w:tc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186.485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Put尾部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895.593</w:t>
            </w:r>
          </w:p>
        </w:tc>
        <w:tc>
          <w:tcPr>
            <w:tcW w:type="dxa" w:w="201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857.975</w:t>
            </w:r>
          </w:p>
        </w:tc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889.342</w:t>
            </w:r>
          </w:p>
        </w:tc>
      </w:tr>
    </w:tbl>
    <w:p>
      <w:pPr>
        <w:spacing w:line="280" w:lineRule="exact" w:after="0"/>
      </w:pPr>
    </w:p>
    <w:p>
      <w:r>
        <w:t>相对Base，Call普通订单获益而尾部付出代价；Put尾部获益而普通订单付出代价。向Base收缩能限制H0退化，却会放弃部分H0原有的Put尾部优势。</w:t>
      </w:r>
    </w:p>
    <w:p>
      <w:pPr>
        <w:pStyle w:val="Heading2"/>
      </w:pPr>
      <w:r>
        <w:t>现金低估略有改善但完整风险条件未通过</w:t>
      </w:r>
    </w:p>
    <w:tbl>
      <w:tblPr>
        <w:tblW w:type="dxa" w:w="9792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0"/>
        <w:gridCol w:w="3456"/>
        <w:gridCol w:w="3456"/>
      </w:tblGrid>
      <w:tr>
        <w:trPr>
          <w:cantSplit/>
          <w:tblHeader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模型</w:t>
            </w:r>
          </w:p>
        </w:tc>
        <w:tc>
          <w:tcPr>
            <w:tcW w:type="dxa" w:w="3456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净现金低估 USDC</w:t>
            </w:r>
          </w:p>
        </w:tc>
        <w:tc>
          <w:tcPr>
            <w:tcW w:type="dxa" w:w="3456"/>
            <w:tcMar>
              <w:top w:w="75" w:type="dxa"/>
              <w:bottom w:w="75" w:type="dxa"/>
              <w:left w:w="90" w:type="dxa"/>
              <w:right w:w="90" w:type="dxa"/>
            </w:tcMar>
            <w:shd w:fill="363636"/>
          </w:tcPr>
          <w:p>
            <w:pPr>
              <w:keepNext/>
              <w:spacing w:before="0" w:after="0" w:line="290" w:lineRule="exact"/>
              <w:jc w:val="right"/>
            </w:pPr>
            <w:r>
              <w:rPr>
                <w:rFonts w:ascii="Arial" w:hAnsi="Arial" w:eastAsia="Heiti SC"/>
                <w:b/>
                <w:color w:val="FFFFFF"/>
                <w:sz w:val="20"/>
              </w:rPr>
              <w:t>累计现金少估 USDC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Base</w:t>
            </w:r>
          </w:p>
        </w:tc>
        <w:tc>
          <w:tcPr>
            <w:tcW w:type="dxa" w:w="345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54,182.20</w:t>
            </w:r>
          </w:p>
        </w:tc>
        <w:tc>
          <w:tcPr>
            <w:tcW w:type="dxa" w:w="345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128,956.99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H0</w:t>
            </w:r>
          </w:p>
        </w:tc>
        <w:tc>
          <w:tcPr>
            <w:tcW w:type="dxa" w:w="345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36,486.29</w:t>
            </w:r>
          </w:p>
        </w:tc>
        <w:tc>
          <w:tcPr>
            <w:tcW w:type="dxa" w:w="3456"/>
            <w:tcMar>
              <w:top w:w="75" w:type="dxa"/>
              <w:bottom w:w="75" w:type="dxa"/>
              <w:left w:w="90" w:type="dxa"/>
              <w:right w:w="90" w:type="dxa"/>
            </w:tcMar>
            <w:shd w:fill="F5F6F7"/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124,478.19</w:t>
            </w:r>
          </w:p>
        </w:tc>
      </w:tr>
      <w:tr>
        <w:trPr>
          <w:cantSplit/>
        </w:trPr>
        <w:tc>
          <w:tcPr>
            <w:tcW w:type="dxa" w:w="2880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候选40% / 15%</w:t>
            </w:r>
          </w:p>
        </w:tc>
        <w:tc>
          <w:tcPr>
            <w:tcW w:type="dxa" w:w="345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53,110.95</w:t>
            </w:r>
          </w:p>
        </w:tc>
        <w:tc>
          <w:tcPr>
            <w:tcW w:type="dxa" w:w="3456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spacing w:before="0" w:after="0" w:line="290" w:lineRule="exact"/>
              <w:jc w:val="right"/>
            </w:pPr>
            <w:r>
              <w:rPr>
                <w:rFonts w:ascii="Arial" w:hAnsi="Arial" w:eastAsia="Songti SC"/>
                <w:b w:val="0"/>
                <w:color w:val="000000"/>
                <w:sz w:val="20"/>
              </w:rPr>
              <w:t>128,598.01</w:t>
            </w:r>
          </w:p>
        </w:tc>
      </w:tr>
    </w:tbl>
    <w:p>
      <w:pPr>
        <w:spacing w:line="280" w:lineRule="exact" w:after="0"/>
      </w:pPr>
    </w:p>
    <w:p>
      <w:pPr>
        <w:spacing w:line="280" w:lineRule="exact" w:after="100"/>
      </w:pPr>
      <w:r>
        <w:rPr>
          <w:sz w:val="19"/>
        </w:rPr>
        <w:t>净现金低估是实际总赔付减预测总赔付，允许高估与低估抵消；累计现金少估逐单只加总低估部分。两者不能互相替代，也不是实际已发生的业务亏损。</w:t>
      </w:r>
    </w:p>
    <w:p>
      <w:r>
        <w:t>工作约束要求各方向的逐单尾部RMSE、累计少估及尾部累计少估最多比参考恶化2%，方向和整体净偏差绝对值不扩大，并检查样本支持。候选虽比Base少净低估1,071.25 USDC，Call净金额偏差绝对值却扩大10.81%；完整条件未通过。该2%是研究标准，并非官方规则。</w:t>
      </w:r>
    </w:p>
    <w:p>
      <w:pPr>
        <w:spacing w:line="280" w:lineRule="exact" w:after="100"/>
      </w:pPr>
      <w:r>
        <w:rPr>
          <w:sz w:val="19"/>
        </w:rPr>
        <w:t>风险检查采用全期逐单口径，与上表月等权分组不同。候选相对Base的Call尾部RMSE增加0.67%、Put下降0.74%；相对H0的Put尾部增加3.90%。5月Call尾部仅27单，6月Call尾部RMSE比Base增加3.65%，均需保留披露。</w:t>
      </w:r>
    </w:p>
    <w:p>
      <w:pPr>
        <w:pStyle w:val="Heading2"/>
      </w:pPr>
      <w:r>
        <w:t>改善幅度尚不能确认为稳定增益</w:t>
      </w:r>
    </w:p>
    <w:p>
      <w:r>
        <w:t>相对Base，月等权RMSE差为−0.516，7日块重采样的95%区间为[−1.994，+0.844]，跨过0。删除任意连续7天后仍改善86/86次，说明点估计不依赖某一个星期，但不能替代显著性或独立验证。3日、14日块区间也均跨0。</w:t>
      </w:r>
    </w:p>
    <w:p>
      <w:pPr>
        <w:spacing w:line="280" w:lineRule="exact" w:after="100" w:before="180"/>
      </w:pPr>
      <w:r>
        <w:rPr>
          <w:sz w:val="19"/>
        </w:rPr>
        <w:t>置信区间只重采样既有前向误差，不重新训练模型，也未覆盖全项目历次搜索。结论应表述为“开发期小幅增益，泛化仍待确认”。</w:t>
      </w:r>
    </w:p>
    <w:p>
      <w:pPr>
        <w:spacing w:line="280" w:lineRule="exact" w:after="100"/>
      </w:pPr>
      <w:r>
        <w:rPr>
          <w:sz w:val="19"/>
        </w:rPr>
        <w:t>依据：</w:t>
      </w:r>
      <w:hyperlink r:id="rId11">
        <w:r>
          <w:rPr>
            <w:color w:val="3D5266"/>
            <w:sz w:val="18"/>
          </w:rPr>
          <w:t>风险与稳定性说明</w:t>
        </w:r>
      </w:hyperlink>
      <w:r>
        <w:t>；</w:t>
      </w:r>
      <w:hyperlink r:id="rId19">
        <w:r>
          <w:rPr>
            <w:color w:val="3D5266"/>
            <w:sz w:val="18"/>
          </w:rPr>
          <w:t>风险统计</w:t>
        </w:r>
      </w:hyperlink>
      <w:r>
        <w:t>；</w:t>
      </w:r>
      <w:hyperlink r:id="rId20">
        <w:r>
          <w:rPr>
            <w:color w:val="3D5266"/>
            <w:sz w:val="18"/>
          </w:rPr>
          <w:t>区间统计</w:t>
        </w:r>
      </w:hyperlink>
    </w:p>
    <w:p>
      <w:r>
        <w:br w:type="page"/>
      </w:r>
    </w:p>
    <w:p>
      <w:pPr>
        <w:pStyle w:val="Heading1"/>
      </w:pPr>
      <w:r>
        <w:t>6 商业建议</w:t>
      </w:r>
    </w:p>
    <w:p>
      <w:pPr>
        <w:pStyle w:val="Heading2"/>
      </w:pPr>
      <w:r>
        <w:t>保留Base作为报价参照</w:t>
      </w:r>
    </w:p>
    <w:p>
      <w:r>
        <w:t>将分方向混合作为报价复核与风险评估候选，展示“已有Base信息加有限历史校准”的价值。当前不支持全面替换Base：全期逐单误差未胜出、风险条件未全部满足，且微小收益尚未通过独立验证。</w:t>
      </w:r>
    </w:p>
    <w:p>
      <w:pPr>
        <w:pStyle w:val="Heading2"/>
      </w:pPr>
      <w:r>
        <w:t>把上线判断建立在可获得的信息上</w:t>
      </w:r>
    </w:p>
    <w:p>
      <w:r>
        <w:t>下一阶段先确认实际环境能否及时取得已结算赔付。如果只能获得无标签订单，当前每周更新的成绩不能直接沿用，需要单独验证冻结参数的表现。保留Base回退路径，并预先规定缺失输入、反馈延迟和数据异常时的处理。</w:t>
      </w:r>
    </w:p>
    <w:p>
      <w:r>
        <w:t>如后续进入并行观察，应固定模型和比例，同时记录预测、报价时间、已结算赔付与订单量，重点监控普通Put误差、Call尾部和方向净金额偏差。观察阶段不因某个月事后表现更好而换比例；新的候选须单独验证。</w:t>
      </w:r>
    </w:p>
    <w:p>
      <w:pPr>
        <w:pStyle w:val="Heading2"/>
      </w:pPr>
      <w:r>
        <w:t>收益评估需要补充商业数据</w:t>
      </w:r>
    </w:p>
    <w:p>
      <w:r>
        <w:t>待模型通过独立有标签数据验证及风险检查后，再讨论有限业务试点。同步记录报价曝光、购买与未购买、实际收费和费用，才能判断修正对转化率、客户接受度和净收益的影响。上述步骤是后续建议，本轮未执行。</w:t>
      </w:r>
    </w:p>
    <w:p>
      <w:pPr>
        <w:pStyle w:val="Heading1"/>
      </w:pPr>
      <w:r>
        <w:t>7 研究局限</w:t>
      </w:r>
    </w:p>
    <w:p>
      <w:r>
        <w:t>泛化证据有限。5–7月已被多轮开发反复查看，7月不再是未见测试。严格的逐笔前向信息约束能防止使用未来标签，但不能消除根据验证成绩选择模型的偏差。</w:t>
      </w:r>
    </w:p>
    <w:p>
      <w:r>
        <w:t>订单多不等于独立冲击多。样本只覆盖当前BTC产品与经过筛选的成交订单，尾部集中于少数行情事件；同一时段订单相关，部分分组支持不足。结论不能直接推广到其他资产或全部潜在客户。</w:t>
      </w:r>
    </w:p>
    <w:p>
      <w:r>
        <w:t>收益与风险仍有冲突。混合缓解跨期退化，没有形成稳定提前识别极端赔付的机制；月等权收益、逐单代价和方向尾部代价必须共同报告。宏观公告样本也不足以证明稳定的因果或加价规则。</w:t>
      </w:r>
    </w:p>
    <w:p>
      <w:pPr>
        <w:spacing w:before="180"/>
      </w:pPr>
      <w:r>
        <w:t>部署与业务条件尚未闭合。周更依赖标签反馈；历史Base报价时间的匹配仍有核验边界。实际提前结束时间在报价时未知。赔付预测不包含需求、费用和资本成本，不能直接推出最优保费。</w:t>
      </w:r>
    </w:p>
    <w:p>
      <w:pPr>
        <w:spacing w:line="280" w:lineRule="exact" w:after="100"/>
      </w:pPr>
      <w:r>
        <w:rPr>
          <w:sz w:val="19"/>
        </w:rPr>
        <w:t>结果版本：report_unified_v3_20261015_r2，2026年10月15日；基于main 9c2389b及本轮统一入口。正文采用本轮重跑统计，旧实验保留归档。新官方验证集未使用；独立测试与业务试点尚未执行。</w:t>
      </w:r>
    </w:p>
    <w:p>
      <w:pPr>
        <w:spacing w:line="280" w:lineRule="exact" w:after="100"/>
      </w:pPr>
      <w:r>
        <w:rPr>
          <w:sz w:val="19"/>
        </w:rPr>
        <w:t>依据：</w:t>
      </w:r>
      <w:hyperlink r:id="rId21">
        <w:r>
          <w:rPr>
            <w:color w:val="3D5266"/>
            <w:sz w:val="18"/>
          </w:rPr>
          <w:t>研究交接索引</w:t>
        </w:r>
      </w:hyperlink>
      <w:r>
        <w:t>；</w:t>
      </w:r>
      <w:hyperlink r:id="rId22">
        <w:r>
          <w:rPr>
            <w:color w:val="3D5266"/>
            <w:sz w:val="18"/>
          </w:rPr>
          <w:t>版本化统计与来源</w:t>
        </w:r>
      </w:hyperlink>
      <w:r>
        <w:t>；</w:t>
      </w:r>
      <w:hyperlink r:id="rId23">
        <w:r>
          <w:rPr>
            <w:color w:val="3D5266"/>
            <w:sz w:val="18"/>
          </w:rPr>
          <w:t>数据加载限制</w:t>
        </w:r>
      </w:hyperlink>
    </w:p>
    <w:sectPr w:rsidR="00FC693F" w:rsidRPr="0006063C" w:rsidSect="00034616">
      <w:footerReference w:type="default" r:id="rId9"/>
      <w:pgSz w:w="12240" w:h="15840"/>
      <w:pgMar w:top="1066" w:right="1224" w:bottom="979" w:left="1224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eiti SC" w:cs="Arial"/>
        <w:color w:val="555555"/>
        <w:sz w:val="18"/>
        <w:lang w:val="en-US" w:eastAsia="zh-CN"/>
      </w:rPr>
      <w:t xml:space="preserve">第 </w:t>
    </w:r>
    <w:fldSimple w:instr="PAGE"/>
    <w:r>
      <w:rPr>
        <w:rFonts w:ascii="Arial" w:hAnsi="Arial" w:eastAsia="Heiti SC" w:cs="Arial"/>
        <w:color w:val="555555"/>
        <w:sz w:val="18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40" w:line="350" w:lineRule="exact"/>
      <w:snapToGrid w:val="0"/>
    </w:pPr>
    <w:rPr>
      <w:rFonts w:ascii="Arial" w:hAnsi="Arial" w:eastAsia="Songti SC" w:cs="Arial"/>
      <w:b w:val="0"/>
      <w:i w:val="0"/>
      <w:color w:val="000000"/>
      <w:sz w:val="23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40" w:line="405" w:lineRule="exact"/>
      <w:outlineLvl w:val="0"/>
      <w:snapToGrid w:val="0"/>
    </w:pPr>
    <w:rPr>
      <w:rFonts w:ascii="Arial" w:hAnsi="Arial" w:eastAsia="Heiti SC" w:cs="Arial"/>
      <w:b/>
      <w:bCs/>
      <w:i w:val="0"/>
      <w:color w:val="000000"/>
      <w:sz w:val="30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324" w:lineRule="exact"/>
      <w:outlineLvl w:val="1"/>
      <w:snapToGrid w:val="0"/>
    </w:pPr>
    <w:rPr>
      <w:rFonts w:ascii="Arial" w:hAnsi="Arial" w:eastAsia="Heiti SC" w:cs="Arial"/>
      <w:b/>
      <w:bCs/>
      <w:i w:val="0"/>
      <w:color w:val="000000"/>
      <w:sz w:val="24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40" w:line="621" w:lineRule="exact" w:before="0"/>
      <w:contextualSpacing/>
      <w:snapToGrid w:val="0"/>
    </w:pPr>
    <w:rPr>
      <w:rFonts w:ascii="Arial" w:hAnsi="Arial" w:eastAsia="Heiti SC" w:cs="Arial"/>
      <w:b/>
      <w:i w:val="0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160" w:line="324" w:lineRule="exact"/>
      <w:snapToGrid w:val="0"/>
    </w:pPr>
    <w:rPr>
      <w:rFonts w:ascii="Arial" w:hAnsi="Arial" w:eastAsia="Heiti SC" w:cs="Arial"/>
      <w:b w:val="0"/>
      <w:i w:val="0"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70" w:lineRule="exact" w:before="0" w:after="100"/>
      <w:snapToGrid w:val="0"/>
    </w:pPr>
    <w:rPr>
      <w:rFonts w:ascii="Arial" w:hAnsi="Arial" w:eastAsia="Songti SC" w:cs="Arial"/>
      <w:b w:val="0"/>
      <w:bCs/>
      <w:i w:val="0"/>
      <w:color w:val="000000"/>
      <w:sz w:val="20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CountofPenglai/dba5102_project1/blob/9c2389b505b30d1c4bc69888d84cafd2a839aa1d/docs/validation_protocol_v3.md" TargetMode="External"/><Relationship Id="rId11" Type="http://schemas.openxmlformats.org/officeDocument/2006/relationships/hyperlink" Target="../reports/2026-10-15-report-unified-rerun.md" TargetMode="External"/><Relationship Id="rId12" Type="http://schemas.openxmlformats.org/officeDocument/2006/relationships/hyperlink" Target="https://github.com/CountofPenglai/dba5102_project1/blob/9c2389b505b30d1c4bc69888d84cafd2a839aa1d/pp_models/calibration_models.py" TargetMode="External"/><Relationship Id="rId13" Type="http://schemas.openxmlformats.org/officeDocument/2006/relationships/hyperlink" Target="../reports/2026-10-15-report-unified-rerun.md" TargetMode="External"/><Relationship Id="rId14" Type="http://schemas.openxmlformats.org/officeDocument/2006/relationships/hyperlink" Target="../reports/2026-10-15-report-unified-rerun.md" TargetMode="External"/><Relationship Id="rId15" Type="http://schemas.openxmlformats.org/officeDocument/2006/relationships/hyperlink" Target="../reports/2026-10-15-report-unified-rerun.md" TargetMode="External"/><Relationship Id="rId16" Type="http://schemas.openxmlformats.org/officeDocument/2006/relationships/hyperlink" Target="../reports/2026-10-15-report-unified-rerun.md" TargetMode="External"/><Relationship Id="rId17" Type="http://schemas.openxmlformats.org/officeDocument/2006/relationships/hyperlink" Target="../results/report_unified_v3_20261015_r2/validation/fixed_grid.csv" TargetMode="External"/><Relationship Id="rId18" Type="http://schemas.openxmlformats.org/officeDocument/2006/relationships/hyperlink" Target="../results/report_unified_v3_20261015_r2/validation/summary.csv" TargetMode="External"/><Relationship Id="rId19" Type="http://schemas.openxmlformats.org/officeDocument/2006/relationships/hyperlink" Target="../results/report_unified_v3_20261015_r2/validation/risk_constraints.csv" TargetMode="External"/><Relationship Id="rId20" Type="http://schemas.openxmlformats.org/officeDocument/2006/relationships/hyperlink" Target="../results/report_unified_v3_20261015_r2/validation/intervals.csv" TargetMode="External"/><Relationship Id="rId21" Type="http://schemas.openxmlformats.org/officeDocument/2006/relationships/hyperlink" Target="../research_document_index.md" TargetMode="External"/><Relationship Id="rId22" Type="http://schemas.openxmlformats.org/officeDocument/2006/relationships/hyperlink" Target="../results/README.md" TargetMode="External"/><Relationship Id="rId23" Type="http://schemas.openxmlformats.org/officeDocument/2006/relationships/hyperlink" Target="https://github.com/CountofPenglai/dba5102_project1/blob/9c2389b505b30d1c4bc69888d84cafd2a839aa1d/pp_data/io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保险产品定价优化研究报告大纲</dc:title>
  <dc:subject>H0与Base混合模型 商业汇报</dc:subject>
  <dc:creator>DBA5102 Capstone 项目组</dc:creator>
  <cp:keywords>两阶段模型, 赔付预测, 商业汇报</cp:keywords>
  <dc:description>Unified rerun report_unified_v3_20261015_r2; source baseline main 9c2389b; see local result manifest</dc:description>
  <cp:lastModifiedBy>DBA5102 Capstone 项目组</cp:lastModifiedBy>
  <cp:revision>1</cp:revision>
  <dcterms:created xsi:type="dcterms:W3CDTF">2026-10-15T00:00:00Z</dcterms:created>
  <dcterms:modified xsi:type="dcterms:W3CDTF">2026-10-15T00:00:00Z</dcterms:modified>
  <cp:category/>
</cp:coreProperties>
</file>