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Lines/>
      </w:pPr>
      <w:r>
        <w:rPr>
          <w:b w:val="0"/>
        </w:rPr>
        <w:t>保险产品定价优化研究报告</w:t>
      </w:r>
    </w:p>
    <w:p>
      <w:pPr>
        <w:pStyle w:val="Subtitle"/>
        <w:keepLines/>
      </w:pPr>
      <w:r>
        <w:rPr>
          <w:b w:val="0"/>
        </w:rPr>
        <w:t>H0与Base分方向混合研究及汇报数据附录</w:t>
      </w:r>
    </w:p>
    <w:p>
      <w:pPr>
        <w:keepLines/>
        <w:spacing w:line="280" w:lineRule="exact" w:after="120"/>
      </w:pPr>
      <w:r>
        <w:rPr>
          <w:b w:val="0"/>
          <w:sz w:val="19"/>
        </w:rPr>
        <w:t>DBA5102 Capstone 项目组  |  2026年10月16日</w:t>
      </w:r>
    </w:p>
    <w:p>
      <w:pPr>
        <w:keepLines/>
      </w:pPr>
      <w:r>
        <w:rPr>
          <w:b w:val="0"/>
        </w:rPr>
        <w:t>在官方Base的复杂定价信息之上，简单两阶段模型H0在5月和6月同时改善RMSE与MAE。进一步分析发现，Call普通订单与Put尾部的收益位置不同；用不同权重混合H0与Base，可以保留部分校准收益，并减轻7月的误差扩大。研究还把公开宏观日程整理为可追溯、可按报价时点使用的外部数据。</w:t>
      </w:r>
    </w:p>
    <w:p>
      <w:pPr>
        <w:keepLines/>
        <w:spacing w:line="280" w:lineRule="exact" w:after="120"/>
      </w:pPr>
      <w:r>
        <w:rPr>
          <w:b w:val="0"/>
          <w:sz w:val="19"/>
        </w:rPr>
        <w:t>本文按六人汇报的章节展开，正文解释研究逻辑与结果，附录提供可直接制作PPT的数值、参数、指标定义和取数说明。12页幻灯片讲解9.5分钟，另留0.5分钟换人和停顿。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480"/>
        <w:gridCol w:w="1584"/>
        <w:gridCol w:w="1728"/>
      </w:tblGrid>
      <w:tr>
        <w:trPr>
          <w:cantSplit/>
          <w:tblHeader/>
        </w:trPr>
        <w:tc>
          <w:tcPr>
            <w:tcW w:type="dxa" w:w="64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章节与分工</w:t>
            </w:r>
          </w:p>
        </w:tc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幻灯片</w:t>
            </w:r>
          </w:p>
        </w:tc>
        <w:tc>
          <w:tcPr>
            <w:tcW w:type="dxa" w:w="17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时间</w:t>
            </w:r>
          </w:p>
        </w:tc>
      </w:tr>
      <w:tr>
        <w:trPr>
          <w:cantSplit/>
        </w:trPr>
        <w:tc>
          <w:tcPr>
            <w:tcW w:type="dxa" w:w="64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 业务目标与评价思路</w:t>
            </w:r>
          </w:p>
        </w:tc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1–2</w:t>
            </w:r>
          </w:p>
        </w:tc>
        <w:tc>
          <w:tcPr>
            <w:tcW w:type="dxa" w:w="17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1分钟</w:t>
            </w:r>
          </w:p>
        </w:tc>
      </w:tr>
      <w:tr>
        <w:trPr>
          <w:cantSplit/>
        </w:trPr>
        <w:tc>
          <w:tcPr>
            <w:tcW w:type="dxa" w:w="64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 数据预处理与时间验证</w:t>
            </w:r>
          </w:p>
        </w:tc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3–4</w:t>
            </w:r>
          </w:p>
        </w:tc>
        <w:tc>
          <w:tcPr>
            <w:tcW w:type="dxa" w:w="17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1.5分钟</w:t>
            </w:r>
          </w:p>
        </w:tc>
      </w:tr>
      <w:tr>
        <w:trPr>
          <w:cantSplit/>
        </w:trPr>
        <w:tc>
          <w:tcPr>
            <w:tcW w:type="dxa" w:w="64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3 H0核心模型与程序流程</w:t>
            </w:r>
          </w:p>
        </w:tc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5–6</w:t>
            </w:r>
          </w:p>
        </w:tc>
        <w:tc>
          <w:tcPr>
            <w:tcW w:type="dxa" w:w="17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2分钟</w:t>
            </w:r>
          </w:p>
        </w:tc>
      </w:tr>
      <w:tr>
        <w:trPr>
          <w:cantSplit/>
        </w:trPr>
        <w:tc>
          <w:tcPr>
            <w:tcW w:type="dxa" w:w="64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4 H0成果与关键探索</w:t>
            </w:r>
          </w:p>
        </w:tc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7–8</w:t>
            </w:r>
          </w:p>
        </w:tc>
        <w:tc>
          <w:tcPr>
            <w:tcW w:type="dxa" w:w="17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2分钟</w:t>
            </w:r>
          </w:p>
        </w:tc>
      </w:tr>
      <w:tr>
        <w:trPr>
          <w:cantSplit/>
        </w:trPr>
        <w:tc>
          <w:tcPr>
            <w:tcW w:type="dxa" w:w="64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5 分方向混合与外部公告</w:t>
            </w:r>
          </w:p>
        </w:tc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9–10</w:t>
            </w:r>
          </w:p>
        </w:tc>
        <w:tc>
          <w:tcPr>
            <w:tcW w:type="dxa" w:w="17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1.5分钟</w:t>
            </w:r>
          </w:p>
        </w:tc>
      </w:tr>
      <w:tr>
        <w:trPr>
          <w:cantSplit/>
        </w:trPr>
        <w:tc>
          <w:tcPr>
            <w:tcW w:type="dxa" w:w="64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6 商业建议与结论</w:t>
            </w:r>
          </w:p>
        </w:tc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11–12</w:t>
            </w:r>
          </w:p>
        </w:tc>
        <w:tc>
          <w:tcPr>
            <w:tcW w:type="dxa" w:w="17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1.5分钟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pStyle w:val="Heading1"/>
        <w:keepLines/>
      </w:pPr>
      <w:r>
        <w:rPr>
          <w:b w:val="0"/>
        </w:rPr>
        <w:t>1 业务目标与评价思路</w:t>
      </w:r>
    </w:p>
    <w:p>
      <w:pPr>
        <w:pStyle w:val="Heading2"/>
        <w:keepLines/>
      </w:pPr>
      <w:r>
        <w:rPr>
          <w:b w:val="0"/>
        </w:rPr>
        <w:t>1.1 从价格保障到预期赔付</w:t>
      </w:r>
    </w:p>
    <w:p>
      <w:pPr>
        <w:keepLines/>
      </w:pPr>
      <w:r>
        <w:rPr>
          <w:b w:val="0"/>
        </w:rPr>
        <w:t>Jasper Vault的PP产品提供BTC价格方向保障：Call对应上涨风险，Put对应下跌风险。平台需要在订单创建时估计未来可能发生的赔付。我们把官方提供的Base作为现有定价参照，研究历史赔付能否补充其中的信息，让报价背后的风险成本估计更准确。</w:t>
      </w:r>
    </w:p>
    <w:p>
      <w:pPr>
        <w:pStyle w:val="Heading2"/>
        <w:keepLines/>
      </w:pPr>
      <w:r>
        <w:rPr>
          <w:b w:val="0"/>
        </w:rPr>
        <w:t>1.2 用什么证明这层校准有价值</w:t>
      </w:r>
    </w:p>
    <w:p>
      <w:pPr>
        <w:keepLines/>
      </w:pPr>
      <w:r>
        <w:rPr>
          <w:b w:val="0"/>
        </w:rPr>
        <w:t>模型目标是每BTC的预期赔付。RMSE优先关注大误差，MAE用于观察普通订单的预测代价；进一步按Call、Put及普通／尾部分组，找出改善发生在哪里。现金金额指标再把每BTC误差乘回订单BTC数量，用于观察整体赔付准备的偏差。</w:t>
      </w:r>
    </w:p>
    <w:p>
      <w:pPr>
        <w:keepLines/>
      </w:pPr>
      <w:r>
        <w:rPr>
          <w:b w:val="0"/>
        </w:rPr>
        <w:t>业务上，模型层负责提供风险成本信号，平台再结合费用、资金占用和经营目标决定最终报价。报告因此先论证预测质量，再提出后续报价验证的建议。</w:t>
      </w:r>
    </w:p>
    <w:p>
      <w:pPr>
        <w:keepLines/>
        <w:spacing w:line="280" w:lineRule="exact" w:after="120"/>
      </w:pPr>
      <w:r>
        <w:rPr>
          <w:b w:val="0"/>
          <w:sz w:val="19"/>
        </w:rPr>
        <w:t>PPT提炼：提出“在复杂Base之上增加简单校准”的研究问题；说明主看RMSE，同时检查普通订单与现金风险。</w:t>
      </w:r>
    </w:p>
    <w:p>
      <w:r>
        <w:br w:type="page"/>
      </w:r>
    </w:p>
    <w:p>
      <w:pPr>
        <w:pStyle w:val="Heading1"/>
        <w:keepLines/>
      </w:pPr>
      <w:r>
        <w:rPr>
          <w:b w:val="0"/>
        </w:rPr>
        <w:t>2 数据预处理与时间验证</w:t>
      </w:r>
    </w:p>
    <w:p>
      <w:pPr>
        <w:keepLines/>
        <w:spacing w:line="280" w:lineRule="exact" w:after="120"/>
      </w:pPr>
      <w:r>
        <w:rPr>
          <w:b w:val="0"/>
          <w:sz w:val="19"/>
        </w:rPr>
        <w:t>对应幻灯片3–4  |  本章分为数据处理与验证设计两页</w:t>
      </w:r>
    </w:p>
    <w:p>
      <w:pPr>
        <w:pStyle w:val="Heading2"/>
        <w:keepLines/>
      </w:pPr>
      <w:r>
        <w:rPr>
          <w:b w:val="0"/>
        </w:rPr>
        <w:t>2.1 三类数据各自承担什么作用</w:t>
      </w:r>
    </w:p>
    <w:p>
      <w:pPr>
        <w:keepLines/>
      </w:pPr>
      <w:r>
        <w:rPr>
          <w:b w:val="0"/>
        </w:rPr>
        <w:t>订单数据提供合同方向、保障期限、BTC数量、执行价、Base和最终赔付；一分钟BTC行情提供报价之前的市场状态；宏观公告日历提供提前公开的事件时间。订单与行情构成核心模型输入，公告日历独立维护，供额外探索使用。</w:t>
      </w:r>
    </w:p>
    <w:p>
      <w:pPr>
        <w:keepLines/>
      </w:pPr>
      <w:r>
        <w:rPr>
          <w:b w:val="0"/>
        </w:rPr>
        <w:t>统一训练目标为realizedProfit_USDC除以quantity_BTC，即每BTC赔付；是否大于0构成第一阶段的分类目标。Base使用apiBasePrice_per_BTC_USDC。原成交价、markup和真实结束时间保留为审计或时间判断信息，不自动进入报价特征。</w:t>
      </w:r>
    </w:p>
    <w:p>
      <w:pPr>
        <w:pStyle w:val="Heading2"/>
        <w:keepLines/>
      </w:pPr>
      <w:r>
        <w:rPr>
          <w:b w:val="0"/>
        </w:rPr>
        <w:t>2.2 先统一数据口径 再构造特征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4"/>
        <w:gridCol w:w="5544"/>
        <w:gridCol w:w="2664"/>
      </w:tblGrid>
      <w:tr>
        <w:trPr>
          <w:cantSplit/>
          <w:tblHeader/>
        </w:trPr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55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具体处理</w:t>
            </w:r>
          </w:p>
        </w:tc>
        <w:tc>
          <w:tcPr>
            <w:tcW w:type="dxa" w:w="26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目的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时间与单位</w:t>
            </w:r>
          </w:p>
        </w:tc>
        <w:tc>
          <w:tcPr>
            <w:tcW w:type="dxa" w:w="55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统一UTC；赔付和Base均采用USDC/BTC</w:t>
            </w:r>
          </w:p>
        </w:tc>
        <w:tc>
          <w:tcPr>
            <w:tcW w:type="dxa" w:w="26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保持时间和金额可比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订单质量</w:t>
            </w:r>
          </w:p>
        </w:tc>
        <w:tc>
          <w:tcPr>
            <w:tcW w:type="dxa" w:w="55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核对重复、方向、数量、赔付、合同时间及价格恒等式</w:t>
            </w:r>
          </w:p>
        </w:tc>
        <w:tc>
          <w:tcPr>
            <w:tcW w:type="dxa" w:w="26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避免错误记录影响拟合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行情质量</w:t>
            </w:r>
          </w:p>
        </w:tc>
        <w:tc>
          <w:tcPr>
            <w:tcW w:type="dxa" w:w="55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核对分钟K线有效性、时间排序与连续性</w:t>
            </w:r>
          </w:p>
        </w:tc>
        <w:tc>
          <w:tcPr>
            <w:tcW w:type="dxa" w:w="26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保证波动窗口完整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向后对齐</w:t>
            </w:r>
          </w:p>
        </w:tc>
        <w:tc>
          <w:tcPr>
            <w:tcW w:type="dxa" w:w="55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匹配报价前最后完整K线，年龄不超过60秒</w:t>
            </w:r>
          </w:p>
        </w:tc>
        <w:tc>
          <w:tcPr>
            <w:tcW w:type="dxa" w:w="26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使报价只使用已知行情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标签隔离</w:t>
            </w:r>
          </w:p>
        </w:tc>
        <w:tc>
          <w:tcPr>
            <w:tcW w:type="dxa" w:w="55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特征、标签、元数据分别存储并用订单ID对齐</w:t>
            </w:r>
          </w:p>
        </w:tc>
        <w:tc>
          <w:tcPr>
            <w:tcW w:type="dxa" w:w="26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防止未来结算信息进入输入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共同队列</w:t>
            </w:r>
          </w:p>
        </w:tc>
        <w:tc>
          <w:tcPr>
            <w:tcW w:type="dxa" w:w="55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Base缺失不填0，所有模型评价同一批订单</w:t>
            </w:r>
          </w:p>
        </w:tc>
        <w:tc>
          <w:tcPr>
            <w:tcW w:type="dxa" w:w="26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避免样本差异造成虚假提升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</w:pPr>
      <w:r>
        <w:rPr>
          <w:b w:val="0"/>
        </w:rPr>
        <w:t>市场特征包含60、240、1440分钟收益与波动。波动使用完整分钟对数收益的平方和开方，不作年化；N分钟指标要求N+1根连续K线。当前数据池统一检查这些特征的可用性，H0实际只使用其中较少的输入。</w:t>
      </w:r>
    </w:p>
    <w:p>
      <w:pPr>
        <w:pStyle w:val="Heading2"/>
        <w:keepLines/>
      </w:pPr>
      <w:r>
        <w:rPr>
          <w:b w:val="0"/>
        </w:rPr>
        <w:t>2.3 当前报告的样本范围</w:t>
      </w:r>
    </w:p>
    <w:p>
      <w:pPr>
        <w:keepLines/>
        <w:spacing w:before="120" w:after="180"/>
        <w:jc w:val="center"/>
      </w:pPr>
      <w:r>
        <w:rPr>
          <w:rFonts w:ascii="Cambria" w:hAnsi="Cambria"/>
          <w:b w:val="0"/>
          <w:sz w:val="25"/>
        </w:rPr>
        <w:t>7,204笔原始订单 → 7,055笔风险样本 → 5,934笔Base可比样本</w:t>
      </w:r>
    </w:p>
    <w:p>
      <w:pPr>
        <w:keepLines/>
        <w:spacing w:line="280" w:lineRule="exact" w:after="120"/>
      </w:pPr>
      <w:r>
        <w:rPr>
          <w:b w:val="0"/>
          <w:sz w:val="19"/>
        </w:rPr>
        <w:t>其中4,640笔进入5–7月验证；Call 2,580笔，Put 2,060笔。风险样本是基础分析池，可比样本进一步要求具备可用Base。当前报告沿用已确认的历史队列，模型不能各自删除难预测的订单。筛选数量应按队列流转展示，不应把所有差额统称为“脏数据”。</w:t>
      </w:r>
    </w:p>
    <w:p>
      <w:pPr>
        <w:keepLines/>
        <w:spacing w:line="280" w:lineRule="exact" w:after="120"/>
      </w:pPr>
      <w:r>
        <w:rPr>
          <w:b w:val="0"/>
          <w:sz w:val="19"/>
        </w:rPr>
        <w:t>PPT提炼：数据页展示样本筛选流程和三项关键处理：完整K线、标签隔离、共同队列。字段细节见附录D。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10">
        <w:r>
          <w:rPr>
            <w:color w:val="516579"/>
            <w:sz w:val="19"/>
          </w:rPr>
          <w:t>数据入口与队列说明</w:t>
        </w:r>
      </w:hyperlink>
      <w:r>
        <w:t>；</w:t>
      </w:r>
      <w:hyperlink r:id="rId11">
        <w:r>
          <w:rPr>
            <w:color w:val="516579"/>
            <w:sz w:val="19"/>
          </w:rPr>
          <w:t>特征实现</w:t>
        </w:r>
      </w:hyperlink>
    </w:p>
    <w:p>
      <w:r>
        <w:br w:type="page"/>
      </w:r>
    </w:p>
    <w:p>
      <w:pPr>
        <w:pStyle w:val="Heading2"/>
        <w:keepLines/>
      </w:pPr>
      <w:r>
        <w:rPr>
          <w:b w:val="0"/>
        </w:rPr>
        <w:t>2 数据预处理与时间验证 续</w:t>
      </w:r>
    </w:p>
    <w:p>
      <w:pPr>
        <w:keepLines/>
        <w:spacing w:line="280" w:lineRule="exact" w:after="120"/>
      </w:pPr>
      <w:r>
        <w:rPr>
          <w:b w:val="0"/>
          <w:sz w:val="19"/>
        </w:rPr>
        <w:t>验证设计  |  所有模型共享队列与评分口径，公告规则无需训练</w:t>
      </w:r>
    </w:p>
    <w:p>
      <w:pPr>
        <w:pStyle w:val="Heading2"/>
        <w:keepLines/>
      </w:pPr>
      <w:r>
        <w:rPr>
          <w:b w:val="0"/>
        </w:rPr>
        <w:t>2.4 把评估还原为按时间发生的报价</w:t>
      </w:r>
    </w:p>
    <w:p>
      <w:pPr>
        <w:keepLines/>
      </w:pPr>
      <w:r>
        <w:rPr>
          <w:b w:val="0"/>
        </w:rPr>
        <w:t>4月作为训练起点，5–7月进行滚动验证。从5月1日起，每隔7日更新一次参数；每次只取此前30日创建、且更新时刻前已结算的订单。周内参数固定，但每笔新报价仍使用当时的Base、价格位置和历史行情。周更控制学习频率，并不把一周内所有订单的市场状态固定下来。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7920"/>
      </w:tblGrid>
      <w:tr>
        <w:trPr>
          <w:cantSplit/>
          <w:tblHeader/>
        </w:trPr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设置</w:t>
            </w:r>
          </w:p>
        </w:tc>
        <w:tc>
          <w:tcPr>
            <w:tcW w:type="dxa" w:w="79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当前统一规则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训练起点</w:t>
            </w:r>
          </w:p>
        </w:tc>
        <w:tc>
          <w:tcPr>
            <w:tcW w:type="dxa" w:w="79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2026-04-01 00:00:00 UTC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验证区间</w:t>
            </w:r>
          </w:p>
        </w:tc>
        <w:tc>
          <w:tcPr>
            <w:tcW w:type="dxa" w:w="79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2026-05-01至2026-07-31 17:11:48 UTC，右端不含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更新频率</w:t>
            </w:r>
          </w:p>
        </w:tc>
        <w:tc>
          <w:tcPr>
            <w:tcW w:type="dxa" w:w="79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连续每7日；跨月不重新起算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历史窗口</w:t>
            </w:r>
          </w:p>
        </w:tc>
        <w:tc>
          <w:tcPr>
            <w:tcW w:type="dxa" w:w="79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创建于前30日内，且结算严格早于更新时刻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标签反馈</w:t>
            </w:r>
          </w:p>
        </w:tc>
        <w:tc>
          <w:tcPr>
            <w:tcW w:type="dxa" w:w="79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验证订单结算后，可进入后续合法训练窗口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实际运行</w:t>
            </w:r>
          </w:p>
        </w:tc>
        <w:tc>
          <w:tcPr>
            <w:tcW w:type="dxa" w:w="79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12个有验证订单的更新批次；历史样本468–2,131笔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</w:pPr>
      <w:r>
        <w:rPr>
          <w:b w:val="0"/>
        </w:rPr>
        <w:t>例如5月8日更新时，只使用4月8日至5月8日之前创建、且5月8日之前已结算的订单。5月9日才结算的订单当时仍不可训练。月界不重置周历，所以7月1–2日仍沿用6月26日拟合的参数。固定混合权重则在整个验证期保持一致。</w:t>
      </w:r>
    </w:p>
    <w:p>
      <w:pPr>
        <w:pStyle w:val="Heading2"/>
        <w:keepLines/>
      </w:pPr>
      <w:r>
        <w:rPr>
          <w:b w:val="0"/>
        </w:rPr>
        <w:t>2.5 同时呈现跨月表现与逐单表现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2016"/>
        <w:gridCol w:w="2016"/>
        <w:gridCol w:w="2016"/>
        <w:gridCol w:w="2016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验证月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5月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6月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7月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合计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订单数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726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1,373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2,541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4,640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</w:pPr>
      <w:r>
        <w:rPr>
          <w:b w:val="0"/>
        </w:rPr>
        <w:t>7月占全部验证订单约54.8%，直接合并评分会给7月更大的权重。月等权RMSE先把每月MSE等权平均，再开方；全期逐单RMSE对每笔订单等权。两者分别回答“跨月平均表现如何”和“这些订单总体表现如何”，因此一起保留。月等权MAE则直接平均三个单月MAE。</w:t>
      </w:r>
    </w:p>
    <w:p>
      <w:pPr>
        <w:keepLines/>
        <w:spacing w:line="280" w:lineRule="exact" w:after="120"/>
      </w:pPr>
      <w:r>
        <w:rPr>
          <w:b w:val="0"/>
          <w:sz w:val="19"/>
        </w:rPr>
        <w:t>尾部标签由每月初历史已结算订单的方向×期限q90阈值定义，组内不足30单时回退同方向阈值。当前订单是否属于尾部，只在实际赔付已知后用于分组评价；预测时不会读取这项身份。</w:t>
      </w:r>
    </w:p>
    <w:p>
      <w:pPr>
        <w:keepLines/>
        <w:spacing w:line="280" w:lineRule="exact" w:after="120"/>
      </w:pPr>
      <w:r>
        <w:rPr>
          <w:b w:val="0"/>
          <w:sz w:val="19"/>
        </w:rPr>
        <w:t>PPT提炼：画4月训练、5–7月周更时间轴。用一个“创建早但结算晚”的例子说明标签何时能用。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12">
        <w:r>
          <w:rPr>
            <w:color w:val="516579"/>
            <w:sz w:val="19"/>
          </w:rPr>
          <w:t>统一验证协议</w:t>
        </w:r>
      </w:hyperlink>
      <w:r>
        <w:t>；</w:t>
      </w:r>
      <w:hyperlink r:id="rId13">
        <w:r>
          <w:rPr>
            <w:color w:val="516579"/>
            <w:sz w:val="19"/>
          </w:rPr>
          <w:t>周度历史样本</w:t>
        </w:r>
      </w:hyperlink>
    </w:p>
    <w:p>
      <w:r>
        <w:br w:type="page"/>
      </w:r>
    </w:p>
    <w:p>
      <w:pPr>
        <w:pStyle w:val="Heading1"/>
        <w:keepLines/>
      </w:pPr>
      <w:r>
        <w:rPr>
          <w:b w:val="0"/>
        </w:rPr>
        <w:t>3 H0核心模型与程序流程</w:t>
      </w:r>
    </w:p>
    <w:p>
      <w:pPr>
        <w:keepLines/>
        <w:spacing w:line="280" w:lineRule="exact" w:after="120"/>
      </w:pPr>
      <w:r>
        <w:rPr>
          <w:b w:val="0"/>
          <w:sz w:val="19"/>
        </w:rPr>
        <w:t>对应幻灯片5–6  |  从赔付机制到可解释的模型</w:t>
      </w:r>
    </w:p>
    <w:p>
      <w:pPr>
        <w:pStyle w:val="Heading2"/>
        <w:keepLines/>
      </w:pPr>
      <w:r>
        <w:rPr>
          <w:b w:val="0"/>
        </w:rPr>
        <w:t>3.1 为什么把一个回归问题拆成两步</w:t>
      </w:r>
    </w:p>
    <w:p>
      <w:pPr>
        <w:keepLines/>
      </w:pPr>
      <w:r>
        <w:rPr>
          <w:b w:val="0"/>
        </w:rPr>
        <w:t>一笔订单可能完全不赔，也可能产生正赔付。如果直接用一个金额模型处理两种情况，就需要同时学习“是否发生”与“发生后多少”。H0把这两件事分开：概率阶段解释当前合同发生赔付的机会，金额阶段解释正赔付条件下相对Base的规模。Call与Put分别估计，避免强行共享同一组方向关系。</w:t>
      </w:r>
    </w:p>
    <w:p>
      <w:pPr>
        <w:keepLines/>
        <w:spacing w:before="120" w:after="180"/>
        <w:jc w:val="center"/>
      </w:pPr>
      <w:r>
        <w:rPr>
          <w:rFonts w:ascii="Cambria" w:hAnsi="Cambria"/>
          <w:b w:val="0"/>
          <w:sz w:val="25"/>
        </w:rPr>
        <w:t>预期赔付 = 正赔付概率 × 正赔付条件下的预计金额</w:t>
      </w:r>
    </w:p>
    <w:p>
      <w:pPr>
        <w:keepLines/>
        <w:spacing w:before="120" w:after="180"/>
        <w:jc w:val="center"/>
      </w:pPr>
      <w:r>
        <w:rPr>
          <w:rFonts w:ascii="Cambria" w:hAnsi="Cambria"/>
          <w:b w:val="0"/>
          <w:sz w:val="25"/>
        </w:rPr>
        <w:t>H0 = p × Base × c</w:t>
      </w:r>
    </w:p>
    <w:p>
      <w:pPr>
        <w:keepLines/>
      </w:pPr>
      <w:r>
        <w:rPr>
          <w:b w:val="0"/>
        </w:rPr>
        <w:t>其中p是逻辑回归输出的概率；c是同方向正赔付历史拟合出来的单一金额系数。Base已经带有官方的合同和市场判断，因此金额阶段利用它作为锚点。H0的新增复杂度主要是一组小规模概率参数和一个方向金额系数。</w:t>
      </w:r>
    </w:p>
    <w:p>
      <w:pPr>
        <w:pStyle w:val="Heading2"/>
        <w:keepLines/>
      </w:pPr>
      <w:r>
        <w:rPr>
          <w:b w:val="0"/>
        </w:rPr>
        <w:t>3.2 概率阶段如何理解当前订单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4"/>
        <w:gridCol w:w="3672"/>
        <w:gridCol w:w="4536"/>
      </w:tblGrid>
      <w:tr>
        <w:trPr>
          <w:cantSplit/>
          <w:tblHeader/>
        </w:trPr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信息</w:t>
            </w:r>
          </w:p>
        </w:tc>
        <w:tc>
          <w:tcPr>
            <w:tcW w:type="dxa" w:w="36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进入模型的方式</w:t>
            </w:r>
          </w:p>
        </w:tc>
        <w:tc>
          <w:tcPr>
            <w:tcW w:type="dxa" w:w="45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所解释的问题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官方Base</w:t>
            </w:r>
          </w:p>
        </w:tc>
        <w:tc>
          <w:tcPr>
            <w:tcW w:type="dxa" w:w="36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取对数后进入概率阶段</w:t>
            </w:r>
          </w:p>
        </w:tc>
        <w:tc>
          <w:tcPr>
            <w:tcW w:type="dxa" w:w="45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官方报价已包含怎样的风险水平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剩余保障时间</w:t>
            </w:r>
          </w:p>
        </w:tc>
        <w:tc>
          <w:tcPr>
            <w:tcW w:type="dxa" w:w="36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取对数后进入概率阶段</w:t>
            </w:r>
          </w:p>
        </w:tc>
        <w:tc>
          <w:tcPr>
            <w:tcW w:type="dxa" w:w="45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价格还有多长时间可能发生变化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价格位置</w:t>
            </w:r>
          </w:p>
        </w:tc>
        <w:tc>
          <w:tcPr>
            <w:tcW w:type="dxa" w:w="36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市场价与执行价的对数比</w:t>
            </w:r>
          </w:p>
        </w:tc>
        <w:tc>
          <w:tcPr>
            <w:tcW w:type="dxa" w:w="45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订单当前离赔付区域有多远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波动与方向</w:t>
            </w:r>
          </w:p>
        </w:tc>
        <w:tc>
          <w:tcPr>
            <w:tcW w:type="dxa" w:w="36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将价格位置按60分钟波动和剩余时间缩放；Call／Put分开拟合</w:t>
            </w:r>
          </w:p>
        </w:tc>
        <w:tc>
          <w:tcPr>
            <w:tcW w:type="dxa" w:w="45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相同距离在不同波动环境下有何区别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</w:pPr>
      <w:r>
        <w:rPr>
          <w:b w:val="0"/>
        </w:rPr>
        <w:t>价格位置经过方向对齐：向Call赔付区域移动和向Put赔付区域移动，都会转换成各自方向下可解释的距离。再以波动尺度标准化，使同样的价格距离在平静市场与剧烈市场中具有不同含义。连续特征使用历史训练样本标准化并截断，避免极端输入无限放大概率模型。</w:t>
      </w:r>
    </w:p>
    <w:p>
      <w:pPr>
        <w:pStyle w:val="Heading2"/>
        <w:keepLines/>
      </w:pPr>
      <w:r>
        <w:rPr>
          <w:b w:val="0"/>
        </w:rPr>
        <w:t>3.3 金额阶段保留一个清楚的经济含义</w:t>
      </w:r>
    </w:p>
    <w:p>
      <w:pPr>
        <w:keepLines/>
      </w:pPr>
      <w:r>
        <w:rPr>
          <w:b w:val="0"/>
        </w:rPr>
        <w:t>只在正赔付历史上，用无截距最小二乘拟合Base的倍数c。它回答“如果发生赔付，历史上实际金额相对Base通常需要怎样校准”。这是对预期赔付结构的简化估计；c可以大于1，最终乘以概率后，H0既可能高于Base，也可能低于Base。</w:t>
      </w:r>
    </w:p>
    <w:p>
      <w:pPr>
        <w:keepLines/>
        <w:spacing w:line="280" w:lineRule="exact" w:after="120"/>
      </w:pPr>
      <w:r>
        <w:rPr>
          <w:b w:val="0"/>
          <w:sz w:val="19"/>
        </w:rPr>
        <w:t>PPT提炼：核心模型图采用两条支路：逻辑回归得到p，Base乘金额系数得到条件金额，在乘法节点汇合。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14">
        <w:r>
          <w:rPr>
            <w:color w:val="516579"/>
            <w:sz w:val="19"/>
          </w:rPr>
          <w:t>模型设计</w:t>
        </w:r>
      </w:hyperlink>
      <w:r>
        <w:t>；</w:t>
      </w:r>
      <w:hyperlink r:id="rId15">
        <w:r>
          <w:rPr>
            <w:color w:val="516579"/>
            <w:sz w:val="19"/>
          </w:rPr>
          <w:t>H0当前实现</w:t>
        </w:r>
      </w:hyperlink>
    </w:p>
    <w:p>
      <w:r>
        <w:br w:type="page"/>
      </w:r>
    </w:p>
    <w:p>
      <w:pPr>
        <w:pStyle w:val="Heading2"/>
        <w:keepLines/>
      </w:pPr>
      <w:r>
        <w:rPr>
          <w:b w:val="0"/>
        </w:rPr>
        <w:t>3 H0核心模型与程序流程 续</w:t>
      </w:r>
    </w:p>
    <w:p>
      <w:pPr>
        <w:keepLines/>
        <w:spacing w:line="280" w:lineRule="exact" w:after="120"/>
      </w:pPr>
      <w:r>
        <w:rPr>
          <w:b w:val="0"/>
          <w:sz w:val="19"/>
        </w:rPr>
        <w:t>程序运行与预测解释</w:t>
      </w:r>
    </w:p>
    <w:p>
      <w:pPr>
        <w:pStyle w:val="Heading2"/>
        <w:keepLines/>
      </w:pPr>
      <w:r>
        <w:rPr>
          <w:b w:val="0"/>
        </w:rPr>
        <w:t>3.4 从统一数据入口到每笔报价</w:t>
      </w:r>
    </w:p>
    <w:p>
      <w:pPr>
        <w:keepLines/>
      </w:pPr>
      <w:r>
        <w:rPr>
          <w:b w:val="0"/>
        </w:rPr>
        <w:t>数据入口先生成对齐的特征、标签和元数据。验证入口沿固定周历前进：根据创建与结算时刻筛选合法历史，分别拟合Call与Put，在本周新订单上输出概率、条件金额和H0预测。评分组件随后按月份、方向、期限及尾部分组比较结果。输入、参数和运行配置统一归档。</w:t>
      </w:r>
    </w:p>
    <w:p>
      <w:pPr>
        <w:keepLines/>
        <w:spacing w:before="120" w:after="180"/>
        <w:jc w:val="center"/>
      </w:pPr>
      <w:r>
        <w:rPr>
          <w:rFonts w:ascii="Cambria" w:hAnsi="Cambria"/>
          <w:b w:val="0"/>
          <w:sz w:val="25"/>
        </w:rPr>
        <w:t>统一数据 → 合法历史筛选 → 分方向拟合 → 本周报价 → 统一评分</w:t>
      </w:r>
    </w:p>
    <w:p>
      <w:pPr>
        <w:keepLines/>
      </w:pPr>
      <w:r>
        <w:rPr>
          <w:b w:val="0"/>
        </w:rPr>
        <w:t>预测端接收报价时可用字段，真实赔付只作为历史目标或事后评分依据。实际提前终止时间用于判断标签何时已知，不是预测输入。所有对照共享同一4,640单，避免更换模型的同时更换评价对象。</w:t>
      </w:r>
    </w:p>
    <w:p>
      <w:pPr>
        <w:pStyle w:val="Heading2"/>
        <w:keepLines/>
      </w:pPr>
      <w:r>
        <w:rPr>
          <w:b w:val="0"/>
        </w:rPr>
        <w:t>3.5 用一个数值例子说明H0与混合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2592"/>
        <w:gridCol w:w="5544"/>
      </w:tblGrid>
      <w:tr>
        <w:trPr>
          <w:cantSplit/>
          <w:tblHeader/>
        </w:trPr>
        <w:tc>
          <w:tcPr>
            <w:tcW w:type="dxa" w:w="16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步骤</w:t>
            </w:r>
          </w:p>
        </w:tc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示意值</w:t>
            </w:r>
          </w:p>
        </w:tc>
        <w:tc>
          <w:tcPr>
            <w:tcW w:type="dxa" w:w="55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解释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官方Base</w:t>
            </w:r>
          </w:p>
        </w:tc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100 USDC/BTC</w:t>
            </w:r>
          </w:p>
        </w:tc>
        <w:tc>
          <w:tcPr>
            <w:tcW w:type="dxa" w:w="55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现有定价参照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概率p</w:t>
            </w:r>
          </w:p>
        </w:tc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40%</w:t>
            </w:r>
          </w:p>
        </w:tc>
        <w:tc>
          <w:tcPr>
            <w:tcW w:type="dxa" w:w="55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发生正赔付的估计机会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金额系数c</w:t>
            </w:r>
          </w:p>
        </w:tc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2.0</w:t>
            </w:r>
          </w:p>
        </w:tc>
        <w:tc>
          <w:tcPr>
            <w:tcW w:type="dxa" w:w="55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条件金额为100×2=200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H0</w:t>
            </w:r>
          </w:p>
        </w:tc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80 USDC/BTC</w:t>
            </w:r>
          </w:p>
        </w:tc>
        <w:tc>
          <w:tcPr>
            <w:tcW w:type="dxa" w:w="55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40%×200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Call混合</w:t>
            </w:r>
          </w:p>
        </w:tc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92 USDC/BTC</w:t>
            </w:r>
          </w:p>
        </w:tc>
        <w:tc>
          <w:tcPr>
            <w:tcW w:type="dxa" w:w="55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40%×80＋60%×100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Put混合</w:t>
            </w:r>
          </w:p>
        </w:tc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97 USDC/BTC</w:t>
            </w:r>
          </w:p>
        </w:tc>
        <w:tc>
          <w:tcPr>
            <w:tcW w:type="dxa" w:w="55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15%×80＋85%×100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  <w:spacing w:line="280" w:lineRule="exact" w:after="120"/>
      </w:pPr>
      <w:r>
        <w:rPr>
          <w:b w:val="0"/>
          <w:sz w:val="19"/>
        </w:rPr>
        <w:t>以上只是解释公式的假设例子，不是某笔真实订单或已拟合参数。它说明混合比例控制的是H0相对Base的修正幅度。H0为80、Base为100时，Call只保留20差额的40%，Put只保留15%；如果H0高于Base，同样按这个比例上调。</w:t>
      </w:r>
    </w:p>
    <w:p>
      <w:pPr>
        <w:pStyle w:val="Heading2"/>
        <w:keepLines/>
      </w:pPr>
      <w:r>
        <w:rPr>
          <w:b w:val="0"/>
        </w:rPr>
        <w:t>3.6 这类简单模型的实际价值</w:t>
      </w:r>
    </w:p>
    <w:p>
      <w:pPr>
        <w:keepLines/>
      </w:pPr>
      <w:r>
        <w:rPr>
          <w:b w:val="0"/>
        </w:rPr>
        <w:t>H0的价值在于把历史赔付与官方风险信息连接起来。每次更新能够说明是赔付概率改变，还是正赔付金额系数改变；业务人员可以按方向检查调整是否合理。它也提供了清楚的研究起点：后续探索能固定一个阶段，只考察另外一个阶段或修正强度的增量。</w:t>
      </w:r>
    </w:p>
    <w:p>
      <w:pPr>
        <w:keepLines/>
      </w:pPr>
      <w:r>
        <w:rPr>
          <w:b w:val="0"/>
        </w:rPr>
        <w:t>周更后即使参数不变，新订单的Base、价格位置和60分钟波动仍会改变预测。后续“小时波动响应”实验的目的，是检验金额阶段能否在这一现有响应之外再增加价值。</w:t>
      </w:r>
    </w:p>
    <w:p>
      <w:pPr>
        <w:keepLines/>
        <w:spacing w:line="280" w:lineRule="exact" w:after="120"/>
      </w:pPr>
      <w:r>
        <w:rPr>
          <w:b w:val="0"/>
          <w:sz w:val="19"/>
        </w:rPr>
        <w:t>PPT提炼：讲解时只展示核心公式和一个简短示例。精确特征、逻辑回归参数及异常样本回退规则放入附录C。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14">
        <w:r>
          <w:rPr>
            <w:color w:val="516579"/>
            <w:sz w:val="19"/>
          </w:rPr>
          <w:t>公共组件与运行入口</w:t>
        </w:r>
      </w:hyperlink>
      <w:r>
        <w:t>；</w:t>
      </w:r>
      <w:hyperlink r:id="rId16">
        <w:r>
          <w:rPr>
            <w:color w:val="516579"/>
            <w:sz w:val="19"/>
          </w:rPr>
          <w:t>项目复现说明</w:t>
        </w:r>
      </w:hyperlink>
    </w:p>
    <w:p>
      <w:r>
        <w:br w:type="page"/>
      </w:r>
    </w:p>
    <w:p>
      <w:pPr>
        <w:pStyle w:val="Heading1"/>
        <w:keepLines/>
      </w:pPr>
      <w:r>
        <w:rPr>
          <w:b w:val="0"/>
        </w:rPr>
        <w:t>4 H0成果与关键探索</w:t>
      </w:r>
    </w:p>
    <w:p>
      <w:pPr>
        <w:keepLines/>
        <w:spacing w:line="280" w:lineRule="exact" w:after="120"/>
      </w:pPr>
      <w:r>
        <w:rPr>
          <w:b w:val="0"/>
          <w:sz w:val="19"/>
        </w:rPr>
        <w:t>对应幻灯片7–8  |  先说明增益 再解释研究为何转向混合</w:t>
      </w:r>
    </w:p>
    <w:p>
      <w:pPr>
        <w:pStyle w:val="Heading2"/>
        <w:keepLines/>
      </w:pPr>
      <w:r>
        <w:rPr>
          <w:b w:val="0"/>
        </w:rPr>
        <w:t>4.1 简单H0在5月和6月同时改善两项误差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08"/>
        <w:gridCol w:w="2088"/>
        <w:gridCol w:w="2088"/>
        <w:gridCol w:w="2304"/>
        <w:gridCol w:w="2304"/>
      </w:tblGrid>
      <w:tr>
        <w:trPr>
          <w:cantSplit/>
          <w:tblHeader/>
        </w:trPr>
        <w:tc>
          <w:tcPr>
            <w:tcW w:type="dxa" w:w="100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月份</w:t>
            </w:r>
          </w:p>
        </w:tc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Base RMSE</w:t>
            </w:r>
          </w:p>
        </w:tc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H0 RMSE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RMSE下降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MAE下降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5月</w:t>
            </w:r>
          </w:p>
        </w:tc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246.602</w:t>
            </w:r>
          </w:p>
        </w:tc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244.673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0.78%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4.86%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6月</w:t>
            </w:r>
          </w:p>
        </w:tc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349.129</w:t>
            </w:r>
          </w:p>
        </w:tc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347.268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0.53%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2.48%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</w:pPr>
      <w:r>
        <w:rPr>
          <w:b w:val="0"/>
        </w:rPr>
        <w:t>5月H0的RMSE由Base的246.602降至244.673，MAE由180.138降至171.387；6月RMSE由349.129降至347.268，MAE由187.927降至183.267。新增模型结构较简单，却在这两个验证月份同时改善了大误差与平均绝对误差。</w:t>
      </w:r>
    </w:p>
    <w:p>
      <w:pPr>
        <w:keepLines/>
      </w:pPr>
      <w:r>
        <w:rPr>
          <w:b w:val="0"/>
        </w:rPr>
        <w:t>这一结果支持我们的核心研究主张：即使官方Base已经复杂，利用实际订单历史进行概率和金额校准，仍可能提供有用增量。改善的业务含义来自可解释的赔付结构，而不是模型规模本身。</w:t>
      </w:r>
    </w:p>
    <w:p>
      <w:pPr>
        <w:pStyle w:val="Heading2"/>
        <w:keepLines/>
      </w:pPr>
      <w:r>
        <w:rPr>
          <w:b w:val="0"/>
        </w:rPr>
        <w:t>4.2 分方向与尾部后 改善来源更清楚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68"/>
        <w:gridCol w:w="2016"/>
        <w:gridCol w:w="2016"/>
        <w:gridCol w:w="2592"/>
      </w:tblGrid>
      <w:tr>
        <w:trPr>
          <w:cantSplit/>
          <w:tblHeader/>
        </w:trPr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5–7月月等权RMSE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Base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H0</w:t>
            </w:r>
          </w:p>
        </w:tc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H0相对Base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Call普通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151.653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148.820</w:t>
            </w:r>
          </w:p>
        </w:tc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-1.87%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Call尾部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574.894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597.780</w:t>
            </w:r>
          </w:p>
        </w:tc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3.98%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Put普通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182.731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222.960</w:t>
            </w:r>
          </w:p>
        </w:tc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22.02%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Put尾部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895.593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857.975</w:t>
            </w:r>
          </w:p>
        </w:tc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-4.20%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</w:pPr>
      <w:r>
        <w:rPr>
          <w:b w:val="0"/>
        </w:rPr>
        <w:t>H0对Call普通订单的月等权RMSE改善1.87%，对Put尾部改善4.20%。两类收益并不来自同一个位置：Call更适合保留对普通订单的校准，Put的优势则更集中在大额赔付部分。其他分组出现的代价说明，统一放大H0修正并不一定合适。</w:t>
      </w:r>
    </w:p>
    <w:p>
      <w:pPr>
        <w:pStyle w:val="Heading2"/>
        <w:keepLines/>
      </w:pPr>
      <w:r>
        <w:rPr>
          <w:b w:val="0"/>
        </w:rPr>
        <w:t>4.3 7月推动研究关注修正强度</w:t>
      </w:r>
    </w:p>
    <w:p>
      <w:pPr>
        <w:keepLines/>
      </w:pPr>
      <w:r>
        <w:rPr>
          <w:b w:val="0"/>
        </w:rPr>
        <w:t>7月H0的RMSE为293.208，Base为275.384。研究因此转向一个更具体的问题：如何保留H0已经有效的部分，同时减少某些时期、某些订单组中过强的修正？我们依次检验加快历史学习、增加即时市场响应，以及根据状态或历史误差调节依赖程度。</w:t>
      </w:r>
    </w:p>
    <w:p>
      <w:pPr>
        <w:keepLines/>
        <w:spacing w:line="280" w:lineRule="exact" w:after="120"/>
      </w:pPr>
      <w:r>
        <w:rPr>
          <w:b w:val="0"/>
          <w:sz w:val="19"/>
        </w:rPr>
        <w:t>PPT提炼：用分月折线展示H0的5–6月成果，再用四组柱状图说明Call普通与Put尾部的不同收益位置。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17">
        <w:r>
          <w:rPr>
            <w:color w:val="516579"/>
            <w:sz w:val="19"/>
          </w:rPr>
          <w:t>分月成绩</w:t>
        </w:r>
      </w:hyperlink>
      <w:r>
        <w:t>；</w:t>
      </w:r>
      <w:hyperlink r:id="rId18">
        <w:r>
          <w:rPr>
            <w:color w:val="516579"/>
            <w:sz w:val="19"/>
          </w:rPr>
          <w:t>月等权分组</w:t>
        </w:r>
      </w:hyperlink>
    </w:p>
    <w:p>
      <w:r>
        <w:br w:type="page"/>
      </w:r>
    </w:p>
    <w:p>
      <w:pPr>
        <w:pStyle w:val="Heading2"/>
        <w:keepLines/>
      </w:pPr>
      <w:r>
        <w:rPr>
          <w:b w:val="0"/>
        </w:rPr>
        <w:t>4 H0成果与关键探索 续</w:t>
      </w:r>
    </w:p>
    <w:p>
      <w:pPr>
        <w:keepLines/>
        <w:spacing w:line="280" w:lineRule="exact" w:after="120"/>
      </w:pPr>
      <w:r>
        <w:rPr>
          <w:b w:val="0"/>
          <w:sz w:val="19"/>
        </w:rPr>
        <w:t>为什么最后选择简单有限混合</w:t>
      </w:r>
    </w:p>
    <w:p>
      <w:pPr>
        <w:pStyle w:val="Heading2"/>
        <w:keepLines/>
      </w:pPr>
      <w:r>
        <w:rPr>
          <w:b w:val="0"/>
        </w:rPr>
        <w:t>4.4 三类增强方案检验了什么</w:t>
      </w:r>
    </w:p>
    <w:p>
      <w:pPr>
        <w:keepLines/>
      </w:pPr>
      <w:r>
        <w:rPr>
          <w:b w:val="0"/>
        </w:rPr>
        <w:t>时间衰减提高近期已结算订单的权重，检验旧样本是否造成滞后；小时响应固定H0原概率，在金额阶段增加Call上行、Put下行的短周期波动信号，检验即时状态是否能补充金额估计。动态回退进一步观察当前市场是否偏离历史，或根据已经结算的历史预测误差决定H0权重。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4896"/>
        <w:gridCol w:w="3096"/>
      </w:tblGrid>
      <w:tr>
        <w:trPr>
          <w:cantSplit/>
          <w:tblHeader/>
        </w:trPr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研究方向</w:t>
            </w:r>
          </w:p>
        </w:tc>
        <w:tc>
          <w:tcPr>
            <w:tcW w:type="dxa" w:w="48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代表设置</w:t>
            </w:r>
          </w:p>
        </w:tc>
        <w:tc>
          <w:tcPr>
            <w:tcW w:type="dxa" w:w="30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月等权RMSE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共同参照</w:t>
            </w:r>
          </w:p>
        </w:tc>
        <w:tc>
          <w:tcPr>
            <w:tcW w:type="dxa" w:w="48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Base／H0</w:t>
            </w:r>
          </w:p>
        </w:tc>
        <w:tc>
          <w:tcPr>
            <w:tcW w:type="dxa" w:w="30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293.564／298.010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更快学习</w:t>
            </w:r>
          </w:p>
        </w:tc>
        <w:tc>
          <w:tcPr>
            <w:tcW w:type="dxa" w:w="48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7日／14日半衰期</w:t>
            </w:r>
          </w:p>
        </w:tc>
        <w:tc>
          <w:tcPr>
            <w:tcW w:type="dxa" w:w="30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299.008／297.965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小时响应</w:t>
            </w:r>
          </w:p>
        </w:tc>
        <w:tc>
          <w:tcPr>
            <w:tcW w:type="dxa" w:w="48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水平／水平＋速度／门控</w:t>
            </w:r>
          </w:p>
        </w:tc>
        <w:tc>
          <w:tcPr>
            <w:tcW w:type="dxa" w:w="30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298.035／298.124／298.010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动态混合</w:t>
            </w:r>
          </w:p>
        </w:tc>
        <w:tc>
          <w:tcPr>
            <w:tcW w:type="dxa" w:w="48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市场状态／历史误差／二者组合</w:t>
            </w:r>
          </w:p>
        </w:tc>
        <w:tc>
          <w:tcPr>
            <w:tcW w:type="dxa" w:w="30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297.712／296.200／296.050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动态选网格</w:t>
            </w:r>
          </w:p>
        </w:tc>
        <w:tc>
          <w:tcPr>
            <w:tcW w:type="dxa" w:w="48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14日／30日已结算误差窗</w:t>
            </w:r>
          </w:p>
        </w:tc>
        <w:tc>
          <w:tcPr>
            <w:tcW w:type="dxa" w:w="30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299.037／296.239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固定混合</w:t>
            </w:r>
          </w:p>
        </w:tc>
        <w:tc>
          <w:tcPr>
            <w:tcW w:type="dxa" w:w="48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Call与Put均50% H0</w:t>
            </w:r>
          </w:p>
        </w:tc>
        <w:tc>
          <w:tcPr>
            <w:tcW w:type="dxa" w:w="30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293.715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分方向粗网格</w:t>
            </w:r>
          </w:p>
        </w:tc>
        <w:tc>
          <w:tcPr>
            <w:tcW w:type="dxa" w:w="48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Call50%／Put25% H0</w:t>
            </w:r>
          </w:p>
        </w:tc>
        <w:tc>
          <w:tcPr>
            <w:tcW w:type="dxa" w:w="30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293.115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分方向细网格</w:t>
            </w:r>
          </w:p>
        </w:tc>
        <w:tc>
          <w:tcPr>
            <w:tcW w:type="dxa" w:w="48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Call40%／Put15% H0</w:t>
            </w:r>
          </w:p>
        </w:tc>
        <w:tc>
          <w:tcPr>
            <w:tcW w:type="dxa" w:w="30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293.048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</w:pPr>
      <w:r>
        <w:rPr>
          <w:b w:val="0"/>
        </w:rPr>
        <w:t>时间衰减和小时响应的整体增量较小；历史误差驱动的动态混合改善了H0，但仍未达到Base的月等权RMSE。相比之下，两方向均50%的固定混合已经把H0的298.010降至293.715，显示控制校准幅度本身有价值。</w:t>
      </w:r>
    </w:p>
    <w:p>
      <w:pPr>
        <w:pStyle w:val="Heading2"/>
        <w:keepLines/>
      </w:pPr>
      <w:r>
        <w:rPr>
          <w:b w:val="0"/>
        </w:rPr>
        <w:t>4.5 从结果得到的研究判断</w:t>
      </w:r>
    </w:p>
    <w:p>
      <w:pPr>
        <w:keepLines/>
      </w:pPr>
      <w:r>
        <w:rPr>
          <w:b w:val="0"/>
        </w:rPr>
        <w:t>上述结果支持把后续重点放在“怎样保留有效修正”，而不是继续增加即时响应机制。H0与Base的误差模式并不完全相同，因此适度混合可能比完全采用H0更合适。Call和Put的收益与代价不同，又给分方向比例提供了明确依据。</w:t>
      </w:r>
    </w:p>
    <w:p>
      <w:pPr>
        <w:keepLines/>
        <w:spacing w:line="280" w:lineRule="exact" w:after="120"/>
      </w:pPr>
      <w:r>
        <w:rPr>
          <w:b w:val="0"/>
          <w:sz w:val="19"/>
        </w:rPr>
        <w:t>我们先使用0%、25%、50%、75%、100%的粗网格，得到Call50%／Put25%的候选，再在附近以5个百分点细化，形成Call40%／Put15%。粗细网格合计86种不同固定比例；连同其他11种设置，当前统一比较共97个配置。完整代表成绩与设置见附录C。</w:t>
      </w:r>
    </w:p>
    <w:p>
      <w:pPr>
        <w:keepLines/>
        <w:spacing w:line="280" w:lineRule="exact" w:after="120"/>
      </w:pPr>
      <w:r>
        <w:rPr>
          <w:b w:val="0"/>
          <w:sz w:val="19"/>
        </w:rPr>
        <w:t>PPT提炼：研究路径应突出每一步回答的问题和由此作出的判断。PPT正文保留各类代表结果，完整数字放备用页。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19">
        <w:r>
          <w:rPr>
            <w:color w:val="516579"/>
            <w:sz w:val="19"/>
          </w:rPr>
          <w:t>统一探索结果</w:t>
        </w:r>
      </w:hyperlink>
      <w:r>
        <w:t>；</w:t>
      </w:r>
      <w:hyperlink r:id="rId20">
        <w:r>
          <w:rPr>
            <w:color w:val="516579"/>
            <w:sz w:val="19"/>
          </w:rPr>
          <w:t>97配置成绩</w:t>
        </w:r>
      </w:hyperlink>
    </w:p>
    <w:p>
      <w:r>
        <w:br w:type="page"/>
      </w:r>
    </w:p>
    <w:p>
      <w:pPr>
        <w:pStyle w:val="Heading1"/>
        <w:keepLines/>
      </w:pPr>
      <w:r>
        <w:rPr>
          <w:b w:val="0"/>
        </w:rPr>
        <w:t>5 分方向混合与外部公告</w:t>
      </w:r>
    </w:p>
    <w:p>
      <w:pPr>
        <w:keepLines/>
        <w:spacing w:line="280" w:lineRule="exact" w:after="120"/>
      </w:pPr>
      <w:r>
        <w:rPr>
          <w:b w:val="0"/>
          <w:sz w:val="19"/>
        </w:rPr>
        <w:t>对应幻灯片9–10  |  先解释最终候选 再展示外部信息探索</w:t>
      </w:r>
    </w:p>
    <w:p>
      <w:pPr>
        <w:pStyle w:val="Heading2"/>
        <w:keepLines/>
      </w:pPr>
      <w:r>
        <w:rPr>
          <w:b w:val="0"/>
        </w:rPr>
        <w:t>5.1 混合就是对H0修正幅度做收缩</w:t>
      </w:r>
    </w:p>
    <w:p>
      <w:pPr>
        <w:keepLines/>
        <w:spacing w:before="120" w:after="180"/>
        <w:jc w:val="center"/>
      </w:pPr>
      <w:r>
        <w:rPr>
          <w:rFonts w:ascii="Cambria" w:hAnsi="Cambria"/>
          <w:b w:val="0"/>
          <w:sz w:val="25"/>
        </w:rPr>
        <w:t>混合预测 = α方向 × H0 + (1 − α方向) × Base</w:t>
      </w:r>
    </w:p>
    <w:p>
      <w:pPr>
        <w:keepLines/>
        <w:spacing w:before="120" w:after="180"/>
        <w:jc w:val="center"/>
      </w:pPr>
      <w:r>
        <w:rPr>
          <w:rFonts w:ascii="Cambria" w:hAnsi="Cambria"/>
          <w:b w:val="0"/>
          <w:sz w:val="25"/>
        </w:rPr>
        <w:t>等价写法：混合预测 = Base + α方向 × (H0 − Base)</w:t>
      </w:r>
    </w:p>
    <w:p>
      <w:pPr>
        <w:keepLines/>
      </w:pPr>
      <w:r>
        <w:rPr>
          <w:b w:val="0"/>
        </w:rPr>
        <w:t>Call采用40%的H0权重，Put采用15%。它们对应保留H0相对Base修正幅度的40%和15%，其余仍由Base主导。整个验证期使用同一组固定比例，H0内部参数每7日更新。Put保留更多Base，有助于控制普通订单的金额修正代价。</w:t>
      </w:r>
    </w:p>
    <w:p>
      <w:pPr>
        <w:pStyle w:val="Heading2"/>
        <w:keepLines/>
      </w:pPr>
      <w:r>
        <w:rPr>
          <w:b w:val="0"/>
        </w:rPr>
        <w:t>5.2 整体结果与方向结果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2304"/>
        <w:gridCol w:w="2304"/>
        <w:gridCol w:w="2304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模型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月等权RMSE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月等权MAE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逐单RMSE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Base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293.564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184.440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295.150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H0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298.010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186.263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303.532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混合40%／15%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293.048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183.558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295.614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</w:pPr>
      <w:r>
        <w:rPr>
          <w:b w:val="0"/>
        </w:rPr>
        <w:t>在5–7月月等权口径下，混合相对Base的RMSE下降0.176%，MAE下降0.478%。相对完全采用H0，月等权RMSE下降约1.67%，体现了有限混合对过强修正的控制作用。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52"/>
        <w:gridCol w:w="3168"/>
        <w:gridCol w:w="3168"/>
        <w:gridCol w:w="2304"/>
      </w:tblGrid>
      <w:tr>
        <w:trPr>
          <w:cantSplit/>
          <w:tblHeader/>
        </w:trPr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Base月等权RMSE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混合月等权RMSE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下降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Call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231.455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230.811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0.28%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Put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379.673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379.145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0.14%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</w:pPr>
      <w:r>
        <w:rPr>
          <w:b w:val="0"/>
        </w:rPr>
        <w:t>分方向后，Call、Put的月等权总体RMSE都略优于Base。7月混合RMSE为278.491，相对Base的差距由H0的17.823缩至3.106，收窄约82.6%。这说明有限混合在保留前两月改善的同时，明显缓和了7月H0误差扩大。</w:t>
      </w:r>
    </w:p>
    <w:p>
      <w:pPr>
        <w:pStyle w:val="Heading2"/>
        <w:keepLines/>
      </w:pPr>
      <w:r>
        <w:rPr>
          <w:b w:val="0"/>
        </w:rPr>
        <w:t>5.3 面向业务的模型解释</w:t>
      </w:r>
    </w:p>
    <w:p>
      <w:pPr>
        <w:keepLines/>
      </w:pPr>
      <w:r>
        <w:rPr>
          <w:b w:val="0"/>
        </w:rPr>
        <w:t>最终候选保留Base作为主参照，以较小、方向不同的幅度吸收历史赔付信息。报价变化可以拆回“原Base、H0给出的校准、最终保留比例”，便于业务复核。比例对应当前验证选择；其意义是说明方向差异需要被管理，而不是给所有时期预设相同幅度的调整。</w:t>
      </w:r>
    </w:p>
    <w:p>
      <w:pPr>
        <w:keepLines/>
        <w:spacing w:line="280" w:lineRule="exact" w:after="120"/>
      </w:pPr>
      <w:r>
        <w:rPr>
          <w:b w:val="0"/>
          <w:sz w:val="19"/>
        </w:rPr>
        <w:t>PPT提炼：主图采用三模型成绩与分月折线，明确40%／15%指H0权重。完整双口径结果见附录A。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20">
        <w:r>
          <w:rPr>
            <w:color w:val="516579"/>
            <w:sz w:val="19"/>
          </w:rPr>
          <w:t>总体成绩</w:t>
        </w:r>
      </w:hyperlink>
      <w:r>
        <w:t>；</w:t>
      </w:r>
      <w:hyperlink r:id="rId18">
        <w:r>
          <w:rPr>
            <w:color w:val="516579"/>
            <w:sz w:val="19"/>
          </w:rPr>
          <w:t>方向成绩</w:t>
        </w:r>
      </w:hyperlink>
    </w:p>
    <w:p>
      <w:r>
        <w:br w:type="page"/>
      </w:r>
    </w:p>
    <w:p>
      <w:pPr>
        <w:pStyle w:val="Heading2"/>
        <w:keepLines/>
      </w:pPr>
      <w:r>
        <w:rPr>
          <w:b w:val="0"/>
        </w:rPr>
        <w:t>5 分方向混合与外部公告 续</w:t>
      </w:r>
    </w:p>
    <w:p>
      <w:pPr>
        <w:keepLines/>
        <w:spacing w:line="280" w:lineRule="exact" w:after="120"/>
      </w:pPr>
      <w:r>
        <w:rPr>
          <w:b w:val="0"/>
          <w:sz w:val="19"/>
        </w:rPr>
        <w:t>一个提前可知的外部风险信号</w:t>
      </w:r>
    </w:p>
    <w:p>
      <w:pPr>
        <w:pStyle w:val="Heading2"/>
        <w:keepLines/>
      </w:pPr>
      <w:r>
        <w:rPr>
          <w:b w:val="0"/>
        </w:rPr>
        <w:t>5.4 从内部数据拓展到外部事件</w:t>
      </w:r>
    </w:p>
    <w:p>
      <w:pPr>
        <w:keepLines/>
      </w:pPr>
      <w:r>
        <w:rPr>
          <w:b w:val="0"/>
        </w:rPr>
        <w:t>原有订单与BTC行情主要描述合同条件和已经发生的市场变化。CPI、非农和FOMC的公开日程补充了另一类信息：未来何时可能有重要消息发布。公告分支的主要工作，是搜集、核对并维护这些外部数据，扩大模型可使用的信息维度。</w:t>
      </w:r>
    </w:p>
    <w:p>
      <w:pPr>
        <w:keepLines/>
      </w:pPr>
      <w:r>
        <w:rPr>
          <w:b w:val="0"/>
        </w:rPr>
        <w:t>我们将官方发布页与日程表整理为独立数据集，保存事件类别、计划时刻、来源、预告证据和版本。当前冻结版本有82条日程、65个主要事件；同场FOMC声明与记者会保留各自时刻，但合为一个事件。数据与订单分开维护，可供后续模型重复使用。</w:t>
      </w:r>
    </w:p>
    <w:p>
      <w:pPr>
        <w:pStyle w:val="Heading2"/>
        <w:keepLines/>
      </w:pPr>
      <w:r>
        <w:rPr>
          <w:b w:val="0"/>
        </w:rPr>
        <w:t>5.5 把公开日程转为报价时可用数据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4608"/>
        <w:gridCol w:w="3312"/>
      </w:tblGrid>
      <w:tr>
        <w:trPr>
          <w:cantSplit/>
          <w:tblHeader/>
        </w:trPr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数据环节</w:t>
            </w:r>
          </w:p>
        </w:tc>
        <w:tc>
          <w:tcPr>
            <w:tcW w:type="dxa" w:w="460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处理方式</w:t>
            </w:r>
          </w:p>
        </w:tc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形成的能力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搜集与核对</w:t>
            </w:r>
          </w:p>
        </w:tc>
        <w:tc>
          <w:tcPr>
            <w:tcW w:type="dxa" w:w="460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官方日程、发布页与历史预告证据</w:t>
            </w:r>
          </w:p>
        </w:tc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可追溯的事件记录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时间与版本</w:t>
            </w:r>
          </w:p>
        </w:tc>
        <w:tc>
          <w:tcPr>
            <w:tcW w:type="dxa" w:w="460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纽约时区转UTC；保留改期证据和快照</w:t>
            </w:r>
          </w:p>
        </w:tc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统一对齐并复现历史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报价时点可知性</w:t>
            </w:r>
          </w:p>
        </w:tc>
        <w:tc>
          <w:tcPr>
            <w:tcW w:type="dxa" w:w="460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只使用当时已预告的事件</w:t>
            </w:r>
          </w:p>
        </w:tc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防止事后日程进入预测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</w:pPr>
      <w:r>
        <w:rPr>
          <w:b w:val="0"/>
        </w:rPr>
        <w:t>关键不只是取得日期，还要判断某笔报价当时能否知道这场公告。我们用known_by记录最迟可确认公开的证据时间，只有预告在报价前已公开才允许使用；未知事件不补入。来源、时区、改期证据和冻结版本共同构成可追溯的数据处理链路。</w:t>
      </w:r>
    </w:p>
    <w:p>
      <w:pPr>
        <w:pStyle w:val="Heading2"/>
        <w:keepLines/>
      </w:pPr>
      <w:r>
        <w:rPr>
          <w:b w:val="0"/>
        </w:rPr>
        <w:t>5.6 用保守规则检验数据接入</w:t>
      </w:r>
    </w:p>
    <w:p>
      <w:pPr>
        <w:keepLines/>
      </w:pPr>
      <w:r>
        <w:rPr>
          <w:b w:val="0"/>
        </w:rPr>
        <w:t>接入检验采用固定小额规则：单场最高加1%，随临近发布增强，发布后60分钟归零，多场相加最多5%。4,640单中1,234单加价≥0.1%。月等权RMSE由293.564变为293.557，MAE由184.440变为184.489；完整结果保留在附录E。</w:t>
      </w:r>
    </w:p>
    <w:p>
      <w:pPr>
        <w:keepLines/>
      </w:pPr>
      <w:r>
        <w:rPr>
          <w:b w:val="0"/>
        </w:rPr>
        <w:t>本分支的主要产出是独立公告数据集、历史可知性检查和统一模型接口。小额修正完成了从外部信息到报价、再到公平评价的流程验证。后续可以在同一数据基础上研究事件类别、公告前后阶段与合同期限的关系，无需重新建设来源与时间对齐流程。</w:t>
      </w:r>
    </w:p>
    <w:p>
      <w:pPr>
        <w:keepLines/>
        <w:spacing w:line="280" w:lineRule="exact" w:after="120"/>
      </w:pPr>
      <w:r>
        <w:rPr>
          <w:b w:val="0"/>
          <w:sz w:val="19"/>
        </w:rPr>
        <w:t>PPT提炼：展示“官方来源→日程整理→时区与预告证据→报价时点过滤→模型接入”的流程。以数据维度拓展为结论，效果表放备用页。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21">
        <w:r>
          <w:rPr>
            <w:color w:val="516579"/>
            <w:sz w:val="19"/>
          </w:rPr>
          <w:t>日历与历史公开证据</w:t>
        </w:r>
      </w:hyperlink>
      <w:r>
        <w:t>；</w:t>
      </w:r>
      <w:hyperlink r:id="rId22">
        <w:r>
          <w:rPr>
            <w:color w:val="516579"/>
            <w:sz w:val="19"/>
          </w:rPr>
          <w:t>叠加规则与实际触发</w:t>
        </w:r>
      </w:hyperlink>
    </w:p>
    <w:p>
      <w:r>
        <w:br w:type="page"/>
      </w:r>
    </w:p>
    <w:p>
      <w:pPr>
        <w:pStyle w:val="Heading1"/>
        <w:keepLines/>
      </w:pPr>
      <w:r>
        <w:rPr>
          <w:b w:val="0"/>
        </w:rPr>
        <w:t>6 商业建议与结论</w:t>
      </w:r>
    </w:p>
    <w:p>
      <w:pPr>
        <w:keepLines/>
        <w:spacing w:line="280" w:lineRule="exact" w:after="120"/>
      </w:pPr>
      <w:r>
        <w:rPr>
          <w:b w:val="0"/>
          <w:sz w:val="19"/>
        </w:rPr>
        <w:t>对应幻灯片11–12  |  先总结成果 最后说明测试期检验</w:t>
      </w:r>
    </w:p>
    <w:p>
      <w:pPr>
        <w:pStyle w:val="Heading2"/>
        <w:keepLines/>
      </w:pPr>
      <w:r>
        <w:rPr>
          <w:b w:val="0"/>
        </w:rPr>
        <w:t>6.1 把可解释校准用于报价管理</w:t>
      </w:r>
    </w:p>
    <w:p>
      <w:pPr>
        <w:keepLines/>
      </w:pPr>
      <w:r>
        <w:rPr>
          <w:b w:val="0"/>
        </w:rPr>
        <w:t>建议保留Base作为定价参照，将H0作为解释历史赔付偏差的简单工具，通过Call与Put不同的混合比例控制实际修正幅度。业务评估可先记录影子报价，对每笔订单并列保存Base、H0、混合值以及概率和条件金额，持续观察实际结算后的偏差。</w:t>
      </w:r>
    </w:p>
    <w:p>
      <w:pPr>
        <w:keepLines/>
      </w:pPr>
      <w:r>
        <w:rPr>
          <w:b w:val="0"/>
        </w:rPr>
        <w:t>监测应分为Call普通、Call尾部、Put普通和Put尾部，避免总体均值掩盖不同订单的收益。现金层同时报告净金额偏差和逐单累计少估；后续若取得曝光、未成交报价、实际收费与费用数据，再把预测质量与转化率、经营结果连接起来。</w:t>
      </w:r>
    </w:p>
    <w:p>
      <w:pPr>
        <w:pStyle w:val="Heading2"/>
        <w:keepLines/>
      </w:pPr>
      <w:r>
        <w:rPr>
          <w:b w:val="0"/>
        </w:rPr>
        <w:t>6.2 本轮研究已经取得的成果</w:t>
      </w:r>
    </w:p>
    <w:p>
      <w:pPr>
        <w:keepLines/>
      </w:pPr>
      <w:r>
        <w:rPr>
          <w:b w:val="0"/>
        </w:rPr>
        <w:t>H0证明了简单校准层的价值。在同一时间顺序下，它在5月和6月同时降低RMSE与MAE，说明小规模模型能够在这些验证月份超过已有复杂定价信息的官方Base。</w:t>
      </w:r>
    </w:p>
    <w:p>
      <w:pPr>
        <w:keepLines/>
      </w:pPr>
      <w:r>
        <w:rPr>
          <w:b w:val="0"/>
        </w:rPr>
        <w:t>Call与Put的收益位置不同：H0对Call普通订单和Put尾部的月等权RMSE分别改善1.87%和4.20%。分方向混合进一步使两方向的月等权总体RMSE都略优于Base，并将7月相对Base的RMSE差距收窄约82.6%。</w:t>
      </w:r>
    </w:p>
    <w:p>
      <w:pPr>
        <w:keepLines/>
      </w:pPr>
      <w:r>
        <w:rPr>
          <w:b w:val="0"/>
        </w:rPr>
        <w:t>关键探索形成了一条有依据的路线：先建立可解释两阶段校准，再检验加快学习、小时响应和动态选择，最终采用有限混合保留有效部分。公告分支则展示了外部数据搜集、证据核对和时间对齐的过程，把模型信息从合同与历史行情拓展到提前可知的事件日程。</w:t>
      </w:r>
    </w:p>
    <w:p>
      <w:pPr>
        <w:pStyle w:val="Heading2"/>
        <w:keepLines/>
      </w:pPr>
      <w:r>
        <w:rPr>
          <w:b w:val="0"/>
        </w:rPr>
        <w:t>6.3 混合优势需要由未参与选择的测试期确认</w:t>
      </w:r>
    </w:p>
    <w:p>
      <w:pPr>
        <w:keepLines/>
        <w:spacing w:line="280" w:lineRule="exact" w:after="120"/>
      </w:pPr>
      <w:r>
        <w:rPr>
          <w:b w:val="0"/>
          <w:sz w:val="19"/>
        </w:rPr>
        <w:t>当前5–7月均为已见滚动验证。混合的改善主要体现在月等权口径，全期逐单RMSE为295.614，Base为295.150；混合相对Base的月等权RMSE差为−0.516，7日块95%区间为[−1.994，0.844]，仍跨过0。Call净金额偏差绝对值扩大10.81%，完整工作风险条件尚未全部通过。这些结果支持保留研究路线，但混合的测试期优势仍待验证。</w:t>
      </w:r>
    </w:p>
    <w:p>
      <w:pPr>
        <w:keepLines/>
        <w:spacing w:line="280" w:lineRule="exact" w:after="120"/>
      </w:pPr>
      <w:r>
        <w:rPr>
          <w:b w:val="0"/>
          <w:sz w:val="19"/>
        </w:rPr>
        <w:t>公告规则的月等权RMSE差为−0.007，7日块95%区间为[−0.046，0.019]，增益尚不确定；单场修正达到0.1%以上的独立事件只有6个。正式测试还需明确标签反馈条件：H0周更依赖已结算赔付，若官方不反馈标签，应另验冻结参数运行。样本与风险细节见附录F。</w:t>
      </w:r>
    </w:p>
    <w:p>
      <w:pPr>
        <w:keepLines/>
        <w:spacing w:line="280" w:lineRule="exact" w:after="120"/>
      </w:pPr>
      <w:r>
        <w:rPr>
          <w:b w:val="0"/>
          <w:sz w:val="19"/>
        </w:rPr>
        <w:t>PPT提炼：结尾先强调H0与分方向处理的实际成果，再用一句话说明混合模型仍需独立测试确认。详细统计留在答疑附录。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23">
        <w:r>
          <w:rPr>
            <w:color w:val="516579"/>
            <w:sz w:val="19"/>
          </w:rPr>
          <w:t>风险条件</w:t>
        </w:r>
      </w:hyperlink>
      <w:r>
        <w:t>；</w:t>
      </w:r>
      <w:hyperlink r:id="rId24">
        <w:r>
          <w:rPr>
            <w:color w:val="516579"/>
            <w:sz w:val="19"/>
          </w:rPr>
          <w:t>抽样区间</w:t>
        </w:r>
      </w:hyperlink>
    </w:p>
    <w:p>
      <w:r>
        <w:br w:type="page"/>
      </w:r>
    </w:p>
    <w:p>
      <w:pPr>
        <w:pStyle w:val="Heading1"/>
        <w:keepLines/>
      </w:pPr>
      <w:r>
        <w:rPr>
          <w:b w:val="0"/>
        </w:rPr>
        <w:t>附录A 总体与分月成绩</w:t>
      </w:r>
    </w:p>
    <w:p>
      <w:pPr>
        <w:keepLines/>
        <w:spacing w:line="280" w:lineRule="exact" w:after="120"/>
      </w:pPr>
      <w:r>
        <w:rPr>
          <w:b w:val="0"/>
          <w:sz w:val="19"/>
        </w:rPr>
        <w:t>PPT取数表  |  所有误差单位均为USDC/BTC  |  数字保留三位小数</w:t>
      </w:r>
    </w:p>
    <w:p>
      <w:pPr>
        <w:pStyle w:val="Heading2"/>
        <w:keepLines/>
      </w:pPr>
      <w:r>
        <w:rPr>
          <w:b w:val="0"/>
        </w:rPr>
        <w:t>A1 三模型完整分月成绩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"/>
        <w:gridCol w:w="2880"/>
        <w:gridCol w:w="1440"/>
        <w:gridCol w:w="2232"/>
        <w:gridCol w:w="2304"/>
      </w:tblGrid>
      <w:tr>
        <w:trPr>
          <w:cantSplit/>
          <w:tblHeader/>
        </w:trPr>
        <w:tc>
          <w:tcPr>
            <w:tcW w:type="dxa" w:w="9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月份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模型</w:t>
            </w:r>
          </w:p>
        </w:tc>
        <w:tc>
          <w:tcPr>
            <w:tcW w:type="dxa" w:w="144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订单数</w:t>
            </w:r>
          </w:p>
        </w:tc>
        <w:tc>
          <w:tcPr>
            <w:tcW w:type="dxa" w:w="22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RMSE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MAE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5月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Base</w:t>
            </w:r>
          </w:p>
        </w:tc>
        <w:tc>
          <w:tcPr>
            <w:tcW w:type="dxa" w:w="144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726</w:t>
            </w:r>
          </w:p>
        </w:tc>
        <w:tc>
          <w:tcPr>
            <w:tcW w:type="dxa" w:w="22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246.602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180.138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5月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H0</w:t>
            </w:r>
          </w:p>
        </w:tc>
        <w:tc>
          <w:tcPr>
            <w:tcW w:type="dxa" w:w="144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726</w:t>
            </w:r>
          </w:p>
        </w:tc>
        <w:tc>
          <w:tcPr>
            <w:tcW w:type="dxa" w:w="22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244.673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171.387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5月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混合40%／15%</w:t>
            </w:r>
          </w:p>
        </w:tc>
        <w:tc>
          <w:tcPr>
            <w:tcW w:type="dxa" w:w="144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726</w:t>
            </w:r>
          </w:p>
        </w:tc>
        <w:tc>
          <w:tcPr>
            <w:tcW w:type="dxa" w:w="22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244.999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177.658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6月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Base</w:t>
            </w:r>
          </w:p>
        </w:tc>
        <w:tc>
          <w:tcPr>
            <w:tcW w:type="dxa" w:w="144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1373</w:t>
            </w:r>
          </w:p>
        </w:tc>
        <w:tc>
          <w:tcPr>
            <w:tcW w:type="dxa" w:w="22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349.129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187.927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6月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H0</w:t>
            </w:r>
          </w:p>
        </w:tc>
        <w:tc>
          <w:tcPr>
            <w:tcW w:type="dxa" w:w="144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1373</w:t>
            </w:r>
          </w:p>
        </w:tc>
        <w:tc>
          <w:tcPr>
            <w:tcW w:type="dxa" w:w="22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347.268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183.267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6月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混合40%／15%</w:t>
            </w:r>
          </w:p>
        </w:tc>
        <w:tc>
          <w:tcPr>
            <w:tcW w:type="dxa" w:w="144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1373</w:t>
            </w:r>
          </w:p>
        </w:tc>
        <w:tc>
          <w:tcPr>
            <w:tcW w:type="dxa" w:w="22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346.482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183.805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7月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Base</w:t>
            </w:r>
          </w:p>
        </w:tc>
        <w:tc>
          <w:tcPr>
            <w:tcW w:type="dxa" w:w="144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2541</w:t>
            </w:r>
          </w:p>
        </w:tc>
        <w:tc>
          <w:tcPr>
            <w:tcW w:type="dxa" w:w="22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275.384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185.254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7月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H0</w:t>
            </w:r>
          </w:p>
        </w:tc>
        <w:tc>
          <w:tcPr>
            <w:tcW w:type="dxa" w:w="144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2541</w:t>
            </w:r>
          </w:p>
        </w:tc>
        <w:tc>
          <w:tcPr>
            <w:tcW w:type="dxa" w:w="22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293.208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204.135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7月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混合40%／15%</w:t>
            </w:r>
          </w:p>
        </w:tc>
        <w:tc>
          <w:tcPr>
            <w:tcW w:type="dxa" w:w="144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2541</w:t>
            </w:r>
          </w:p>
        </w:tc>
        <w:tc>
          <w:tcPr>
            <w:tcW w:type="dxa" w:w="22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278.491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189.211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pStyle w:val="Heading2"/>
        <w:keepLines/>
      </w:pPr>
      <w:r>
        <w:rPr>
          <w:b w:val="0"/>
        </w:rPr>
        <w:t>A2 跨月与逐单口径并列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92"/>
        <w:gridCol w:w="1800"/>
        <w:gridCol w:w="1800"/>
        <w:gridCol w:w="1800"/>
        <w:gridCol w:w="1800"/>
      </w:tblGrid>
      <w:tr>
        <w:trPr>
          <w:cantSplit/>
          <w:tblHeader/>
        </w:trPr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模型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月等权</w:t>
              <w:br/>
              <w:t>RMSE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月等权</w:t>
              <w:br/>
              <w:t>MAE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逐单</w:t>
              <w:br/>
              <w:t>RMSE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逐单</w:t>
              <w:br/>
              <w:t>MAE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Base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293.564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184.440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295.150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185.245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H0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298.010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186.263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303.532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192.836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混合40%／15%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293.048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183.558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295.614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185.804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pStyle w:val="Heading2"/>
        <w:keepLines/>
      </w:pPr>
      <w:r>
        <w:rPr>
          <w:b w:val="0"/>
        </w:rPr>
        <w:t>A3 可直接用于图表标注的改善幅度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84"/>
        <w:gridCol w:w="2304"/>
        <w:gridCol w:w="2304"/>
      </w:tblGrid>
      <w:tr>
        <w:trPr>
          <w:cantSplit/>
          <w:tblHeader/>
        </w:trPr>
        <w:tc>
          <w:tcPr>
            <w:tcW w:type="dxa" w:w="51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比较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RMSE下降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MAE下降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5月 H0相对Base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0.78%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4.86%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6月 H0相对Base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0.53%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2.48%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月等权 混合相对Base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0.176%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0.478%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  <w:spacing w:line="280" w:lineRule="exact" w:after="120"/>
      </w:pPr>
      <w:r>
        <w:rPr>
          <w:b w:val="0"/>
          <w:sz w:val="19"/>
        </w:rPr>
        <w:t>改善率＝1−候选误差／参照误差；正值表示下降。7月“差距收窄82.6%”计算为1−(278.490915−275.384463)／(293.207624−275.384463)，不是混合相对Base的误差下降82.6%。使用未四舍五入数值计算百分比。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17">
        <w:r>
          <w:rPr>
            <w:color w:val="516579"/>
            <w:sz w:val="19"/>
          </w:rPr>
          <w:t>分月原表</w:t>
        </w:r>
      </w:hyperlink>
      <w:r>
        <w:t>；</w:t>
      </w:r>
      <w:hyperlink r:id="rId20">
        <w:r>
          <w:rPr>
            <w:color w:val="516579"/>
            <w:sz w:val="19"/>
          </w:rPr>
          <w:t>总体原表</w:t>
        </w:r>
      </w:hyperlink>
    </w:p>
    <w:p>
      <w:r>
        <w:br w:type="page"/>
      </w:r>
    </w:p>
    <w:p>
      <w:pPr>
        <w:pStyle w:val="Heading1"/>
        <w:keepLines/>
      </w:pPr>
      <w:r>
        <w:rPr>
          <w:b w:val="0"/>
        </w:rPr>
        <w:t>附录B 方向与普通尾部成绩</w:t>
      </w:r>
    </w:p>
    <w:p>
      <w:pPr>
        <w:keepLines/>
        <w:spacing w:line="280" w:lineRule="exact" w:after="120"/>
      </w:pPr>
      <w:r>
        <w:rPr>
          <w:b w:val="0"/>
          <w:sz w:val="19"/>
        </w:rPr>
        <w:t>全部为5–7月月等权误差  |  订单数为整个验证期的实际共同样本量</w:t>
      </w:r>
    </w:p>
    <w:p>
      <w:pPr>
        <w:pStyle w:val="Heading2"/>
        <w:keepLines/>
      </w:pPr>
      <w:r>
        <w:rPr>
          <w:b w:val="0"/>
        </w:rPr>
        <w:t>B1 各组RMSE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88"/>
        <w:gridCol w:w="1296"/>
        <w:gridCol w:w="2088"/>
        <w:gridCol w:w="2160"/>
        <w:gridCol w:w="2160"/>
      </w:tblGrid>
      <w:tr>
        <w:trPr>
          <w:cantSplit/>
          <w:tblHeader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分组</w:t>
            </w:r>
          </w:p>
        </w:tc>
        <w:tc>
          <w:tcPr>
            <w:tcW w:type="dxa" w:w="12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订单数</w:t>
            </w:r>
          </w:p>
        </w:tc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Base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H0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混合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Call全部</w:t>
            </w:r>
          </w:p>
        </w:tc>
        <w:tc>
          <w:tcPr>
            <w:tcW w:type="dxa" w:w="12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2580</w:t>
            </w:r>
          </w:p>
        </w:tc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231.455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232.942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230.811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Call普通</w:t>
            </w:r>
          </w:p>
        </w:tc>
        <w:tc>
          <w:tcPr>
            <w:tcW w:type="dxa" w:w="12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2307</w:t>
            </w:r>
          </w:p>
        </w:tc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151.653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148.820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148.740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Call尾部</w:t>
            </w:r>
          </w:p>
        </w:tc>
        <w:tc>
          <w:tcPr>
            <w:tcW w:type="dxa" w:w="12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273</w:t>
            </w:r>
          </w:p>
        </w:tc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574.894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597.780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583.260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Put全部</w:t>
            </w:r>
          </w:p>
        </w:tc>
        <w:tc>
          <w:tcPr>
            <w:tcW w:type="dxa" w:w="12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2060</w:t>
            </w:r>
          </w:p>
        </w:tc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379.673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385.910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379.145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Put普通</w:t>
            </w:r>
          </w:p>
        </w:tc>
        <w:tc>
          <w:tcPr>
            <w:tcW w:type="dxa" w:w="12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1841</w:t>
            </w:r>
          </w:p>
        </w:tc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182.731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222.960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186.485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Put尾部</w:t>
            </w:r>
          </w:p>
        </w:tc>
        <w:tc>
          <w:tcPr>
            <w:tcW w:type="dxa" w:w="12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219</w:t>
            </w:r>
          </w:p>
        </w:tc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895.593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857.975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889.342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pStyle w:val="Heading2"/>
        <w:keepLines/>
      </w:pPr>
      <w:r>
        <w:rPr>
          <w:b w:val="0"/>
        </w:rPr>
        <w:t>B2 各组MAE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2304"/>
        <w:gridCol w:w="2304"/>
        <w:gridCol w:w="2304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分组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Base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H0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混合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Call全部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159.275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154.043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156.956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Call普通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123.393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116.873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120.580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Call尾部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496.735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517.672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504.833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Put全部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227.251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240.319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228.735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Put普通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145.992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166.451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148.573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Put尾部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740.296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703.700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734.471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pStyle w:val="Heading2"/>
        <w:keepLines/>
      </w:pPr>
      <w:r>
        <w:rPr>
          <w:b w:val="0"/>
        </w:rPr>
        <w:t>B3 如何解释这些分组</w:t>
      </w:r>
    </w:p>
    <w:p>
      <w:pPr>
        <w:keepLines/>
      </w:pPr>
      <w:r>
        <w:rPr>
          <w:b w:val="0"/>
        </w:rPr>
        <w:t>Call普通订单在H0下的月等权RMSE和MAE均改善；Put尾部同样改善。混合对Call普通订单的RMSE仍有帮助，并保留部分Put尾部改善。Put普通订单的H0修正代价较大，是Put使用更低H0权重的重要依据。</w:t>
      </w:r>
    </w:p>
    <w:p>
      <w:pPr>
        <w:keepLines/>
        <w:spacing w:line="280" w:lineRule="exact" w:after="120"/>
      </w:pPr>
      <w:r>
        <w:rPr>
          <w:b w:val="0"/>
          <w:sz w:val="19"/>
        </w:rPr>
        <w:t>普通与尾部是在结算后按历史阈值判定的评价分组。月等权分组RMSE对每个月的同类订单等权，不等于把整组三个月订单直接合并后的RMSE。若制作按订单量加权的图，应改用summary中的all行并明确更换口径。</w:t>
      </w:r>
    </w:p>
    <w:p>
      <w:pPr>
        <w:keepLines/>
        <w:spacing w:line="280" w:lineRule="exact" w:after="120"/>
      </w:pPr>
      <w:r>
        <w:rPr>
          <w:b w:val="0"/>
          <w:sz w:val="19"/>
        </w:rPr>
        <w:t>建议制作四组分组柱状图：Call普通、Call尾部、Put普通、Put尾部，各组对比Base、H0、混合。尾部与普通的误差尺度差异大，可分成两个面板，不宜用统一小范围坐标遮蔽尾部。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18">
        <w:r>
          <w:rPr>
            <w:color w:val="516579"/>
            <w:sz w:val="19"/>
          </w:rPr>
          <w:t>月等权分组原表</w:t>
        </w:r>
      </w:hyperlink>
      <w:r>
        <w:t>；</w:t>
      </w:r>
      <w:hyperlink r:id="rId17">
        <w:r>
          <w:rPr>
            <w:color w:val="516579"/>
            <w:sz w:val="19"/>
          </w:rPr>
          <w:t>组内样本与逐单口径</w:t>
        </w:r>
      </w:hyperlink>
    </w:p>
    <w:p>
      <w:r>
        <w:br w:type="page"/>
      </w:r>
    </w:p>
    <w:p>
      <w:pPr>
        <w:pStyle w:val="Heading1"/>
        <w:keepLines/>
      </w:pPr>
      <w:r>
        <w:rPr>
          <w:b w:val="0"/>
        </w:rPr>
        <w:t>附录C 模型参数与代表探索</w:t>
      </w:r>
    </w:p>
    <w:p>
      <w:pPr>
        <w:keepLines/>
        <w:spacing w:line="280" w:lineRule="exact" w:after="120"/>
      </w:pPr>
      <w:r>
        <w:rPr>
          <w:b w:val="0"/>
          <w:sz w:val="19"/>
        </w:rPr>
        <w:t>用于模型图、方法备份页和解释研究选择</w:t>
      </w:r>
    </w:p>
    <w:p>
      <w:pPr>
        <w:pStyle w:val="Heading2"/>
        <w:keepLines/>
      </w:pPr>
      <w:r>
        <w:rPr>
          <w:b w:val="0"/>
        </w:rPr>
        <w:t>C1 H0精确设置</w:t>
      </w:r>
    </w:p>
    <w:p>
      <w:pPr>
        <w:keepLines/>
        <w:spacing w:line="280" w:lineRule="exact" w:after="120"/>
      </w:pPr>
      <w:r>
        <w:rPr>
          <w:b w:val="0"/>
          <w:sz w:val="19"/>
        </w:rPr>
        <w:t>Call编码0、Put编码1。概率阶段有三个连续输入：log(Base)、log(剩余秒数)、方向价格位置z。z＝(1−2×方向)×log(市场价／执行价)／max(60分钟波动×√剩余小时，10⁻⁶)，先截断至[−5,5]，随后按本次历史训练样本标准化，标准化输入再截断至[−3,3]。</w:t>
      </w:r>
    </w:p>
    <w:p>
      <w:pPr>
        <w:keepLines/>
        <w:spacing w:line="280" w:lineRule="exact" w:after="120"/>
      </w:pPr>
      <w:r>
        <w:rPr>
          <w:b w:val="0"/>
          <w:sz w:val="19"/>
        </w:rPr>
        <w:t>逻辑回归使用L2正则，C＝0.1、lbfgs、最多1,000轮、容差10⁻⁹。金额系数c＝Σ(Base×每BTC赔付)／Σ(Base²)，求和仅在本方向正赔付历史上进行。某方向训练集只有单一类别时用历史正赔付比例；没有正赔付则条件金额系数为0；没有该方向历史时回退Base。</w:t>
      </w:r>
    </w:p>
    <w:p>
      <w:pPr>
        <w:pStyle w:val="Heading2"/>
        <w:keepLines/>
      </w:pPr>
      <w:r>
        <w:rPr>
          <w:b w:val="0"/>
        </w:rPr>
        <w:t>C2 统一口径下的代表配置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配置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月等权RMSE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月等权MAE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逐单RMSE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官方Base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293.564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184.440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295.150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H0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298.010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186.263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303.532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7日半衰期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299.008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186.913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304.992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14日半衰期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297.965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186.570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303.719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小时波动水平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298.035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186.460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303.722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小时水平＋速度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298.124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186.552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304.006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小时保守门控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298.010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186.270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303.528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市场状态回退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297.712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185.986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303.181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历史误差混合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296.200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183.964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300.158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状态＋历史误差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296.050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183.982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300.019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14日动态网格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299.037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186.364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302.999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30日动态网格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296.239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184.125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300.269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两方向50% H0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293.715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184.832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297.151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Call50%／Put25%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293.115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183.653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296.047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Call40%／Put15%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293.048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183.558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295.614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Base＋公告规则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293.557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184.489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295.137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  <w:spacing w:line="280" w:lineRule="exact" w:after="120"/>
      </w:pPr>
      <w:r>
        <w:rPr>
          <w:b w:val="0"/>
          <w:sz w:val="19"/>
        </w:rPr>
        <w:t>固定比例粗网格：两方向各0／25／50／75／100%；细网格：Call25–65%、Put10–40%，步长5%。25组粗网格与63组细网格有2组重合，共86种固定比例；加11种其他配置，共97种。公告参数预先固定，不在本轮按验证结果选参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20">
        <w:r>
          <w:rPr>
            <w:color w:val="516579"/>
            <w:sz w:val="19"/>
          </w:rPr>
          <w:t>全部模型成绩</w:t>
        </w:r>
      </w:hyperlink>
      <w:r>
        <w:t>；</w:t>
      </w:r>
      <w:hyperlink r:id="rId25">
        <w:r>
          <w:rPr>
            <w:color w:val="516579"/>
            <w:sz w:val="19"/>
          </w:rPr>
          <w:t>86种固定比例</w:t>
        </w:r>
      </w:hyperlink>
      <w:r>
        <w:t>；</w:t>
      </w:r>
      <w:hyperlink r:id="rId14">
        <w:r>
          <w:rPr>
            <w:color w:val="516579"/>
            <w:sz w:val="19"/>
          </w:rPr>
          <w:t>实现设置</w:t>
        </w:r>
      </w:hyperlink>
    </w:p>
    <w:p>
      <w:r>
        <w:br w:type="page"/>
      </w:r>
    </w:p>
    <w:p>
      <w:pPr>
        <w:pStyle w:val="Heading1"/>
        <w:keepLines/>
      </w:pPr>
      <w:r>
        <w:rPr>
          <w:b w:val="0"/>
        </w:rPr>
        <w:t>附录D 训练批次与字段口径</w:t>
      </w:r>
    </w:p>
    <w:p>
      <w:pPr>
        <w:keepLines/>
        <w:spacing w:line="280" w:lineRule="exact" w:after="120"/>
      </w:pPr>
      <w:r>
        <w:rPr>
          <w:b w:val="0"/>
          <w:sz w:val="19"/>
        </w:rPr>
        <w:t>用于时间轴、数据页和信息泄漏相关答疑</w:t>
      </w:r>
    </w:p>
    <w:p>
      <w:pPr>
        <w:pStyle w:val="Heading2"/>
        <w:keepLines/>
      </w:pPr>
      <w:r>
        <w:rPr>
          <w:b w:val="0"/>
        </w:rPr>
        <w:t>D1 实际有验证订单的12个更新批次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56"/>
        <w:gridCol w:w="3168"/>
        <w:gridCol w:w="3168"/>
      </w:tblGrid>
      <w:tr>
        <w:trPr>
          <w:cantSplit/>
          <w:tblHeader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更新时刻 UTC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可用历史订单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本批验证订单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2026-05-01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853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183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2026-05-08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926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154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2026-05-15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822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270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2026-05-22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839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119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2026-06-12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468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361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2026-06-19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564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667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2026-06-26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1074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555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2026-07-03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1574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312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2026-07-10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1892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317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2026-07-17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2019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431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2026-07-24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1805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876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2026-07-31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2131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395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  <w:spacing w:line="280" w:lineRule="exact" w:after="120"/>
      </w:pPr>
      <w:r>
        <w:rPr>
          <w:b w:val="0"/>
          <w:sz w:val="19"/>
        </w:rPr>
        <w:t>更新日连续按7日推进；无验证订单的周不拟合，故表中日期有间隔。各批订单按创建时刻归属，6月26日批次跨至7月3日，因此批次合计不能直接当作月度合计。历史订单可在多个训练窗口重复出现；验证订单每笔只评分一次。</w:t>
      </w:r>
    </w:p>
    <w:p>
      <w:pPr>
        <w:pStyle w:val="Heading2"/>
        <w:keepLines/>
      </w:pPr>
      <w:r>
        <w:rPr>
          <w:b w:val="0"/>
        </w:rPr>
        <w:t>D2 数据字段与用途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28"/>
        <w:gridCol w:w="6264"/>
      </w:tblGrid>
      <w:tr>
        <w:trPr>
          <w:cantSplit/>
          <w:tblHeader/>
        </w:trPr>
        <w:tc>
          <w:tcPr>
            <w:tcW w:type="dxa" w:w="35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字段或概念</w:t>
            </w:r>
          </w:p>
        </w:tc>
        <w:tc>
          <w:tcPr>
            <w:tcW w:type="dxa" w:w="62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定义与用途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realizedProfit_USDC／quantity_BTC</w:t>
            </w:r>
          </w:p>
        </w:tc>
        <w:tc>
          <w:tcPr>
            <w:tcW w:type="dxa" w:w="62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每BTC赔付y；y&gt;0为概率阶段标签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apiBasePrice_per_BTC_USDC</w:t>
            </w:r>
          </w:p>
        </w:tc>
        <w:tc>
          <w:tcPr>
            <w:tcW w:type="dxa" w:w="62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官方Base输入及对照预测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remaining_seconds</w:t>
            </w:r>
          </w:p>
        </w:tc>
        <w:tc>
          <w:tcPr>
            <w:tcW w:type="dxa" w:w="62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预定到期时刻−创建时刻；报价时已知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log_moneyness</w:t>
            </w:r>
          </w:p>
        </w:tc>
        <w:tc>
          <w:tcPr>
            <w:tcW w:type="dxa" w:w="62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log(最后完整K线收盘价／执行价)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realized_vol_Nm</w:t>
            </w:r>
          </w:p>
        </w:tc>
        <w:tc>
          <w:tcPr>
            <w:tcW w:type="dxa" w:w="62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N分钟连续对数收益平方和开方；N=60／240／1440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closed_at_utc</w:t>
            </w:r>
          </w:p>
        </w:tc>
        <w:tc>
          <w:tcPr>
            <w:tcW w:type="dxa" w:w="62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只用于判断赔付标签何时可用，不进入报价特征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BTC数量</w:t>
            </w:r>
          </w:p>
        </w:tc>
        <w:tc>
          <w:tcPr>
            <w:tcW w:type="dxa" w:w="62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计算现金偏差；H0的每BTC预测不直接以数量为输入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  <w:spacing w:line="280" w:lineRule="exact" w:after="120"/>
      </w:pPr>
      <w:r>
        <w:rPr>
          <w:b w:val="0"/>
          <w:sz w:val="19"/>
        </w:rPr>
        <w:t>H0接口包含方向、Base、剩余期限、名义期限、60分钟波动、价格位置六项字段；其中名义期限用于输入校验，概率回归实际使用C1所列三个连续变量，金额阶段仅校准Base。普通／尾部身份也不是输入。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13">
        <w:r>
          <w:rPr>
            <w:color w:val="516579"/>
            <w:sz w:val="19"/>
          </w:rPr>
          <w:t>训练队列</w:t>
        </w:r>
      </w:hyperlink>
      <w:r>
        <w:t>；</w:t>
      </w:r>
      <w:hyperlink r:id="rId10">
        <w:r>
          <w:rPr>
            <w:color w:val="516579"/>
            <w:sz w:val="19"/>
          </w:rPr>
          <w:t>数据字典</w:t>
        </w:r>
      </w:hyperlink>
      <w:r>
        <w:t>；</w:t>
      </w:r>
      <w:hyperlink r:id="rId15">
        <w:r>
          <w:rPr>
            <w:color w:val="516579"/>
            <w:sz w:val="19"/>
          </w:rPr>
          <w:t>H0实现</w:t>
        </w:r>
      </w:hyperlink>
    </w:p>
    <w:p>
      <w:r>
        <w:br w:type="page"/>
      </w:r>
    </w:p>
    <w:p>
      <w:pPr>
        <w:pStyle w:val="Heading1"/>
        <w:keepLines/>
      </w:pPr>
      <w:r>
        <w:rPr>
          <w:b w:val="0"/>
        </w:rPr>
        <w:t>附录E 公告数据建设与接入验证</w:t>
      </w:r>
    </w:p>
    <w:p>
      <w:pPr>
        <w:keepLines/>
        <w:spacing w:line="280" w:lineRule="exact" w:after="120"/>
      </w:pPr>
      <w:r>
        <w:rPr>
          <w:b w:val="0"/>
          <w:sz w:val="19"/>
        </w:rPr>
        <w:t>日历版本核对时间为2026-10-14 12:30:02 UTC；此处说明本轮使用的冻结版本</w:t>
      </w:r>
    </w:p>
    <w:p>
      <w:pPr>
        <w:pStyle w:val="Heading2"/>
        <w:keepLines/>
      </w:pPr>
      <w:r>
        <w:rPr>
          <w:b w:val="0"/>
        </w:rPr>
        <w:t>E1 已维护的日历范围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44"/>
        <w:gridCol w:w="3600"/>
        <w:gridCol w:w="2376"/>
        <w:gridCol w:w="1872"/>
      </w:tblGrid>
      <w:tr>
        <w:trPr>
          <w:cantSplit/>
          <w:tblHeader/>
        </w:trPr>
        <w:tc>
          <w:tcPr>
            <w:tcW w:type="dxa" w:w="19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日程类型</w:t>
            </w:r>
          </w:p>
        </w:tc>
        <w:tc>
          <w:tcPr>
            <w:tcW w:type="dxa" w:w="36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覆盖</w:t>
            </w:r>
          </w:p>
        </w:tc>
        <w:tc>
          <w:tcPr>
            <w:tcW w:type="dxa" w:w="23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纽约计划时刻</w:t>
            </w:r>
          </w:p>
        </w:tc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记录数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CPI</w:t>
            </w:r>
          </w:p>
        </w:tc>
        <w:tc>
          <w:tcPr>
            <w:tcW w:type="dxa" w:w="36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2026–2027</w:t>
            </w:r>
          </w:p>
        </w:tc>
        <w:tc>
          <w:tcPr>
            <w:tcW w:type="dxa" w:w="23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08:30</w:t>
            </w:r>
          </w:p>
        </w:tc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24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非农就业报告</w:t>
            </w:r>
          </w:p>
        </w:tc>
        <w:tc>
          <w:tcPr>
            <w:tcW w:type="dxa" w:w="36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2026–2027</w:t>
            </w:r>
          </w:p>
        </w:tc>
        <w:tc>
          <w:tcPr>
            <w:tcW w:type="dxa" w:w="23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08:30</w:t>
            </w:r>
          </w:p>
        </w:tc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24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FOMC声明</w:t>
            </w:r>
          </w:p>
        </w:tc>
        <w:tc>
          <w:tcPr>
            <w:tcW w:type="dxa" w:w="36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2026–2027及2028-01-26</w:t>
            </w:r>
          </w:p>
        </w:tc>
        <w:tc>
          <w:tcPr>
            <w:tcW w:type="dxa" w:w="23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14:00</w:t>
            </w:r>
          </w:p>
        </w:tc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17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FOMC记者会</w:t>
            </w:r>
          </w:p>
        </w:tc>
        <w:tc>
          <w:tcPr>
            <w:tcW w:type="dxa" w:w="36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同上</w:t>
            </w:r>
          </w:p>
        </w:tc>
        <w:tc>
          <w:tcPr>
            <w:tcW w:type="dxa" w:w="23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14:30</w:t>
            </w:r>
          </w:p>
        </w:tc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17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  <w:spacing w:line="280" w:lineRule="exact" w:after="120"/>
      </w:pPr>
      <w:r>
        <w:rPr>
          <w:b w:val="0"/>
          <w:sz w:val="19"/>
        </w:rPr>
        <w:t>共82条日程、65个主要事件。声明与同日记者会属于同一个独立事件。时间使用America/New_York转换，包含夏令时；纽约08:30对应夏季12:30 UTC、冬季13:30 UTC。未来日程在使用前仍需复核。</w:t>
      </w:r>
    </w:p>
    <w:p>
      <w:pPr>
        <w:pStyle w:val="Heading2"/>
        <w:keepLines/>
      </w:pPr>
      <w:r>
        <w:rPr>
          <w:b w:val="0"/>
        </w:rPr>
        <w:t>E2 可知性与逐事件叠加规则</w:t>
      </w:r>
    </w:p>
    <w:p>
      <w:pPr>
        <w:keepLines/>
        <w:spacing w:line="280" w:lineRule="exact" w:after="120"/>
      </w:pPr>
      <w:r>
        <w:rPr>
          <w:b w:val="0"/>
          <w:sz w:val="19"/>
        </w:rPr>
        <w:t>known_by是最迟可确认日程已公开的证据时间，不是精确的首次预告时间。启用须满足known_by≤报价时刻且known_by早于正式发布；没有预告证据的事件不参与。旧数据采用官方历史证据回溯，不冒充项目当年实时归档的日历。</w:t>
      </w:r>
    </w:p>
    <w:p>
      <w:pPr>
        <w:keepLines/>
        <w:spacing w:line="280" w:lineRule="exact" w:after="120"/>
      </w:pPr>
      <w:r>
        <w:rPr>
          <w:b w:val="0"/>
          <w:sz w:val="19"/>
        </w:rPr>
        <w:t>单场加成：发布前为1%×2^(−距发布小时数／24)，发布后为1%×max(0,1−已过分钟数／60)。在预告证据前为0。独立事件相加后封顶5%；同场FOMC取已知声明／记者会锚点的最大贡献。该规则按报价时刻计算，不要求合同跨公告，也不读取最终赔付。</w:t>
      </w:r>
    </w:p>
    <w:p>
      <w:pPr>
        <w:pStyle w:val="Heading2"/>
        <w:keepLines/>
      </w:pPr>
      <w:r>
        <w:rPr>
          <w:b w:val="0"/>
        </w:rPr>
        <w:t>E3 分月效果与实际覆盖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56"/>
        <w:gridCol w:w="3168"/>
        <w:gridCol w:w="3168"/>
      </w:tblGrid>
      <w:tr>
        <w:trPr>
          <w:cantSplit/>
          <w:tblHeader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验证月份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Base RMSE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公告修正RMSE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5月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246.602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246.598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6月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349.129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349.139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7月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275.384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275.352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月等权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293.564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293.557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  <w:spacing w:line="280" w:lineRule="exact" w:after="120"/>
      </w:pPr>
      <w:r>
        <w:rPr>
          <w:b w:val="0"/>
          <w:sz w:val="19"/>
        </w:rPr>
        <w:t>平均加价0.1286%，中位数0.00375%，最大0.9998%；3,902笔产生数值可见变化，1,234笔总加价≥0.1%，其余影响很小。单场贡献≥0.1%的事件共6个；发布后单场贡献≥0.1%的记录仅53笔。三个月MAE均略升，总体月等权MAE由184.440升至184.489。</w:t>
      </w:r>
    </w:p>
    <w:p>
      <w:pPr>
        <w:keepLines/>
        <w:spacing w:line="280" w:lineRule="exact" w:after="120"/>
      </w:pPr>
      <w:r>
        <w:rPr>
          <w:b w:val="0"/>
          <w:sz w:val="19"/>
        </w:rPr>
        <w:t>整体两方向工作风险条件通过，但不等于逐月通过：5月Call尾部仅27单，5、6月Call净金额偏差还略扩大。净低估减少190.52 USDC，累计逐单少估减少85.02 USDC。该分支无拟合、无选参；规则参数是工作假设，曲线不是实测市场波动。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21">
        <w:r>
          <w:rPr>
            <w:color w:val="516579"/>
            <w:sz w:val="19"/>
          </w:rPr>
          <w:t>日历与来源</w:t>
        </w:r>
      </w:hyperlink>
      <w:r>
        <w:t>；</w:t>
      </w:r>
      <w:hyperlink r:id="rId26">
        <w:r>
          <w:rPr>
            <w:color w:val="516579"/>
            <w:sz w:val="19"/>
          </w:rPr>
          <w:t>逐事件规则</w:t>
        </w:r>
      </w:hyperlink>
      <w:r>
        <w:t>；</w:t>
      </w:r>
      <w:hyperlink r:id="rId22">
        <w:r>
          <w:rPr>
            <w:color w:val="516579"/>
            <w:sz w:val="19"/>
          </w:rPr>
          <w:t>事件贡献</w:t>
        </w:r>
      </w:hyperlink>
      <w:r>
        <w:t>；</w:t>
      </w:r>
      <w:hyperlink r:id="rId27">
        <w:r>
          <w:rPr>
            <w:color w:val="516579"/>
            <w:sz w:val="19"/>
          </w:rPr>
          <w:t>触发</w:t>
        </w:r>
      </w:hyperlink>
    </w:p>
    <w:p>
      <w:r>
        <w:br w:type="page"/>
      </w:r>
    </w:p>
    <w:p>
      <w:pPr>
        <w:pStyle w:val="Heading1"/>
        <w:keepLines/>
      </w:pPr>
      <w:r>
        <w:rPr>
          <w:b w:val="0"/>
        </w:rPr>
        <w:t>附录F 金额风险与不确定性</w:t>
      </w:r>
    </w:p>
    <w:p>
      <w:pPr>
        <w:keepLines/>
        <w:spacing w:line="280" w:lineRule="exact" w:after="120"/>
      </w:pPr>
      <w:r>
        <w:rPr>
          <w:b w:val="0"/>
          <w:sz w:val="19"/>
        </w:rPr>
        <w:t>用于结果核对和答疑  |  现金为USDC，RMSE和MAE为USDC/BTC</w:t>
      </w:r>
    </w:p>
    <w:p>
      <w:pPr>
        <w:pStyle w:val="Heading2"/>
        <w:keepLines/>
      </w:pPr>
      <w:r>
        <w:rPr>
          <w:b w:val="0"/>
        </w:rPr>
        <w:t>F1 现金金额并列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2448"/>
        <w:gridCol w:w="2448"/>
        <w:gridCol w:w="2520"/>
      </w:tblGrid>
      <w:tr>
        <w:trPr>
          <w:cantSplit/>
          <w:tblHeader/>
        </w:trPr>
        <w:tc>
          <w:tcPr>
            <w:tcW w:type="dxa" w:w="23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模型</w:t>
            </w:r>
          </w:p>
        </w:tc>
        <w:tc>
          <w:tcPr>
            <w:tcW w:type="dxa" w:w="24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预测赔付总额</w:t>
            </w:r>
          </w:p>
        </w:tc>
        <w:tc>
          <w:tcPr>
            <w:tcW w:type="dxa" w:w="24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净金额偏差</w:t>
            </w:r>
          </w:p>
        </w:tc>
        <w:tc>
          <w:tcPr>
            <w:tcW w:type="dxa" w:w="25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累计逐单少估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Base</w:t>
            </w:r>
          </w:p>
        </w:tc>
        <w:tc>
          <w:tcPr>
            <w:tcW w:type="dxa" w:w="24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129,708.39</w:t>
            </w:r>
          </w:p>
        </w:tc>
        <w:tc>
          <w:tcPr>
            <w:tcW w:type="dxa" w:w="24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-54,182.20</w:t>
            </w:r>
          </w:p>
        </w:tc>
        <w:tc>
          <w:tcPr>
            <w:tcW w:type="dxa" w:w="25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128,956.99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H0</w:t>
            </w:r>
          </w:p>
        </w:tc>
        <w:tc>
          <w:tcPr>
            <w:tcW w:type="dxa" w:w="24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147,404.29</w:t>
            </w:r>
          </w:p>
        </w:tc>
        <w:tc>
          <w:tcPr>
            <w:tcW w:type="dxa" w:w="24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-36,486.29</w:t>
            </w:r>
          </w:p>
        </w:tc>
        <w:tc>
          <w:tcPr>
            <w:tcW w:type="dxa" w:w="25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124,478.19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混合40%／15%</w:t>
            </w:r>
          </w:p>
        </w:tc>
        <w:tc>
          <w:tcPr>
            <w:tcW w:type="dxa" w:w="24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130,779.63</w:t>
            </w:r>
          </w:p>
        </w:tc>
        <w:tc>
          <w:tcPr>
            <w:tcW w:type="dxa" w:w="24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-53,110.95</w:t>
            </w:r>
          </w:p>
        </w:tc>
        <w:tc>
          <w:tcPr>
            <w:tcW w:type="dxa" w:w="25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128,598.01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  <w:spacing w:line="280" w:lineRule="exact" w:after="120"/>
      </w:pPr>
      <w:r>
        <w:rPr>
          <w:b w:val="0"/>
          <w:sz w:val="19"/>
        </w:rPr>
        <w:t>共同实际赔付总额为183,890.59 USDC。净偏差＝Σ[(预测−实际)×BTC数量]，负数代表净低估；累计逐单少估＝Σ[max(实际−预测,0)×BTC数量]，只累计低估订单，因此不会被其他订单高估抵消。现金偏差不等于经营利润。</w:t>
      </w:r>
    </w:p>
    <w:p>
      <w:pPr>
        <w:pStyle w:val="Heading2"/>
        <w:keepLines/>
      </w:pPr>
      <w:r>
        <w:rPr>
          <w:b w:val="0"/>
        </w:rPr>
        <w:t>F2 混合相对Base的方向风险变化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"/>
        <w:gridCol w:w="2160"/>
        <w:gridCol w:w="2160"/>
        <w:gridCol w:w="2376"/>
        <w:gridCol w:w="2160"/>
      </w:tblGrid>
      <w:tr>
        <w:trPr>
          <w:cantSplit/>
          <w:tblHeader/>
        </w:trPr>
        <w:tc>
          <w:tcPr>
            <w:tcW w:type="dxa" w:w="9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尾部逐单RMSE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累计逐单少估</w:t>
            </w:r>
          </w:p>
        </w:tc>
        <w:tc>
          <w:tcPr>
            <w:tcW w:type="dxa" w:w="23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净偏差绝对值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方向条件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Call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0.67%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1.10%</w:t>
            </w:r>
          </w:p>
        </w:tc>
        <w:tc>
          <w:tcPr>
            <w:tcW w:type="dxa" w:w="23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10.81%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未通过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Put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-0.74%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-1.61%</w:t>
            </w:r>
          </w:p>
        </w:tc>
        <w:tc>
          <w:tcPr>
            <w:tcW w:type="dxa" w:w="23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-11.72%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通过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  <w:spacing w:line="280" w:lineRule="exact" w:after="120"/>
      </w:pPr>
      <w:r>
        <w:rPr>
          <w:b w:val="0"/>
          <w:sz w:val="19"/>
        </w:rPr>
        <w:t>工作条件：尾部RMSE、方向及其尾部累计少估最多恶化2%；方向和总体净偏差绝对值均不扩大。尾部须至少30单、5日且月度完整。这些是研究条件，并非官方规则。Call净偏差绝对值扩大10.81%，所以不能表述为全部风险约束通过。相对H0，混合的Put逐单尾部RMSE增加3.90%。5月Call尾部只有27单。</w:t>
      </w:r>
    </w:p>
    <w:p>
      <w:pPr>
        <w:pStyle w:val="Heading2"/>
        <w:keepLines/>
      </w:pPr>
      <w:r>
        <w:rPr>
          <w:b w:val="0"/>
        </w:rPr>
        <w:t>F3 混合减去Base的月等权误差区间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08"/>
        <w:gridCol w:w="2160"/>
        <w:gridCol w:w="3312"/>
        <w:gridCol w:w="3312"/>
      </w:tblGrid>
      <w:tr>
        <w:trPr>
          <w:cantSplit/>
          <w:tblHeader/>
        </w:trPr>
        <w:tc>
          <w:tcPr>
            <w:tcW w:type="dxa" w:w="100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时间块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RMSE差点估计</w:t>
            </w:r>
          </w:p>
        </w:tc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RMSE差95%区间</w:t>
            </w:r>
          </w:p>
        </w:tc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MAE差95%区间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3日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-0.516</w:t>
            </w:r>
          </w:p>
        </w:tc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[-2.089, 1.239]</w:t>
            </w:r>
          </w:p>
        </w:tc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[-2.241, 0.310]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7日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-0.516</w:t>
            </w:r>
          </w:p>
        </w:tc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[-1.994, 0.844]</w:t>
            </w:r>
          </w:p>
        </w:tc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[-2.273, 0.079]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14日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-0.516</w:t>
            </w:r>
          </w:p>
        </w:tc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[-1.947, 0.732]</w:t>
            </w:r>
          </w:p>
        </w:tc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[-2.222, -0.056]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  <w:spacing w:line="280" w:lineRule="exact" w:after="120"/>
      </w:pPr>
      <w:r>
        <w:rPr>
          <w:b w:val="0"/>
          <w:sz w:val="19"/>
        </w:rPr>
        <w:t>负差值表示候选更好。每档2,000次按月循环块重采样，复算已有前向损失，不重新训练；表为逐项区间，不是全模型同时区间。RMSE的三档区间均跨0。删除连续7日诊断的86／86个窗口点估计均改善，但不能替代独立测试。5–7月经过模型选择；严格前向训练与独立盲测是两件事。</w:t>
      </w:r>
    </w:p>
    <w:p>
      <w:pPr>
        <w:keepLines/>
        <w:spacing w:line="280" w:lineRule="exact" w:after="120"/>
      </w:pPr>
      <w:r>
        <w:rPr>
          <w:b w:val="0"/>
          <w:sz w:val="19"/>
        </w:rPr>
        <w:t>样本口径：报告沿用历史共同队列，其中包括既有跨月未结算订单排除规则；重构没有补回这些订单。未来扩大样本或改变无标签运行方式应另立比较，保持当前报告来源清楚。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17">
        <w:r>
          <w:rPr>
            <w:color w:val="516579"/>
            <w:sz w:val="19"/>
          </w:rPr>
          <w:t>现金统计</w:t>
        </w:r>
      </w:hyperlink>
      <w:r>
        <w:t>；</w:t>
      </w:r>
      <w:hyperlink r:id="rId23">
        <w:r>
          <w:rPr>
            <w:color w:val="516579"/>
            <w:sz w:val="19"/>
          </w:rPr>
          <w:t>风险</w:t>
        </w:r>
      </w:hyperlink>
      <w:r>
        <w:t>；</w:t>
      </w:r>
      <w:hyperlink r:id="rId24">
        <w:r>
          <w:rPr>
            <w:color w:val="516579"/>
            <w:sz w:val="19"/>
          </w:rPr>
          <w:t>区间</w:t>
        </w:r>
      </w:hyperlink>
      <w:r>
        <w:t>；</w:t>
      </w:r>
      <w:hyperlink r:id="rId28">
        <w:r>
          <w:rPr>
            <w:color w:val="516579"/>
            <w:sz w:val="19"/>
          </w:rPr>
          <w:t>删周诊断</w:t>
        </w:r>
      </w:hyperlink>
    </w:p>
    <w:p>
      <w:r>
        <w:br w:type="page"/>
      </w:r>
    </w:p>
    <w:p>
      <w:pPr>
        <w:pStyle w:val="Heading1"/>
        <w:keepLines/>
      </w:pPr>
      <w:r>
        <w:rPr>
          <w:b w:val="0"/>
        </w:rPr>
        <w:t>附录G PPT制作取材指南</w:t>
      </w:r>
    </w:p>
    <w:p>
      <w:pPr>
        <w:keepLines/>
        <w:spacing w:line="280" w:lineRule="exact" w:after="120"/>
      </w:pPr>
      <w:r>
        <w:rPr>
          <w:b w:val="0"/>
          <w:sz w:val="19"/>
        </w:rPr>
        <w:t>G1 正文图表映射  |  PPT仍按12页、9.5分钟组织</w:t>
      </w:r>
    </w:p>
    <w:p>
      <w:pPr>
        <w:keepLines/>
        <w:spacing w:line="280" w:lineRule="exact" w:after="120"/>
      </w:pPr>
      <w:r>
        <w:rPr>
          <w:b w:val="0"/>
          <w:sz w:val="19"/>
        </w:rPr>
        <w:t>各页只保留一个主要结论。正文已有的表格可直接取数；附录为制作和答疑提供细节，不要求全部进入主讲页面。建议用Base深灰、H0蓝色、混合橙色保持全篇一致。</w:t>
      </w:r>
    </w:p>
    <w:p>
      <w:pPr>
        <w:pStyle w:val="Heading2"/>
        <w:keepLines/>
      </w:pPr>
      <w:r>
        <w:rPr>
          <w:b w:val="0"/>
        </w:rPr>
        <w:t>幻灯片1 业务问题</w:t>
      </w:r>
    </w:p>
    <w:p>
      <w:pPr>
        <w:keepLines/>
        <w:spacing w:line="280" w:lineRule="exact" w:after="120"/>
      </w:pPr>
      <w:r>
        <w:rPr>
          <w:b w:val="0"/>
          <w:sz w:val="19"/>
        </w:rPr>
        <w:t>用订单创建→保障期间→结算的流程，说明Call上涨、Put下跌的方向保障；输出是每BTC预期赔付。</w:t>
      </w:r>
    </w:p>
    <w:p>
      <w:pPr>
        <w:keepLines/>
        <w:spacing w:line="280" w:lineRule="exact" w:after="120"/>
      </w:pPr>
      <w:r>
        <w:rPr>
          <w:b w:val="0"/>
          <w:sz w:val="19"/>
        </w:rPr>
        <w:t>取材位置：正文1.1；正文3.1。</w:t>
      </w:r>
    </w:p>
    <w:p>
      <w:pPr>
        <w:pStyle w:val="Heading2"/>
        <w:keepLines/>
      </w:pPr>
      <w:r>
        <w:rPr>
          <w:b w:val="0"/>
        </w:rPr>
        <w:t>幻灯片2 成功标准</w:t>
      </w:r>
    </w:p>
    <w:p>
      <w:pPr>
        <w:keepLines/>
        <w:spacing w:line="280" w:lineRule="exact" w:after="120"/>
      </w:pPr>
      <w:r>
        <w:rPr>
          <w:b w:val="0"/>
          <w:sz w:val="19"/>
        </w:rPr>
        <w:t>用RMSE为主、MAE监控、方向与现金补充的三层指标图。解释要同时照顾大误差和普通订单。</w:t>
      </w:r>
    </w:p>
    <w:p>
      <w:pPr>
        <w:keepLines/>
        <w:spacing w:line="280" w:lineRule="exact" w:after="120"/>
      </w:pPr>
      <w:r>
        <w:rPr>
          <w:b w:val="0"/>
          <w:sz w:val="19"/>
        </w:rPr>
        <w:t>取材位置：正文1.2；附录H指标口径。</w:t>
      </w:r>
    </w:p>
    <w:p>
      <w:pPr>
        <w:pStyle w:val="Heading2"/>
        <w:keepLines/>
      </w:pPr>
      <w:r>
        <w:rPr>
          <w:b w:val="0"/>
        </w:rPr>
        <w:t>幻灯片3 数据与预处理</w:t>
      </w:r>
    </w:p>
    <w:p>
      <w:pPr>
        <w:keepLines/>
        <w:spacing w:line="280" w:lineRule="exact" w:after="120"/>
      </w:pPr>
      <w:r>
        <w:rPr>
          <w:b w:val="0"/>
          <w:sz w:val="19"/>
        </w:rPr>
        <w:t>画7,204→7,055→5,934→4,640的筛选流程，并标完整K线、UTC与标签隔离。</w:t>
      </w:r>
    </w:p>
    <w:p>
      <w:pPr>
        <w:keepLines/>
        <w:spacing w:line="280" w:lineRule="exact" w:after="120"/>
      </w:pPr>
      <w:r>
        <w:rPr>
          <w:b w:val="0"/>
          <w:sz w:val="19"/>
        </w:rPr>
        <w:t>取材位置：正文2.1–2.3；附录D字段表。</w:t>
      </w:r>
    </w:p>
    <w:p>
      <w:pPr>
        <w:pStyle w:val="Heading2"/>
        <w:keepLines/>
      </w:pPr>
      <w:r>
        <w:rPr>
          <w:b w:val="0"/>
        </w:rPr>
        <w:t>幻灯片4 时间验证</w:t>
      </w:r>
    </w:p>
    <w:p>
      <w:pPr>
        <w:keepLines/>
        <w:spacing w:line="280" w:lineRule="exact" w:after="120"/>
      </w:pPr>
      <w:r>
        <w:rPr>
          <w:b w:val="0"/>
          <w:sz w:val="19"/>
        </w:rPr>
        <w:t>画4月训练与5–7月周更时间轴。标明前30日、只用已结算、周内参数冻结；配726／1,373／2,541样本数。</w:t>
      </w:r>
    </w:p>
    <w:p>
      <w:pPr>
        <w:keepLines/>
        <w:spacing w:line="280" w:lineRule="exact" w:after="120"/>
      </w:pPr>
      <w:r>
        <w:rPr>
          <w:b w:val="0"/>
          <w:sz w:val="19"/>
        </w:rPr>
        <w:t>取材位置：正文2.4–2.5；附录D1批次表。</w:t>
      </w:r>
    </w:p>
    <w:p>
      <w:pPr>
        <w:pStyle w:val="Heading2"/>
        <w:keepLines/>
      </w:pPr>
      <w:r>
        <w:rPr>
          <w:b w:val="0"/>
        </w:rPr>
        <w:t>幻灯片5 H0输入与程序</w:t>
      </w:r>
    </w:p>
    <w:p>
      <w:pPr>
        <w:keepLines/>
        <w:spacing w:line="280" w:lineRule="exact" w:after="120"/>
      </w:pPr>
      <w:r>
        <w:rPr>
          <w:b w:val="0"/>
          <w:sz w:val="19"/>
        </w:rPr>
        <w:t>画合同、Base、历史行情进入统一入口，再到Call／Put两条模型通道；旁边标输出可拆成概率与条件金额。</w:t>
      </w:r>
    </w:p>
    <w:p>
      <w:pPr>
        <w:keepLines/>
        <w:spacing w:line="280" w:lineRule="exact" w:after="120"/>
      </w:pPr>
      <w:r>
        <w:rPr>
          <w:b w:val="0"/>
          <w:sz w:val="19"/>
        </w:rPr>
        <w:t>取材位置：正文3.2与3.4；附录C1。</w:t>
      </w:r>
    </w:p>
    <w:p>
      <w:pPr>
        <w:pStyle w:val="Heading2"/>
        <w:keepLines/>
      </w:pPr>
      <w:r>
        <w:rPr>
          <w:b w:val="0"/>
        </w:rPr>
        <w:t>幻灯片6 H0核心公式</w:t>
      </w:r>
    </w:p>
    <w:p>
      <w:pPr>
        <w:keepLines/>
        <w:spacing w:line="280" w:lineRule="exact" w:after="120"/>
      </w:pPr>
      <w:r>
        <w:rPr>
          <w:b w:val="0"/>
          <w:sz w:val="19"/>
        </w:rPr>
        <w:t>画p与Base×c两条支路相乘，保留H0＝p×Base×c。需要数值示例时使用正文假设例子，并标“示意”。</w:t>
      </w:r>
    </w:p>
    <w:p>
      <w:pPr>
        <w:keepLines/>
        <w:spacing w:line="280" w:lineRule="exact" w:after="120"/>
      </w:pPr>
      <w:r>
        <w:rPr>
          <w:b w:val="0"/>
          <w:sz w:val="19"/>
        </w:rPr>
        <w:t>取材位置：正文3.1、3.3与3.5。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10">
        <w:r>
          <w:rPr>
            <w:color w:val="516579"/>
            <w:sz w:val="19"/>
          </w:rPr>
          <w:t>统一数据说明</w:t>
        </w:r>
      </w:hyperlink>
      <w:r>
        <w:t>；</w:t>
      </w:r>
      <w:hyperlink r:id="rId14">
        <w:r>
          <w:rPr>
            <w:color w:val="516579"/>
            <w:sz w:val="19"/>
          </w:rPr>
          <w:t>统一模型说明</w:t>
        </w:r>
      </w:hyperlink>
    </w:p>
    <w:p>
      <w:r>
        <w:br w:type="page"/>
      </w:r>
    </w:p>
    <w:p>
      <w:pPr>
        <w:pStyle w:val="Heading1"/>
        <w:keepLines/>
      </w:pPr>
      <w:r>
        <w:rPr>
          <w:b w:val="0"/>
        </w:rPr>
        <w:t>附录H PPT结果图与指标速查</w:t>
      </w:r>
    </w:p>
    <w:p>
      <w:pPr>
        <w:keepLines/>
        <w:spacing w:line="280" w:lineRule="exact" w:after="120"/>
      </w:pPr>
      <w:r>
        <w:rPr>
          <w:b w:val="0"/>
          <w:sz w:val="19"/>
        </w:rPr>
        <w:t>H1 结果页取材  |  所有图题明确时间、分组、单位和权重口径</w:t>
      </w:r>
    </w:p>
    <w:p>
      <w:pPr>
        <w:pStyle w:val="Heading2"/>
        <w:keepLines/>
      </w:pPr>
      <w:r>
        <w:rPr>
          <w:b w:val="0"/>
        </w:rPr>
        <w:t>幻灯片7 H0取得什么成果</w:t>
      </w:r>
    </w:p>
    <w:p>
      <w:pPr>
        <w:keepLines/>
        <w:spacing w:line="280" w:lineRule="exact" w:after="120"/>
      </w:pPr>
      <w:r>
        <w:rPr>
          <w:b w:val="0"/>
          <w:sz w:val="19"/>
        </w:rPr>
        <w:t>用5–7月Base、H0分月RMSE折线，突出5–6月；旁边标MAE下降4.86%／2.48%，避免把不同指标混画同一轴。 取数：附录A1；summary筛选overall／all，month为具体月份。</w:t>
      </w:r>
    </w:p>
    <w:p>
      <w:pPr>
        <w:pStyle w:val="Heading2"/>
        <w:keepLines/>
      </w:pPr>
      <w:r>
        <w:rPr>
          <w:b w:val="0"/>
        </w:rPr>
        <w:t>幻灯片8 为什么走向混合</w:t>
      </w:r>
    </w:p>
    <w:p>
      <w:pPr>
        <w:keepLines/>
        <w:spacing w:line="280" w:lineRule="exact" w:after="120"/>
      </w:pPr>
      <w:r>
        <w:rPr>
          <w:b w:val="0"/>
          <w:sz w:val="19"/>
        </w:rPr>
        <w:t>用四组普通／尾部柱图说明方向差异，再用研究路径箭头串联衰减、小时响应、动态权重和固定混合。 取数：附录B1与C2；scoped_macro和model_comparison。</w:t>
      </w:r>
    </w:p>
    <w:p>
      <w:pPr>
        <w:pStyle w:val="Heading2"/>
        <w:keepLines/>
      </w:pPr>
      <w:r>
        <w:rPr>
          <w:b w:val="0"/>
        </w:rPr>
        <w:t>幻灯片9 混合效果</w:t>
      </w:r>
    </w:p>
    <w:p>
      <w:pPr>
        <w:keepLines/>
        <w:spacing w:line="280" w:lineRule="exact" w:after="120"/>
      </w:pPr>
      <w:r>
        <w:rPr>
          <w:b w:val="0"/>
          <w:sz w:val="19"/>
        </w:rPr>
        <w:t>展示三模型月等权RMSE和MAE，标明Call40%／Put15%为H0权重。折线图可加入混合，说明7月差距收窄。 取数：附录A1、A2；逐单结果保留在同页注释或备用页。</w:t>
      </w:r>
    </w:p>
    <w:p>
      <w:pPr>
        <w:pStyle w:val="Heading2"/>
        <w:keepLines/>
      </w:pPr>
      <w:r>
        <w:rPr>
          <w:b w:val="0"/>
        </w:rPr>
        <w:t>幻灯片10 外部公告</w:t>
      </w:r>
    </w:p>
    <w:p>
      <w:pPr>
        <w:keepLines/>
        <w:spacing w:line="280" w:lineRule="exact" w:after="120"/>
      </w:pPr>
      <w:r>
        <w:rPr>
          <w:b w:val="0"/>
          <w:sz w:val="19"/>
        </w:rPr>
        <w:t>展示官方CPI／非农／FOMC来源，经日程整理、UTC转换、预告证据与版本管理进入模型的流程。强调新增事件数据维度；1%规则及误差变化放备用页。取数：正文5.4–5.6、附录E和公告日历字段说明。</w:t>
      </w:r>
    </w:p>
    <w:p>
      <w:pPr>
        <w:pStyle w:val="Heading2"/>
        <w:keepLines/>
      </w:pPr>
      <w:r>
        <w:rPr>
          <w:b w:val="0"/>
        </w:rPr>
        <w:t>幻灯片11 商业建议</w:t>
      </w:r>
    </w:p>
    <w:p>
      <w:pPr>
        <w:keepLines/>
        <w:spacing w:line="280" w:lineRule="exact" w:after="120"/>
      </w:pPr>
      <w:r>
        <w:rPr>
          <w:b w:val="0"/>
          <w:sz w:val="19"/>
        </w:rPr>
        <w:t>展示Base参照、H0解释、分方向有限修正的报价流程；补充影子评估与分组监测。 取数：正文6.1。</w:t>
      </w:r>
    </w:p>
    <w:p>
      <w:pPr>
        <w:pStyle w:val="Heading2"/>
        <w:keepLines/>
      </w:pPr>
      <w:r>
        <w:rPr>
          <w:b w:val="0"/>
        </w:rPr>
        <w:t>幻灯片12 结论与测试</w:t>
      </w:r>
    </w:p>
    <w:p>
      <w:pPr>
        <w:keepLines/>
        <w:spacing w:line="280" w:lineRule="exact" w:after="120"/>
      </w:pPr>
      <w:r>
        <w:rPr>
          <w:b w:val="0"/>
          <w:sz w:val="19"/>
        </w:rPr>
        <w:t>突出简单H0在5–6月的成果和方向收益，以“混合优势仍需独立测试确认”收束。 取数：正文6.2–6.3；统计答疑见附录F。</w:t>
      </w:r>
    </w:p>
    <w:p>
      <w:pPr>
        <w:pStyle w:val="Heading2"/>
        <w:keepLines/>
      </w:pPr>
      <w:r>
        <w:rPr>
          <w:b w:val="0"/>
        </w:rPr>
        <w:t>H2 指标与取数速查</w:t>
      </w:r>
    </w:p>
    <w:p>
      <w:pPr>
        <w:keepLines/>
        <w:spacing w:line="280" w:lineRule="exact" w:after="120"/>
      </w:pPr>
      <w:r>
        <w:rPr>
          <w:b w:val="0"/>
          <w:sz w:val="19"/>
        </w:rPr>
        <w:t>RMSE＝√mean[(预测−实际)²]；MAE＝mean|预测−实际|。月等权RMSE＝√[(MSE五月＋MSE六月＋MSE七月)／3]，不是三个RMSE的算术平均。尾部q90按历史方向×期限确定；现金指标需乘BTC数量。</w:t>
      </w:r>
    </w:p>
    <w:p>
      <w:pPr>
        <w:keepLines/>
        <w:spacing w:line="280" w:lineRule="exact" w:after="120"/>
      </w:pPr>
      <w:r>
        <w:rPr>
          <w:b w:val="0"/>
          <w:sz w:val="19"/>
        </w:rPr>
        <w:t>正式来源目录为docs/results/report_announcement_v1_20261016/validation。model_comparison取总体；summary取月份／方向／期限／尾部；scoped_macro取月等权分组。模型ID为official_raw、h0、blend_c040_p015；公告为base_announcement_overlay。Call方向0、Put方向1；direction_tail值为0|body、0|tail、1|body、1|tail。</w:t>
      </w:r>
    </w:p>
    <w:p>
      <w:pPr>
        <w:keepLines/>
        <w:spacing w:line="280" w:lineRule="exact" w:after="120"/>
      </w:pPr>
      <w:r>
        <w:rPr>
          <w:b w:val="0"/>
          <w:sz w:val="19"/>
        </w:rPr>
        <w:t>图表脚注建议：“2026年4月训练起步，5–7月每7日滚动验证；统一4,640单；USDC/BTC；图示采用月等权／逐单口径。”同一图中保持口径一致，不能把净现金低估写成利润，也不能把分组改善写成所有订单全面改善。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29">
        <w:r>
          <w:rPr>
            <w:color w:val="516579"/>
            <w:sz w:val="19"/>
          </w:rPr>
          <w:t>报告成绩索引</w:t>
        </w:r>
      </w:hyperlink>
      <w:r>
        <w:t>；</w:t>
      </w:r>
      <w:hyperlink r:id="rId17">
        <w:r>
          <w:rPr>
            <w:color w:val="516579"/>
            <w:sz w:val="19"/>
          </w:rPr>
          <w:t>共同结果</w:t>
        </w:r>
      </w:hyperlink>
      <w:r>
        <w:t>；</w:t>
      </w:r>
      <w:hyperlink r:id="rId30">
        <w:r>
          <w:rPr>
            <w:color w:val="516579"/>
            <w:sz w:val="19"/>
          </w:rPr>
          <w:t>交接索引</w:t>
        </w:r>
      </w:hyperlink>
    </w:p>
    <w:sectPr w:rsidR="00FC693F" w:rsidRPr="0006063C" w:rsidSect="00034616">
      <w:footerReference w:type="default" r:id="rId9"/>
      <w:pgSz w:w="12240" w:h="15840"/>
      <w:pgMar w:top="1066" w:right="1224" w:bottom="979" w:left="1224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Heiti SC" w:cs="Arial"/>
        <w:color w:val="555555"/>
        <w:sz w:val="18"/>
        <w:lang w:val="en-US" w:eastAsia="zh-CN"/>
      </w:rPr>
      <w:t xml:space="preserve">第 </w:t>
    </w:r>
    <w:fldSimple w:instr="PAGE"/>
    <w:r>
      <w:rPr>
        <w:rFonts w:ascii="Arial" w:hAnsi="Arial" w:eastAsia="Heiti SC" w:cs="Arial"/>
        <w:color w:val="555555"/>
        <w:sz w:val="18"/>
        <w:lang w:val="en-US" w:eastAsia="zh-CN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40" w:line="350" w:lineRule="exact"/>
      <w:snapToGrid w:val="0"/>
    </w:pPr>
    <w:rPr>
      <w:rFonts w:ascii="Arial" w:hAnsi="Arial" w:eastAsia="Songti SC" w:cs="Arial"/>
      <w:b w:val="0"/>
      <w:i w:val="0"/>
      <w:color w:val="000000"/>
      <w:sz w:val="23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40" w:line="405" w:lineRule="exact"/>
      <w:outlineLvl w:val="0"/>
      <w:snapToGrid w:val="0"/>
    </w:pPr>
    <w:rPr>
      <w:rFonts w:ascii="Arial" w:hAnsi="Arial" w:eastAsia="Heiti SC" w:cs="Arial"/>
      <w:b/>
      <w:bCs/>
      <w:i w:val="0"/>
      <w:color w:val="000000"/>
      <w:sz w:val="30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00" w:line="324" w:lineRule="exact"/>
      <w:outlineLvl w:val="1"/>
      <w:snapToGrid w:val="0"/>
    </w:pPr>
    <w:rPr>
      <w:rFonts w:ascii="Arial" w:hAnsi="Arial" w:eastAsia="Heiti SC" w:cs="Arial"/>
      <w:b/>
      <w:bCs/>
      <w:i w:val="0"/>
      <w:color w:val="000000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40" w:line="621" w:lineRule="exact" w:before="0"/>
      <w:contextualSpacing/>
      <w:snapToGrid w:val="0"/>
    </w:pPr>
    <w:rPr>
      <w:rFonts w:ascii="Arial" w:hAnsi="Arial" w:eastAsia="Heiti SC" w:cs="Arial"/>
      <w:b/>
      <w:i w:val="0"/>
      <w:color w:val="000000"/>
      <w:spacing w:val="5"/>
      <w:kern w:val="28"/>
      <w:sz w:val="46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before="0" w:after="160" w:line="324" w:lineRule="exact"/>
      <w:snapToGrid w:val="0"/>
    </w:pPr>
    <w:rPr>
      <w:rFonts w:ascii="Arial" w:hAnsi="Arial" w:eastAsia="Heiti SC" w:cs="Arial"/>
      <w:b w:val="0"/>
      <w:i w:val="0"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70" w:lineRule="exact" w:before="0" w:after="100"/>
      <w:snapToGrid w:val="0"/>
    </w:pPr>
    <w:rPr>
      <w:rFonts w:ascii="Arial" w:hAnsi="Arial" w:eastAsia="Songti SC" w:cs="Arial"/>
      <w:b w:val="0"/>
      <w:bCs/>
      <w:i w:val="0"/>
      <w:color w:val="000000"/>
      <w:sz w:val="20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../data_pipeline.md" TargetMode="External"/><Relationship Id="rId11" Type="http://schemas.openxmlformats.org/officeDocument/2006/relationships/hyperlink" Target="../../pp_data/features.py" TargetMode="External"/><Relationship Id="rId12" Type="http://schemas.openxmlformats.org/officeDocument/2006/relationships/hyperlink" Target="../validation_protocol_v3.md" TargetMode="External"/><Relationship Id="rId13" Type="http://schemas.openxmlformats.org/officeDocument/2006/relationships/hyperlink" Target="../results/report_announcement_v1_20261016/validation/training_cohorts.csv" TargetMode="External"/><Relationship Id="rId14" Type="http://schemas.openxmlformats.org/officeDocument/2006/relationships/hyperlink" Target="../model_design.md" TargetMode="External"/><Relationship Id="rId15" Type="http://schemas.openxmlformats.org/officeDocument/2006/relationships/hyperlink" Target="../../pp_models/h0.py" TargetMode="External"/><Relationship Id="rId16" Type="http://schemas.openxmlformats.org/officeDocument/2006/relationships/hyperlink" Target="../../README.md" TargetMode="External"/><Relationship Id="rId17" Type="http://schemas.openxmlformats.org/officeDocument/2006/relationships/hyperlink" Target="../results/report_announcement_v1_20261016/validation/summary.csv" TargetMode="External"/><Relationship Id="rId18" Type="http://schemas.openxmlformats.org/officeDocument/2006/relationships/hyperlink" Target="../results/report_announcement_v1_20261016/validation/scoped_macro.csv" TargetMode="External"/><Relationship Id="rId19" Type="http://schemas.openxmlformats.org/officeDocument/2006/relationships/hyperlink" Target="../reports/2026-10-15-report-unified-rerun.md" TargetMode="External"/><Relationship Id="rId20" Type="http://schemas.openxmlformats.org/officeDocument/2006/relationships/hyperlink" Target="../results/report_announcement_v1_20261016/validation/model_comparison.csv" TargetMode="External"/><Relationship Id="rId21" Type="http://schemas.openxmlformats.org/officeDocument/2006/relationships/hyperlink" Target="../../external_data/macro_events/README.md" TargetMode="External"/><Relationship Id="rId22" Type="http://schemas.openxmlformats.org/officeDocument/2006/relationships/hyperlink" Target="../results/report_announcement_v1_20261016/validation/announcement_events.csv" TargetMode="External"/><Relationship Id="rId23" Type="http://schemas.openxmlformats.org/officeDocument/2006/relationships/hyperlink" Target="../results/report_announcement_v1_20261016/validation/risk_constraints.csv" TargetMode="External"/><Relationship Id="rId24" Type="http://schemas.openxmlformats.org/officeDocument/2006/relationships/hyperlink" Target="../results/report_announcement_v1_20261016/validation/intervals.csv" TargetMode="External"/><Relationship Id="rId25" Type="http://schemas.openxmlformats.org/officeDocument/2006/relationships/hyperlink" Target="../results/report_announcement_v1_20261016/validation/fixed_grid.csv" TargetMode="External"/><Relationship Id="rId26" Type="http://schemas.openxmlformats.org/officeDocument/2006/relationships/hyperlink" Target="../../pp_models/announcement_overlay.py" TargetMode="External"/><Relationship Id="rId27" Type="http://schemas.openxmlformats.org/officeDocument/2006/relationships/hyperlink" Target="../results/report_announcement_v1_20261016/validation/announcement_routing.csv" TargetMode="External"/><Relationship Id="rId28" Type="http://schemas.openxmlformats.org/officeDocument/2006/relationships/hyperlink" Target="../results/report_announcement_v1_20261016/validation/influence.csv" TargetMode="External"/><Relationship Id="rId29" Type="http://schemas.openxmlformats.org/officeDocument/2006/relationships/hyperlink" Target="../results/README.md" TargetMode="External"/><Relationship Id="rId30" Type="http://schemas.openxmlformats.org/officeDocument/2006/relationships/hyperlink" Target="../research_document_index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保险产品定价优化研究报告</dc:title>
  <dc:subject>H0与Base分方向混合 研究正文与汇报数据附录</dc:subject>
  <dc:creator>DBA5102 Capstone 项目组</dc:creator>
  <cp:keywords>两阶段模型, 赔付预测, 商业汇报</cp:keywords>
  <dc:description>Unified rerun report_unified_v3_20261015_r2; source baseline main 9c2389b; see local result manifest</dc:description>
  <cp:lastModifiedBy>DBA5102 Capstone 项目组</cp:lastModifiedBy>
  <cp:revision>1</cp:revision>
  <dcterms:created xsi:type="dcterms:W3CDTF">2026-10-15T00:00:00Z</dcterms:created>
  <dcterms:modified xsi:type="dcterms:W3CDTF">2026-10-16T00:00:00Z</dcterms:modified>
  <cp:category/>
</cp:coreProperties>
</file>