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r w:rsidRPr="00A47439">
        <w:rPr>
          <w:b/>
          <w:bCs/>
        </w:rPr>
        <w:t>SalesforceAppOwnsDataEmbedding</w:t>
      </w:r>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7353707D"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when you create a Create </w:t>
      </w:r>
      <w:r w:rsidR="00CA1381">
        <w:t>custom metadata type</w:t>
      </w:r>
      <w:r>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__mdt</w:t>
      </w:r>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__mdt</w:t>
      </w:r>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ClientId</w:t>
      </w:r>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w:t>
      </w:r>
      <w:r>
        <w:rPr>
          <w:b/>
          <w:bCs/>
        </w:rPr>
        <w:t>Secret</w:t>
      </w:r>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r>
        <w:rPr>
          <w:b/>
          <w:bCs/>
        </w:rPr>
        <w:t>TenantId</w:t>
      </w:r>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__mdt</w:t>
      </w:r>
      <w:r w:rsidR="004F0362">
        <w:t xml:space="preserve">. The </w:t>
      </w:r>
      <w:r w:rsidR="004F0362" w:rsidRPr="004F0362">
        <w:rPr>
          <w:b/>
          <w:bCs/>
        </w:rPr>
        <w:t>API Name</w:t>
      </w:r>
      <w:r w:rsidR="004F0362">
        <w:t xml:space="preserve"> values created for these fields will be </w:t>
      </w:r>
      <w:r w:rsidR="004F0362" w:rsidRPr="004F0362">
        <w:rPr>
          <w:b/>
          <w:bCs/>
        </w:rPr>
        <w:t>ClientId__c</w:t>
      </w:r>
      <w:r w:rsidR="004F0362">
        <w:t xml:space="preserve">, </w:t>
      </w:r>
      <w:r w:rsidR="004F0362" w:rsidRPr="004F0362">
        <w:rPr>
          <w:b/>
          <w:bCs/>
        </w:rPr>
        <w:t>ClientSecret__c</w:t>
      </w:r>
      <w:r w:rsidR="004F0362">
        <w:t xml:space="preserve"> and </w:t>
      </w:r>
      <w:r w:rsidR="004F0362" w:rsidRPr="004F0362">
        <w:rPr>
          <w:b/>
          <w:bCs/>
        </w:rPr>
        <w:t>TenantId__c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r w:rsidRPr="004F0362">
        <w:rPr>
          <w:b/>
          <w:bCs/>
        </w:rPr>
        <w:t>Power_BI_AUTH_SETTING</w:t>
      </w:r>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r w:rsidRPr="00CA1381">
        <w:rPr>
          <w:b/>
          <w:bCs/>
        </w:rPr>
        <w:t>ClientId</w:t>
      </w:r>
      <w:r>
        <w:t xml:space="preserve">, </w:t>
      </w:r>
      <w:r w:rsidRPr="00CA1381">
        <w:rPr>
          <w:b/>
          <w:bCs/>
        </w:rPr>
        <w:t>ClientSecret</w:t>
      </w:r>
      <w:r>
        <w:t xml:space="preserve"> and </w:t>
      </w:r>
      <w:r w:rsidRPr="00CA1381">
        <w:rPr>
          <w:b/>
          <w:bCs/>
        </w:rPr>
        <w:t>TenantId</w:t>
      </w:r>
      <w:r>
        <w:t xml:space="preserve">. Enter a value of </w:t>
      </w:r>
      <w:r w:rsidRPr="00CA1381">
        <w:rPr>
          <w:b/>
          <w:bCs/>
        </w:rPr>
        <w:t>PowerBiApp</w:t>
      </w:r>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r w:rsidR="00B75976" w:rsidRPr="00B75976">
        <w:rPr>
          <w:b/>
          <w:bCs/>
        </w:rPr>
        <w:t>ClientId</w:t>
      </w:r>
      <w:r w:rsidR="00B75976">
        <w:t xml:space="preserve">, </w:t>
      </w:r>
      <w:r w:rsidR="00B75976" w:rsidRPr="00B75976">
        <w:rPr>
          <w:b/>
          <w:bCs/>
        </w:rPr>
        <w:t>ClientSecret</w:t>
      </w:r>
      <w:r w:rsidR="00B75976">
        <w:t xml:space="preserve"> and </w:t>
      </w:r>
      <w:r w:rsidR="00B75976" w:rsidRPr="00B75976">
        <w:rPr>
          <w:b/>
          <w:bCs/>
        </w:rPr>
        <w:t>TenantId</w:t>
      </w:r>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r w:rsidRPr="00B75976">
        <w:rPr>
          <w:b/>
          <w:bCs/>
        </w:rPr>
        <w:t>PowerBiApp</w:t>
      </w:r>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BI_Auth_Setting__mdt authSetting = Power_BI_Auth_Setting__mdt.getInstance('PowerBiApp');</w:t>
      </w:r>
    </w:p>
    <w:p w14:paraId="1251B523" w14:textId="2C8B27B4" w:rsidR="00B75976" w:rsidRPr="00517CAB" w:rsidRDefault="00B75976" w:rsidP="00517CAB">
      <w:pPr>
        <w:spacing w:after="0"/>
      </w:pPr>
      <w:r w:rsidRPr="00517CAB">
        <w:t xml:space="preserve">string TenantId = authSetting.TenantId__c; </w:t>
      </w:r>
    </w:p>
    <w:p w14:paraId="639EB583" w14:textId="19B0E391" w:rsidR="00B75976" w:rsidRPr="00517CAB" w:rsidRDefault="00B75976" w:rsidP="00517CAB">
      <w:pPr>
        <w:spacing w:after="0"/>
      </w:pPr>
      <w:r w:rsidRPr="00517CAB">
        <w:t>string ClientId = authSetting.ClientId__c;</w:t>
      </w:r>
    </w:p>
    <w:p w14:paraId="2D6A96A8" w14:textId="22810784" w:rsidR="00B75976" w:rsidRPr="00517CAB" w:rsidRDefault="00B75976" w:rsidP="00517CAB">
      <w:pPr>
        <w:spacing w:after="0"/>
      </w:pPr>
      <w:r w:rsidRPr="00517CAB">
        <w:t>string ClientSecret = authSetting.ClientSecret__c;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r w:rsidRPr="00721AA1">
        <w:rPr>
          <w:b/>
          <w:bCs/>
        </w:rPr>
        <w:t>powerbijs</w:t>
      </w:r>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r w:rsidR="00FF2400" w:rsidRPr="00FF2400">
        <w:rPr>
          <w:b/>
          <w:bCs/>
        </w:rPr>
        <w:t>powerbijs</w:t>
      </w:r>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r w:rsidRPr="00FF2400">
        <w:rPr>
          <w:b/>
          <w:bCs/>
        </w:rPr>
        <w:t>powerbijs</w:t>
      </w:r>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CD08A3"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CD08A3"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r>
        <w:t>xxxxxx</w:t>
      </w:r>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r>
        <w:t>xxxxxx</w:t>
      </w:r>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r>
        <w:t>X</w:t>
      </w:r>
      <w:r>
        <w:t>xxxxx</w:t>
      </w:r>
      <w:r>
        <w:t xml:space="preserve">eb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B340F"/>
    <w:rsid w:val="00BE69D2"/>
    <w:rsid w:val="00BF7677"/>
    <w:rsid w:val="00C04C14"/>
    <w:rsid w:val="00C145B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1177</TotalTime>
  <Pages>9</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82</cp:revision>
  <dcterms:created xsi:type="dcterms:W3CDTF">2021-03-13T14:49:00Z</dcterms:created>
  <dcterms:modified xsi:type="dcterms:W3CDTF">2021-03-23T21:09:00Z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