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yncopate" w:cs="Syncopate" w:eastAsia="Syncopate" w:hAnsi="Syncopate"/>
        </w:rPr>
      </w:pPr>
      <w:bookmarkStart w:colFirst="0" w:colLast="0" w:name="_353cxurp1v5a" w:id="0"/>
      <w:bookmarkEnd w:id="0"/>
      <w:r w:rsidDel="00000000" w:rsidR="00000000" w:rsidRPr="00000000">
        <w:rPr>
          <w:rFonts w:ascii="Syncopate" w:cs="Syncopate" w:eastAsia="Syncopate" w:hAnsi="Syncopate"/>
          <w:rtl w:val="0"/>
        </w:rPr>
        <w:t xml:space="preserve">Réunion du 27/03/2019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xbfhvfu0gi4c" w:id="1"/>
      <w:bookmarkEnd w:id="1"/>
      <w:r w:rsidDel="00000000" w:rsidR="00000000" w:rsidRPr="00000000">
        <w:rPr>
          <w:rtl w:val="0"/>
        </w:rPr>
        <w:t xml:space="preserve">#X Fab 14H30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305zj83g43j" w:id="2"/>
      <w:bookmarkEnd w:id="2"/>
      <w:r w:rsidDel="00000000" w:rsidR="00000000" w:rsidRPr="00000000">
        <w:rPr>
          <w:rtl w:val="0"/>
        </w:rPr>
        <w:t xml:space="preserve">Ordre du jour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On a pris la décision d’essayer de participer à la coupe, en payant l'inscription (150€+50€ d’adhésion : à vérifiers les 16 ont déjà une adhésion). Si le robot n’est pas prêt à temps, on pourra tout de même assister aux autres combat comme spectateur et se renseigner pour l’année prochaine. L’idée de faire un </w:t>
      </w:r>
      <w:r w:rsidDel="00000000" w:rsidR="00000000" w:rsidRPr="00000000">
        <w:rPr>
          <w:b w:val="1"/>
          <w:rtl w:val="0"/>
        </w:rPr>
        <w:t xml:space="preserve">RETEX</w:t>
      </w:r>
      <w:r w:rsidDel="00000000" w:rsidR="00000000" w:rsidRPr="00000000">
        <w:rPr>
          <w:rtl w:val="0"/>
        </w:rPr>
        <w:t xml:space="preserve"> maximal pour les X18 et leur préparer une participation efficace à la coupe.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MECA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Réparation de la table abîmée par les travaux.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Impression 3D d’une nouvelle bride pour le moteur (jaune et rouge)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d’un nouveau système isostatique de maintien des codeuses, avec charnière, pour éviter que les roues motrices ne patinent.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84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INFO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Essais en asservissement : avance relativement droit mais courbure globale -&gt; besoin d’un asservissement qui tient en compte de </w:t>
      </w:r>
      <w:r w:rsidDel="00000000" w:rsidR="00000000" w:rsidRPr="00000000">
        <w:rPr>
          <w:b w:val="1"/>
          <w:rtl w:val="0"/>
        </w:rPr>
        <w:t xml:space="preserve">l’erreur passée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d’un correcteur PI pour corriger la dérive : prise en compte d’un couple de perturbation dû à l’hyperstatisme (glissement de la roue car les codeuses touchent le sol à leur place). -&gt; L’erreur semble être corrigée.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Augmenter la classe du système a permis d’assurer la précision en réponse à une perturbation.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  <w:t xml:space="preserve">Coupe de France de Robotique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