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TDR R2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 : score one point against a static robot placed at a random spot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Cordon de démarrage : &gt;50cm, se détache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Bouton d’arrêt d’urgence : diamètre &gt; 20mm, arrêt immédiat, couleur rouge, au-dessus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Arrêt automatique au bout de 100 secondes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Système d’évitement de robot : non perturbé par l’environnement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Support de balise : 43cm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Tension : &lt; 48V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Pousser un interrupteur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Pousser un palet dans une direction (écart d’angle important toléré)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Détecter le robot adverse -&gt; global caméra/local ultrason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Déterminer si une tâche est accessible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Déterminer si une tâche a été effectuée (interrupteur + palet)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Affichage dynamique du score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 repérer (caméra)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Cordon de démarrage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Cordelette accrochée à un bouton levier qui tire dessus puis se désenfile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Bouton d’arrêt d’urgence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Tige verticale au-dessus d’un interrupteur situé au plus proche de la batterie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Arrêt automatique au bout de 100 secondes 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Timer Raspberry, éventuellement Arduino spéciale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Pousser un interrupteur 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Cf se repérer -&gt; être capable de se mettre à un endroit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Pousser un palet 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Cf se repérer -&gt; être capable de déterminer et prendre un chemin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Détecter le robot adverse 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-Caméra : Capable de détecter la position du robot adverse grâce à la balise à 3cm près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Caractéristiques : update de toutes les positions toutes les 300 ms, angle de vue de 112°, résolution 600x400 (plus si meilleur angle de vue), transmission des positions au robot sans perte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-Ultrasons : Capable de détecter la position d’un obstacle frontal situé entre 6 et 30 cm à plus ou moins 1cm, en vue de s’arrêter à plus de 5cm du robot adverse (en cas d’actionneur éloigné du robot type pince)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Déterminer si une tâche est accessible 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 fonction de la position du robot adverse et de la position à atteindre pour effectuer la tâche: existe-t-il un chemin entre les deux? Si oui, le déterminer et être capable de le parcourir. Pas de taux d’erreur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Déterminer si une tâche a été effectuée 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expérience : capteur de contact sur le robot, capable de détecter s’il a poussé quelque chose?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Classer des palets : repérage d’une couleur avec la caméra, voir si elle correspond à celle de la case, taux d’erreur 1%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Affichage dynamique du score 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Ecran affichant un nombre à trois chiffres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Cf contrôle des taches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