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79E" w:rsidRDefault="00174641" w:rsidP="001D57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6: Wilkinson Power Divider and Phase Shifter</w:t>
      </w:r>
    </w:p>
    <w:p w:rsidR="00174641" w:rsidRDefault="00174641" w:rsidP="00D63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Wilkinson Power Divider</w:t>
      </w:r>
      <w:r w:rsidR="00D63101">
        <w:rPr>
          <w:rFonts w:ascii="Times New Roman" w:hAnsi="Times New Roman" w:cs="Times New Roman"/>
        </w:rPr>
        <w:br/>
      </w:r>
      <w:proofErr w:type="gramStart"/>
      <w:r w:rsidR="00D63101">
        <w:rPr>
          <w:rFonts w:ascii="Times New Roman" w:hAnsi="Times New Roman" w:cs="Times New Roman"/>
        </w:rPr>
        <w:t>The</w:t>
      </w:r>
      <w:proofErr w:type="gramEnd"/>
      <w:r w:rsidR="00D63101">
        <w:rPr>
          <w:rFonts w:ascii="Times New Roman" w:hAnsi="Times New Roman" w:cs="Times New Roman"/>
        </w:rPr>
        <w:t xml:space="preserve"> Wilkinson power divider is a 3 port device that equally divides the input power. The device can also be used as a divider by adding the power from the output ports in the input port. Below are the calculated values used for simulation and the results of the </w:t>
      </w:r>
      <w:proofErr w:type="gramStart"/>
      <w:r w:rsidR="00D63101">
        <w:rPr>
          <w:rFonts w:ascii="Times New Roman" w:hAnsi="Times New Roman" w:cs="Times New Roman"/>
        </w:rPr>
        <w:t>simulation.</w:t>
      </w:r>
      <w:proofErr w:type="gramEnd"/>
      <w:r w:rsidR="00DD768E">
        <w:rPr>
          <w:rFonts w:ascii="Times New Roman" w:hAnsi="Times New Roman" w:cs="Times New Roman"/>
        </w:rPr>
        <w:br/>
      </w:r>
      <w:proofErr w:type="spellStart"/>
      <w:r w:rsidR="00DD768E">
        <w:rPr>
          <w:rFonts w:ascii="Times New Roman" w:hAnsi="Times New Roman" w:cs="Times New Roman"/>
        </w:rPr>
        <w:t>λ</w:t>
      </w:r>
      <w:r w:rsidR="00DD768E">
        <w:rPr>
          <w:rFonts w:ascii="Times New Roman" w:hAnsi="Times New Roman" w:cs="Times New Roman"/>
          <w:vertAlign w:val="subscript"/>
        </w:rPr>
        <w:t>eff</w:t>
      </w:r>
      <w:proofErr w:type="spellEnd"/>
      <w:r w:rsidR="00DD768E">
        <w:rPr>
          <w:rFonts w:ascii="Times New Roman" w:hAnsi="Times New Roman" w:cs="Times New Roman"/>
        </w:rPr>
        <w:t>/4=17.3 mm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1"/>
        <w:gridCol w:w="1489"/>
        <w:gridCol w:w="1505"/>
        <w:gridCol w:w="1215"/>
        <w:gridCol w:w="1215"/>
      </w:tblGrid>
      <w:tr w:rsidR="00D63101" w:rsidTr="00CC278D">
        <w:tc>
          <w:tcPr>
            <w:tcW w:w="1271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9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</w:t>
            </w:r>
          </w:p>
        </w:tc>
        <w:tc>
          <w:tcPr>
            <w:tcW w:w="150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(Ω)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(mm)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(mm)</w:t>
            </w:r>
          </w:p>
        </w:tc>
      </w:tr>
      <w:tr w:rsidR="00D63101" w:rsidTr="00CC278D">
        <w:tc>
          <w:tcPr>
            <w:tcW w:w="1271" w:type="dxa"/>
          </w:tcPr>
          <w:p w:rsidR="00D63101" w:rsidRPr="0017464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Feed </w:t>
            </w:r>
          </w:p>
        </w:tc>
        <w:tc>
          <w:tcPr>
            <w:tcW w:w="1489" w:type="dxa"/>
          </w:tcPr>
          <w:p w:rsidR="00D63101" w:rsidRPr="0017464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50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3.13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D63101" w:rsidTr="00CC278D">
        <w:tc>
          <w:tcPr>
            <w:tcW w:w="1271" w:type="dxa"/>
          </w:tcPr>
          <w:p w:rsidR="00D63101" w:rsidRPr="0017464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Arms</w:t>
            </w:r>
          </w:p>
        </w:tc>
        <w:tc>
          <w:tcPr>
            <w:tcW w:w="1489" w:type="dxa"/>
          </w:tcPr>
          <w:p w:rsidR="00D63101" w:rsidRPr="0017464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Z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</w:p>
        </w:tc>
        <w:tc>
          <w:tcPr>
            <w:tcW w:w="150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70.71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</w:t>
            </w:r>
          </w:p>
        </w:tc>
      </w:tr>
      <w:tr w:rsidR="00D63101" w:rsidTr="00CC278D">
        <w:tc>
          <w:tcPr>
            <w:tcW w:w="1271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89" w:type="dxa"/>
          </w:tcPr>
          <w:p w:rsidR="00D63101" w:rsidRPr="0017464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2Z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50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15" w:type="dxa"/>
          </w:tcPr>
          <w:p w:rsidR="00D63101" w:rsidRDefault="00D63101" w:rsidP="00D631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174641" w:rsidRDefault="00174641" w:rsidP="00174641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Simulated in HFSS and Measured</w:t>
      </w:r>
    </w:p>
    <w:p w:rsidR="00174641" w:rsidRDefault="00DD768E" w:rsidP="00174641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DE260E">
            <wp:extent cx="4744720" cy="26984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0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768E" w:rsidRDefault="00DD768E" w:rsidP="00DD768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simulated and measured result line up well </w:t>
      </w:r>
      <w:r w:rsidR="009E0396">
        <w:rPr>
          <w:rFonts w:ascii="Times New Roman" w:hAnsi="Times New Roman" w:cs="Times New Roman"/>
        </w:rPr>
        <w:t>for the S21 and S3</w:t>
      </w:r>
      <w:r>
        <w:rPr>
          <w:rFonts w:ascii="Times New Roman" w:hAnsi="Times New Roman" w:cs="Times New Roman"/>
        </w:rPr>
        <w:t>1 parameters. The other parameters have varied results for which frequencies the measured and simulated results match.</w:t>
      </w:r>
      <w:r w:rsidR="009E0396">
        <w:rPr>
          <w:rFonts w:ascii="Times New Roman" w:hAnsi="Times New Roman" w:cs="Times New Roman"/>
        </w:rPr>
        <w:t xml:space="preserve"> The measured results </w:t>
      </w:r>
      <w:r w:rsidR="0060534B">
        <w:rPr>
          <w:rFonts w:ascii="Times New Roman" w:hAnsi="Times New Roman" w:cs="Times New Roman"/>
        </w:rPr>
        <w:t xml:space="preserve">have more dips in the magnitude at more frequencies.  This is a result the line lengths being too long (typically a shift a lower frequency.) </w:t>
      </w:r>
    </w:p>
    <w:p w:rsidR="00D63101" w:rsidRDefault="00DD768E" w:rsidP="00DD7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Shifter</w:t>
      </w:r>
    </w:p>
    <w:p w:rsidR="00DD768E" w:rsidRDefault="00D63101" w:rsidP="002826B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Phase Shifter is a device that can change the outputted phase of an input. In this lab, the desired phase shifts are 0</w:t>
      </w:r>
      <w:r>
        <w:rPr>
          <w:rFonts w:ascii="Times New Roman" w:hAnsi="Times New Roman" w:cs="Times New Roman"/>
        </w:rPr>
        <w:t>°</w:t>
      </w:r>
      <w:r>
        <w:rPr>
          <w:rFonts w:ascii="Times New Roman" w:hAnsi="Times New Roman" w:cs="Times New Roman"/>
        </w:rPr>
        <w:t>, 90°, and 180</w:t>
      </w:r>
      <w:r>
        <w:rPr>
          <w:rFonts w:ascii="Times New Roman" w:hAnsi="Times New Roman" w:cs="Times New Roman"/>
        </w:rPr>
        <w:t>°</w:t>
      </w:r>
      <w:r>
        <w:rPr>
          <w:rFonts w:ascii="Times New Roman" w:hAnsi="Times New Roman" w:cs="Times New Roman"/>
        </w:rPr>
        <w:t xml:space="preserve">. In lab a 50 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line was created for the 0</w:t>
      </w:r>
      <w:r>
        <w:rPr>
          <w:rFonts w:ascii="Times New Roman" w:hAnsi="Times New Roman" w:cs="Times New Roman"/>
        </w:rPr>
        <w:t>°</w:t>
      </w:r>
      <w:r>
        <w:rPr>
          <w:rFonts w:ascii="Times New Roman" w:hAnsi="Times New Roman" w:cs="Times New Roman"/>
        </w:rPr>
        <w:t xml:space="preserve"> phase shift. From there, the additional lengths needed to achieve the desired phase shift were calculated using the equation below. The device was tested using the network </w:t>
      </w:r>
      <w:proofErr w:type="spellStart"/>
      <w:r>
        <w:rPr>
          <w:rFonts w:ascii="Times New Roman" w:hAnsi="Times New Roman" w:cs="Times New Roman"/>
        </w:rPr>
        <w:t>analyser</w:t>
      </w:r>
      <w:proofErr w:type="spellEnd"/>
      <w:r>
        <w:rPr>
          <w:rFonts w:ascii="Times New Roman" w:hAnsi="Times New Roman" w:cs="Times New Roman"/>
        </w:rPr>
        <w:t xml:space="preserve"> and the results are shown below.</w:t>
      </w:r>
      <w:r w:rsidR="00DD768E" w:rsidRPr="002826B1">
        <w:rPr>
          <w:rFonts w:ascii="Times New Roman" w:hAnsi="Times New Roman" w:cs="Times New Roman"/>
        </w:rPr>
        <w:br/>
        <w:t>Reference Length: 102 mm</w:t>
      </w:r>
      <w:r w:rsidRPr="002826B1">
        <w:rPr>
          <w:rFonts w:ascii="Times New Roman" w:hAnsi="Times New Roman" w:cs="Times New Roman"/>
        </w:rPr>
        <w:t xml:space="preserve"> (length of board</w:t>
      </w:r>
      <w:proofErr w:type="gramStart"/>
      <w:r w:rsidRPr="002826B1">
        <w:rPr>
          <w:rFonts w:ascii="Times New Roman" w:hAnsi="Times New Roman" w:cs="Times New Roman"/>
        </w:rPr>
        <w:t>)</w:t>
      </w:r>
      <w:proofErr w:type="gramEnd"/>
      <w:r w:rsidR="00DD768E" w:rsidRPr="002826B1">
        <w:rPr>
          <w:rFonts w:ascii="Times New Roman" w:hAnsi="Times New Roman" w:cs="Times New Roman"/>
        </w:rPr>
        <w:br/>
        <w:t>Width at 50 Ω : 3.118 mm</w:t>
      </w:r>
    </w:p>
    <w:p w:rsidR="002826B1" w:rsidRPr="002826B1" w:rsidRDefault="002826B1" w:rsidP="002826B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of Operation: 3 GHz</w:t>
      </w:r>
    </w:p>
    <w:p w:rsidR="00D63101" w:rsidRPr="00D63101" w:rsidRDefault="00D63101" w:rsidP="00D63101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90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D63101" w:rsidRDefault="00D63101" w:rsidP="00D63101">
      <w:pPr>
        <w:pStyle w:val="ListParagraph"/>
        <w:ind w:left="144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18</m:t>
              </m:r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63101" w:rsidRDefault="00D63101" w:rsidP="00D63101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5"/>
        <w:gridCol w:w="1710"/>
        <w:gridCol w:w="1980"/>
        <w:gridCol w:w="1170"/>
        <w:gridCol w:w="1260"/>
      </w:tblGrid>
      <w:tr w:rsidR="009E0396" w:rsidTr="0060534B">
        <w:tc>
          <w:tcPr>
            <w:tcW w:w="1525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Phase Shift (°)</w:t>
            </w:r>
          </w:p>
        </w:tc>
        <w:tc>
          <w:tcPr>
            <w:tcW w:w="1710" w:type="dxa"/>
          </w:tcPr>
          <w:p w:rsidR="009E0396" w:rsidRDefault="009E0396" w:rsidP="009E03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Phase (°)</w:t>
            </w:r>
          </w:p>
        </w:tc>
        <w:tc>
          <w:tcPr>
            <w:tcW w:w="198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Phase (°)</w:t>
            </w:r>
          </w:p>
        </w:tc>
        <w:tc>
          <w:tcPr>
            <w:tcW w:w="1170" w:type="dxa"/>
          </w:tcPr>
          <w:p w:rsidR="009E0396" w:rsidRDefault="009E0396" w:rsidP="00605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60534B">
              <w:rPr>
                <w:rFonts w:ascii="Times New Roman" w:hAnsi="Times New Roman" w:cs="Times New Roman"/>
                <w:vertAlign w:val="subscript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(mm)</w:t>
            </w:r>
          </w:p>
        </w:tc>
        <w:tc>
          <w:tcPr>
            <w:tcW w:w="126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(mm)</w:t>
            </w:r>
          </w:p>
        </w:tc>
      </w:tr>
      <w:tr w:rsidR="009E0396" w:rsidTr="0060534B">
        <w:tc>
          <w:tcPr>
            <w:tcW w:w="1525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-434.07</w:t>
            </w:r>
          </w:p>
        </w:tc>
        <w:tc>
          <w:tcPr>
            <w:tcW w:w="198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-435</w:t>
            </w:r>
          </w:p>
        </w:tc>
        <w:tc>
          <w:tcPr>
            <w:tcW w:w="117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9E0396" w:rsidTr="0060534B">
        <w:tc>
          <w:tcPr>
            <w:tcW w:w="1525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1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-524.07</w:t>
            </w:r>
          </w:p>
        </w:tc>
        <w:tc>
          <w:tcPr>
            <w:tcW w:w="198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-506</w:t>
            </w:r>
          </w:p>
        </w:tc>
        <w:tc>
          <w:tcPr>
            <w:tcW w:w="117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14.036</w:t>
            </w:r>
          </w:p>
        </w:tc>
        <w:tc>
          <w:tcPr>
            <w:tcW w:w="126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116.036</w:t>
            </w:r>
          </w:p>
        </w:tc>
      </w:tr>
      <w:tr w:rsidR="009E0396" w:rsidTr="0060534B">
        <w:tc>
          <w:tcPr>
            <w:tcW w:w="1525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71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-61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198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-598</w:t>
            </w:r>
          </w:p>
        </w:tc>
        <w:tc>
          <w:tcPr>
            <w:tcW w:w="117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28.072</w:t>
            </w:r>
          </w:p>
        </w:tc>
        <w:tc>
          <w:tcPr>
            <w:tcW w:w="1260" w:type="dxa"/>
          </w:tcPr>
          <w:p w:rsidR="009E0396" w:rsidRDefault="009E0396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130.072</w:t>
            </w:r>
          </w:p>
        </w:tc>
      </w:tr>
    </w:tbl>
    <w:p w:rsidR="00DD768E" w:rsidRDefault="00E9616F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Results of each part of the Phase Shifter</w:t>
      </w:r>
    </w:p>
    <w:p w:rsidR="00E9616F" w:rsidRDefault="00E9616F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3B7E77">
            <wp:extent cx="2443194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78" cy="1477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B26A931">
            <wp:extent cx="2438400" cy="146574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73" cy="1490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EE2" w:rsidRDefault="00110EE2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58FB98">
            <wp:extent cx="2333644" cy="13995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158" cy="141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75B4067">
            <wp:extent cx="2327209" cy="1398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70" cy="140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EE2" w:rsidRDefault="00110EE2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3342DB">
            <wp:extent cx="2339340" cy="1404902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43" cy="1419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7BEE35D">
            <wp:extent cx="2346960" cy="14127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19" cy="1431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456" w:rsidRDefault="00120456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A9AF99">
            <wp:extent cx="2329262" cy="1402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52" cy="1421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D3476DF">
            <wp:extent cx="2324100" cy="13989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56" cy="142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456" w:rsidRPr="00DD768E" w:rsidRDefault="00120456" w:rsidP="0012045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Phase shifter had problems with the length being too short for both the 90° and 180°. In addition there were problems with attaching/ detaching the copper strips that contribute to </w:t>
      </w:r>
      <w:r w:rsidR="0060534B">
        <w:rPr>
          <w:rFonts w:ascii="Times New Roman" w:hAnsi="Times New Roman" w:cs="Times New Roman"/>
        </w:rPr>
        <w:t>the error in the shifts. W</w:t>
      </w:r>
      <w:r>
        <w:rPr>
          <w:rFonts w:ascii="Times New Roman" w:hAnsi="Times New Roman" w:cs="Times New Roman"/>
        </w:rPr>
        <w:t xml:space="preserve">hen the network analyzer unwraps the phase measurement, it did it incorrectly </w:t>
      </w:r>
      <w:r w:rsidR="0004606C">
        <w:rPr>
          <w:rFonts w:ascii="Times New Roman" w:hAnsi="Times New Roman" w:cs="Times New Roman"/>
        </w:rPr>
        <w:t>resulting in 36</w:t>
      </w:r>
      <w:r>
        <w:rPr>
          <w:rFonts w:ascii="Times New Roman" w:hAnsi="Times New Roman" w:cs="Times New Roman"/>
        </w:rPr>
        <w:t xml:space="preserve">0° needed to be added to the phase values. </w:t>
      </w:r>
      <w:r w:rsidR="0060534B">
        <w:rPr>
          <w:rFonts w:ascii="Times New Roman" w:hAnsi="Times New Roman" w:cs="Times New Roman"/>
        </w:rPr>
        <w:t>Still, the measured shifts were less than desired which reflects in a phase shift length that is too short.</w:t>
      </w:r>
    </w:p>
    <w:sectPr w:rsidR="00120456" w:rsidRPr="00DD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40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A2545F"/>
    <w:multiLevelType w:val="hybridMultilevel"/>
    <w:tmpl w:val="F580E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915EA9"/>
    <w:multiLevelType w:val="hybridMultilevel"/>
    <w:tmpl w:val="99642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8B"/>
    <w:rsid w:val="0004606C"/>
    <w:rsid w:val="00110EE2"/>
    <w:rsid w:val="00120456"/>
    <w:rsid w:val="00174641"/>
    <w:rsid w:val="001D578B"/>
    <w:rsid w:val="00234006"/>
    <w:rsid w:val="002826B1"/>
    <w:rsid w:val="004C1677"/>
    <w:rsid w:val="004D7A3D"/>
    <w:rsid w:val="004E38DB"/>
    <w:rsid w:val="00604936"/>
    <w:rsid w:val="0060534B"/>
    <w:rsid w:val="00710BEB"/>
    <w:rsid w:val="0076579E"/>
    <w:rsid w:val="007867BC"/>
    <w:rsid w:val="00891B1B"/>
    <w:rsid w:val="009E0396"/>
    <w:rsid w:val="00A733B6"/>
    <w:rsid w:val="00C167D6"/>
    <w:rsid w:val="00C96C98"/>
    <w:rsid w:val="00CA2801"/>
    <w:rsid w:val="00D14C41"/>
    <w:rsid w:val="00D63101"/>
    <w:rsid w:val="00D74AA9"/>
    <w:rsid w:val="00DD768E"/>
    <w:rsid w:val="00E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0A3A-ACF2-4E2F-BD13-59BA9E4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578B"/>
    <w:rPr>
      <w:color w:val="808080"/>
    </w:rPr>
  </w:style>
  <w:style w:type="table" w:styleId="TableGrid">
    <w:name w:val="Table Grid"/>
    <w:basedOn w:val="TableNormal"/>
    <w:uiPriority w:val="39"/>
    <w:rsid w:val="0060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Smith</dc:creator>
  <cp:keywords/>
  <dc:description/>
  <cp:lastModifiedBy>Lisa Smith</cp:lastModifiedBy>
  <cp:revision>4</cp:revision>
  <dcterms:created xsi:type="dcterms:W3CDTF">2016-03-30T21:17:00Z</dcterms:created>
  <dcterms:modified xsi:type="dcterms:W3CDTF">2016-04-06T19:48:00Z</dcterms:modified>
</cp:coreProperties>
</file>