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B622E4">
      <w:pPr>
        <w:pStyle w:val="TOC1"/>
        <w:tabs>
          <w:tab w:val="right" w:leader="dot" w:pos="8630"/>
        </w:tabs>
        <w:rPr>
          <w:rFonts w:asciiTheme="minorHAnsi" w:eastAsiaTheme="minorEastAsia" w:hAnsiTheme="minorHAnsi" w:cstheme="minorBidi"/>
          <w:noProof/>
          <w:sz w:val="22"/>
          <w:szCs w:val="22"/>
        </w:rPr>
      </w:pPr>
      <w:r w:rsidRPr="00B622E4">
        <w:fldChar w:fldCharType="begin"/>
      </w:r>
      <w:r w:rsidR="007E2558">
        <w:instrText xml:space="preserve"> TOC \o "1-3" \h \z \u </w:instrText>
      </w:r>
      <w:r w:rsidRPr="00B622E4">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B622E4"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B622E4" w:rsidP="007E2558">
      <w:bookmarkStart w:id="37" w:name="_GoBack"/>
      <w:bookmarkEnd w:id="37"/>
      <w:r w:rsidRPr="00B622E4">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CA205E" w:rsidRDefault="00CA205E" w:rsidP="00A4730A">
                  <w:r>
                    <w:t>Status of each of the paper</w:t>
                  </w:r>
                </w:p>
                <w:p w:rsidR="00CA205E" w:rsidRDefault="00CA205E" w:rsidP="00A4730A"/>
                <w:p w:rsidR="00CA205E" w:rsidRDefault="00CA205E" w:rsidP="00A4730A">
                  <w:r>
                    <w:t>Full text available = 147 (53.65%)</w:t>
                  </w:r>
                </w:p>
                <w:p w:rsidR="00CA205E" w:rsidRDefault="00CA205E" w:rsidP="00A4730A">
                  <w:r>
                    <w:t>Abstract available = 119 (43.43%)</w:t>
                  </w:r>
                </w:p>
                <w:p w:rsidR="00CA205E" w:rsidRDefault="00CA205E" w:rsidP="00A4730A">
                  <w:r>
                    <w:t>Not available = 8 (2.92%)</w:t>
                  </w:r>
                </w:p>
              </w:txbxContent>
            </v:textbox>
          </v:shape>
        </w:pict>
      </w:r>
      <w:r w:rsidRPr="00B622E4">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B622E4">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CA205E" w:rsidRDefault="00CA205E">
                  <w:r>
                    <w:t>Time frame = Till August 2016</w:t>
                  </w:r>
                </w:p>
              </w:txbxContent>
            </v:textbox>
          </v:shape>
        </w:pict>
      </w:r>
    </w:p>
    <w:p w:rsidR="00E372D5" w:rsidRDefault="00B622E4" w:rsidP="007E2558">
      <w:r w:rsidRPr="00B622E4">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B622E4" w:rsidP="007E2558">
      <w:r w:rsidRPr="00B622E4">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CA205E" w:rsidRDefault="00CA205E" w:rsidP="00E372D5">
                  <w:r>
                    <w:t>Database searched = Cochrane library</w:t>
                  </w:r>
                </w:p>
              </w:txbxContent>
            </v:textbox>
          </v:shape>
        </w:pict>
      </w:r>
    </w:p>
    <w:p w:rsidR="00E372D5" w:rsidRDefault="00E372D5" w:rsidP="007E2558"/>
    <w:p w:rsidR="00E372D5" w:rsidRDefault="00B622E4" w:rsidP="007E2558">
      <w:r w:rsidRPr="00B622E4">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B622E4">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B622E4" w:rsidP="007E2558">
      <w:r w:rsidRPr="00B622E4">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CA205E" w:rsidRDefault="00CA205E" w:rsidP="0007215A">
                  <w:r>
                    <w:t>Number of studies published before</w:t>
                  </w:r>
                </w:p>
                <w:p w:rsidR="00CA205E" w:rsidRDefault="00CA205E" w:rsidP="0007215A"/>
                <w:p w:rsidR="00CA205E" w:rsidRDefault="00CA205E" w:rsidP="0007215A">
                  <w:r>
                    <w:t>On or before 2003 = 52 (18.98%)</w:t>
                  </w:r>
                </w:p>
                <w:p w:rsidR="00CA205E" w:rsidRDefault="00CA205E" w:rsidP="0007215A">
                  <w:r>
                    <w:t>Between 2004 and 2012 = 130 (47.45%)</w:t>
                  </w:r>
                </w:p>
                <w:p w:rsidR="00CA205E" w:rsidRDefault="00CA205E" w:rsidP="0007215A">
                  <w:r>
                    <w:t>Between 2013 and 2016 = 92 (33.58%)</w:t>
                  </w:r>
                </w:p>
              </w:txbxContent>
            </v:textbox>
          </v:shape>
        </w:pict>
      </w:r>
      <w:r w:rsidRPr="00B622E4">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CA205E" w:rsidRDefault="00CA205E" w:rsidP="00E372D5">
                  <w:r>
                    <w:t>Potentially relevant papers identified</w:t>
                  </w:r>
                </w:p>
                <w:p w:rsidR="00CA205E" w:rsidRDefault="00CA205E"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CA205E" w:rsidRDefault="00CA205E" w:rsidP="00E372D5"/>
                <w:p w:rsidR="00CA205E" w:rsidRDefault="00CA205E"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B622E4" w:rsidP="007E2558">
      <w:r w:rsidRPr="00B622E4">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CA205E" w:rsidRDefault="00CA205E" w:rsidP="00E372D5">
                  <w:r>
                    <w:t>Papers eliminated from the analysis</w:t>
                  </w:r>
                </w:p>
                <w:p w:rsidR="00CA205E" w:rsidRDefault="00CA205E" w:rsidP="00E372D5"/>
                <w:p w:rsidR="00CA205E" w:rsidRDefault="00CA205E" w:rsidP="00E372D5">
                  <w:r>
                    <w:t>(N=123)</w:t>
                  </w:r>
                </w:p>
                <w:p w:rsidR="00CA205E" w:rsidRDefault="00CA205E" w:rsidP="00E372D5"/>
                <w:p w:rsidR="00CA205E" w:rsidRDefault="00CA205E" w:rsidP="00E372D5">
                  <w:r>
                    <w:t>Non Ayurveda = 2</w:t>
                  </w:r>
                </w:p>
                <w:p w:rsidR="00CA205E" w:rsidRDefault="00CA205E" w:rsidP="00E372D5">
                  <w:r>
                    <w:t>Non interventional = 37</w:t>
                  </w:r>
                </w:p>
                <w:p w:rsidR="00CA205E" w:rsidRDefault="00CA205E" w:rsidP="00E372D5">
                  <w:r>
                    <w:t>Non relevant = 23</w:t>
                  </w:r>
                </w:p>
                <w:p w:rsidR="00CA205E" w:rsidRDefault="00CA205E"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B622E4" w:rsidP="007E2558">
      <w:r w:rsidRPr="00B622E4">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CA205E" w:rsidRDefault="00CA205E" w:rsidP="00A4730A">
                  <w:r>
                    <w:t>Papers (studies) used in the analysis</w:t>
                  </w:r>
                </w:p>
                <w:p w:rsidR="00CA205E" w:rsidRDefault="00CA205E" w:rsidP="00A4730A"/>
                <w:p w:rsidR="00CA205E" w:rsidRDefault="00CA205E"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B622E4" w:rsidP="00D822CB">
            <w:r w:rsidRPr="00B622E4">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r w:rsidRPr="00B622E4">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pPr>
              <w:rPr>
                <w:noProof/>
              </w:rPr>
            </w:pPr>
            <w:r w:rsidRPr="00B622E4">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B622E4" w:rsidP="00D822CB">
            <w:r w:rsidRPr="00B622E4">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9B5874" w:rsidRDefault="009B5874" w:rsidP="00E0189A">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sidR="000423D0">
        <w:rPr>
          <w:rFonts w:ascii="Times New Roman" w:hAnsi="Times New Roman"/>
          <w:b w:val="0"/>
          <w:sz w:val="24"/>
          <w:szCs w:val="24"/>
        </w:rPr>
        <w:t xml:space="preserve"> The payers need </w:t>
      </w:r>
      <w:r w:rsidR="000423D0"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sidR="0023499B">
        <w:rPr>
          <w:rFonts w:ascii="Times New Roman" w:hAnsi="Times New Roman"/>
          <w:b w:val="0"/>
          <w:sz w:val="24"/>
          <w:szCs w:val="24"/>
        </w:rPr>
        <w:t xml:space="preserve"> </w:t>
      </w:r>
      <w:r w:rsidR="0023499B"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3499B" w:rsidRDefault="0023499B" w:rsidP="0023499B"/>
    <w:p w:rsidR="0023499B" w:rsidRPr="0023499B" w:rsidRDefault="002353DA" w:rsidP="0023499B">
      <w:r>
        <w:t xml:space="preserve">The authors propose a new trial design </w:t>
      </w:r>
      <w:r w:rsidRPr="002353DA">
        <w:t>the mixed randomized trial (MRT)</w:t>
      </w:r>
      <w:r>
        <w:t xml:space="preserve"> </w:t>
      </w:r>
      <w:r w:rsidR="0023499B" w:rsidRPr="0023499B">
        <w:t>that integrate</w:t>
      </w:r>
      <w:r>
        <w:t>s</w:t>
      </w:r>
      <w:r w:rsidR="0023499B" w:rsidRPr="0023499B">
        <w:t xml:space="preserve"> both RCT and real-world data</w:t>
      </w:r>
      <w:r>
        <w:t>.</w:t>
      </w:r>
      <w:r w:rsidR="0023499B" w:rsidRPr="0023499B">
        <w:t xml:space="preserve"> </w:t>
      </w:r>
      <w:r>
        <w:t>It</w:t>
      </w:r>
      <w:r w:rsidR="0023499B" w:rsidRPr="0023499B">
        <w:t xml:space="preserve"> </w:t>
      </w:r>
      <w:r>
        <w:t xml:space="preserve">would </w:t>
      </w:r>
      <w:r w:rsidR="0023499B"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rsidR="002871AB">
        <w:t xml:space="preserve"> (usual phase III procedures)</w:t>
      </w:r>
      <w:r w:rsidRPr="002353DA">
        <w:t>, pragmatic (randomized) and observational</w:t>
      </w:r>
      <w:r w:rsidR="002871AB">
        <w:t xml:space="preserve"> (non-interventional arm)</w:t>
      </w:r>
      <w:r w:rsidRPr="002353DA">
        <w:t>.</w:t>
      </w:r>
      <w:r w:rsidR="003773D3">
        <w:t xml:space="preserve"> </w:t>
      </w:r>
      <w:r w:rsidR="003773D3"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B5449B" w:rsidRDefault="00B5449B" w:rsidP="00E0189A">
      <w:pPr>
        <w:pStyle w:val="Heading1"/>
        <w:rPr>
          <w:rFonts w:ascii="Times New Roman" w:hAnsi="Times New Roman"/>
          <w:b w:val="0"/>
          <w:sz w:val="24"/>
          <w:szCs w:val="24"/>
        </w:rPr>
      </w:pPr>
      <w:r>
        <w:rPr>
          <w:rFonts w:ascii="Times New Roman" w:hAnsi="Times New Roman"/>
          <w:b w:val="0"/>
          <w:sz w:val="24"/>
          <w:szCs w:val="24"/>
        </w:rPr>
        <w:t>Based on the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 xml:space="preserve">Regulators consider </w:t>
      </w:r>
      <w:r w:rsidRPr="00B5449B">
        <w:rPr>
          <w:rFonts w:ascii="Times New Roman" w:hAnsi="Times New Roman"/>
          <w:b w:val="0"/>
          <w:sz w:val="24"/>
          <w:szCs w:val="24"/>
        </w:rPr>
        <w:lastRenderedPageBreak/>
        <w:t>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424E2D" w:rsidRDefault="003761AD" w:rsidP="00E0189A">
      <w:pPr>
        <w:pStyle w:val="Heading1"/>
        <w:rPr>
          <w:rFonts w:ascii="Times New Roman" w:hAnsi="Times New Roman"/>
          <w:b w:val="0"/>
          <w:sz w:val="24"/>
          <w:szCs w:val="24"/>
        </w:rPr>
      </w:pPr>
      <w:r>
        <w:rPr>
          <w:rFonts w:ascii="Times New Roman" w:hAnsi="Times New Roman"/>
          <w:b w:val="0"/>
          <w:sz w:val="24"/>
          <w:szCs w:val="24"/>
        </w:rPr>
        <w:t xml:space="preserve">To study effectiveness of </w:t>
      </w:r>
      <w:r w:rsidR="00B5449B">
        <w:rPr>
          <w:rFonts w:ascii="Times New Roman" w:hAnsi="Times New Roman"/>
          <w:b w:val="0"/>
          <w:sz w:val="24"/>
          <w:szCs w:val="24"/>
        </w:rPr>
        <w:t xml:space="preserve">the </w:t>
      </w:r>
      <w:r>
        <w:rPr>
          <w:rFonts w:ascii="Times New Roman" w:hAnsi="Times New Roman"/>
          <w:b w:val="0"/>
          <w:sz w:val="24"/>
          <w:szCs w:val="24"/>
        </w:rPr>
        <w:t xml:space="preserve">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sidR="00D1732B">
        <w:rPr>
          <w:rFonts w:ascii="Times New Roman" w:hAnsi="Times New Roman"/>
          <w:b w:val="0"/>
          <w:sz w:val="24"/>
          <w:szCs w:val="24"/>
        </w:rPr>
        <w:t xml:space="preserve"> The authors mention that t</w:t>
      </w:r>
      <w:r w:rsidR="00D1732B"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3F5FE1" w:rsidRDefault="00424E2D" w:rsidP="00E0189A">
      <w:pPr>
        <w:pStyle w:val="Heading1"/>
        <w:rPr>
          <w:rFonts w:ascii="Times New Roman" w:hAnsi="Times New Roman"/>
          <w:b w:val="0"/>
          <w:sz w:val="24"/>
          <w:szCs w:val="24"/>
        </w:rPr>
      </w:pPr>
      <w:r>
        <w:rPr>
          <w:rFonts w:ascii="Times New Roman" w:hAnsi="Times New Roman"/>
          <w:b w:val="0"/>
          <w:sz w:val="24"/>
          <w:szCs w:val="24"/>
        </w:rPr>
        <w:t xml:space="preserve">In </w:t>
      </w:r>
      <w:r w:rsidR="00957880">
        <w:rPr>
          <w:rFonts w:ascii="Times New Roman" w:hAnsi="Times New Roman"/>
          <w:b w:val="0"/>
          <w:sz w:val="24"/>
          <w:szCs w:val="24"/>
        </w:rPr>
        <w:t xml:space="preserve">a </w:t>
      </w:r>
      <w:r>
        <w:rPr>
          <w:rFonts w:ascii="Times New Roman" w:hAnsi="Times New Roman"/>
          <w:b w:val="0"/>
          <w:sz w:val="24"/>
          <w:szCs w:val="24"/>
        </w:rPr>
        <w:t>paper</w:t>
      </w:r>
      <w:r w:rsidR="00957880">
        <w:rPr>
          <w:rFonts w:ascii="Times New Roman" w:hAnsi="Times New Roman"/>
          <w:b w:val="0"/>
          <w:sz w:val="24"/>
          <w:szCs w:val="24"/>
        </w:rPr>
        <w:t xml:space="preserve"> published in 2018 “</w:t>
      </w:r>
      <w:r w:rsidR="00957880" w:rsidRPr="00957880">
        <w:rPr>
          <w:rFonts w:ascii="Times New Roman" w:hAnsi="Times New Roman"/>
          <w:b w:val="0"/>
          <w:sz w:val="24"/>
          <w:szCs w:val="24"/>
        </w:rPr>
        <w:t>The inclusion of real world evidence in clinical development planning</w:t>
      </w:r>
      <w:r w:rsidR="00957880">
        <w:rPr>
          <w:rFonts w:ascii="Times New Roman" w:hAnsi="Times New Roman"/>
          <w:b w:val="0"/>
          <w:sz w:val="24"/>
          <w:szCs w:val="24"/>
        </w:rPr>
        <w:t>” by Reynaldo Martina et al.</w:t>
      </w:r>
      <w:r>
        <w:rPr>
          <w:rFonts w:ascii="Times New Roman" w:hAnsi="Times New Roman"/>
          <w:b w:val="0"/>
          <w:sz w:val="24"/>
          <w:szCs w:val="24"/>
        </w:rPr>
        <w:t xml:space="preserve">, the authors propose </w:t>
      </w:r>
      <w:r w:rsidRPr="00424E2D">
        <w:rPr>
          <w:rFonts w:ascii="Times New Roman" w:hAnsi="Times New Roman"/>
          <w:b w:val="0"/>
          <w:sz w:val="24"/>
          <w:szCs w:val="24"/>
        </w:rPr>
        <w:t>a framework for inclusion of RWE in planning of a clinical development programme.</w:t>
      </w:r>
      <w:r w:rsidR="001748E5">
        <w:rPr>
          <w:rFonts w:ascii="Times New Roman" w:hAnsi="Times New Roman"/>
          <w:b w:val="0"/>
          <w:sz w:val="24"/>
          <w:szCs w:val="24"/>
        </w:rPr>
        <w:t xml:space="preserve"> They present an approach, </w:t>
      </w:r>
      <w:r w:rsidR="001748E5"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sidR="001748E5">
        <w:rPr>
          <w:rFonts w:ascii="Times New Roman" w:hAnsi="Times New Roman"/>
          <w:b w:val="0"/>
          <w:sz w:val="24"/>
          <w:szCs w:val="24"/>
        </w:rPr>
        <w:t xml:space="preserve">. </w:t>
      </w:r>
      <w:r w:rsidR="001748E5" w:rsidRPr="001748E5">
        <w:rPr>
          <w:rFonts w:ascii="Times New Roman" w:hAnsi="Times New Roman"/>
          <w:b w:val="0"/>
          <w:sz w:val="24"/>
          <w:szCs w:val="24"/>
        </w:rPr>
        <w:t>The use of RWE is currently being explored as the way toward bridging the effectiv</w:t>
      </w:r>
      <w:r w:rsidR="001748E5">
        <w:rPr>
          <w:rFonts w:ascii="Times New Roman" w:hAnsi="Times New Roman"/>
          <w:b w:val="0"/>
          <w:sz w:val="24"/>
          <w:szCs w:val="24"/>
        </w:rPr>
        <w:t>eness-efficacy gap</w:t>
      </w:r>
      <w:r w:rsidR="001748E5"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sidR="003F5FE1">
        <w:rPr>
          <w:rFonts w:ascii="Times New Roman" w:hAnsi="Times New Roman"/>
          <w:b w:val="0"/>
          <w:sz w:val="24"/>
          <w:szCs w:val="24"/>
        </w:rPr>
        <w:t xml:space="preserve"> The authors </w:t>
      </w:r>
      <w:r w:rsidR="00E36355">
        <w:rPr>
          <w:rFonts w:ascii="Times New Roman" w:hAnsi="Times New Roman"/>
          <w:b w:val="0"/>
          <w:sz w:val="24"/>
          <w:szCs w:val="24"/>
        </w:rPr>
        <w:t xml:space="preserve">have recommended </w:t>
      </w:r>
      <w:r w:rsidR="003F5FE1">
        <w:rPr>
          <w:rFonts w:ascii="Times New Roman" w:hAnsi="Times New Roman"/>
          <w:b w:val="0"/>
          <w:sz w:val="24"/>
          <w:szCs w:val="24"/>
        </w:rPr>
        <w:t xml:space="preserve">following </w:t>
      </w:r>
      <w:r w:rsidR="00E36355">
        <w:rPr>
          <w:rFonts w:ascii="Times New Roman" w:hAnsi="Times New Roman"/>
          <w:b w:val="0"/>
          <w:sz w:val="24"/>
          <w:szCs w:val="24"/>
        </w:rPr>
        <w:t>5 steps strategy for the inclusion of RWE in the drug development</w:t>
      </w:r>
      <w:r w:rsidR="00D059C9">
        <w:rPr>
          <w:rFonts w:ascii="Times New Roman" w:hAnsi="Times New Roman"/>
          <w:b w:val="0"/>
          <w:sz w:val="24"/>
          <w:szCs w:val="24"/>
        </w:rPr>
        <w:t xml:space="preserve"> process.</w:t>
      </w:r>
    </w:p>
    <w:p w:rsidR="00E36355" w:rsidRDefault="00D059C9" w:rsidP="00E0189A">
      <w:pPr>
        <w:pStyle w:val="Heading1"/>
        <w:rPr>
          <w:rFonts w:ascii="Times New Roman" w:hAnsi="Times New Roman"/>
          <w:b w:val="0"/>
          <w:sz w:val="24"/>
          <w:szCs w:val="24"/>
        </w:rPr>
      </w:pPr>
      <w:r>
        <w:rPr>
          <w:rFonts w:ascii="Times New Roman" w:hAnsi="Times New Roman"/>
          <w:b w:val="0"/>
          <w:sz w:val="24"/>
          <w:szCs w:val="24"/>
        </w:rPr>
        <w:t>Step 1: Use NMA to obtain estimates of relative effectiveness</w:t>
      </w:r>
      <w:r w:rsidR="003F5FE1">
        <w:rPr>
          <w:rFonts w:ascii="Times New Roman" w:hAnsi="Times New Roman"/>
          <w:b w:val="0"/>
          <w:sz w:val="24"/>
          <w:szCs w:val="24"/>
        </w:rPr>
        <w:t xml:space="preserve">, </w:t>
      </w:r>
      <w:r w:rsidR="003F5FE1"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sidR="003F5FE1">
        <w:rPr>
          <w:rFonts w:ascii="Times New Roman" w:hAnsi="Times New Roman"/>
          <w:b w:val="0"/>
          <w:sz w:val="24"/>
          <w:szCs w:val="24"/>
        </w:rPr>
        <w:t xml:space="preserve"> Extract standard error from the NMA to use in simulation of alternative development strategies.</w:t>
      </w:r>
    </w:p>
    <w:p w:rsidR="003F5FE1" w:rsidRDefault="003F5FE1" w:rsidP="003F5FE1"/>
    <w:p w:rsidR="003F5FE1" w:rsidRDefault="003F5FE1" w:rsidP="003F5FE1">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3F5FE1" w:rsidRDefault="003F5FE1" w:rsidP="003F5FE1">
      <w:r>
        <w:t xml:space="preserve">Step 3: </w:t>
      </w:r>
      <w:r w:rsidRPr="003F5FE1">
        <w:t>Compare the size of the original trial with the size of the simulated trial.</w:t>
      </w:r>
    </w:p>
    <w:p w:rsidR="003F5FE1" w:rsidRDefault="003F5FE1" w:rsidP="003F5FE1"/>
    <w:p w:rsidR="003F5FE1" w:rsidRDefault="003F5FE1" w:rsidP="003F5FE1">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3F5FE1" w:rsidRDefault="003F5FE1" w:rsidP="003F5FE1"/>
    <w:p w:rsidR="003F5FE1" w:rsidRDefault="003F5FE1" w:rsidP="003F5FE1">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F93F75" w:rsidRDefault="00F93F75" w:rsidP="003F5FE1"/>
    <w:p w:rsidR="00F93F75" w:rsidRDefault="00BA09C8" w:rsidP="003F5FE1">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BA09C8" w:rsidRDefault="00BA09C8" w:rsidP="003F5FE1">
      <w:r w:rsidRPr="00BA09C8">
        <w:t>Step 1 – Create nested propensity score models and generate treatment effect estimates</w:t>
      </w:r>
    </w:p>
    <w:p w:rsidR="00BA09C8" w:rsidRDefault="00BA09C8" w:rsidP="003F5FE1">
      <w:r w:rsidRPr="00BA09C8">
        <w:t>Step 2 – Estimate both the proportional amplification of confounding and the quantitative change in the treatment effect estimate between Model 1 and Model 2</w:t>
      </w:r>
    </w:p>
    <w:p w:rsidR="00BA09C8" w:rsidRDefault="00BA09C8" w:rsidP="003F5FE1">
      <w:r w:rsidRPr="00BA09C8">
        <w:t>Step 3 – Adjust for the association between the Introduced Variable and outcome</w:t>
      </w:r>
    </w:p>
    <w:p w:rsidR="00BA09C8" w:rsidRDefault="00BA09C8" w:rsidP="003F5FE1">
      <w:r w:rsidRPr="00BA09C8">
        <w:t>Step 4 – Calculate the unconfounded treatment effect estimate</w:t>
      </w:r>
    </w:p>
    <w:p w:rsidR="00BA09C8" w:rsidRDefault="00BA09C8" w:rsidP="003F5FE1"/>
    <w:p w:rsidR="00276E57" w:rsidRDefault="00EC287F" w:rsidP="003F5FE1">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00276E57"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rsidR="00276E57">
        <w:t xml:space="preserve">. </w:t>
      </w:r>
      <w:r w:rsidR="00276E57" w:rsidRPr="00276E57">
        <w:t>Moreover, a substantial number of RCTs focus on surrogate parameters instead of clinical parameters that are more clinically relevant</w:t>
      </w:r>
      <w:r w:rsidR="00276E57">
        <w:t>.</w:t>
      </w:r>
      <w:r w:rsidR="000B25C4">
        <w:t xml:space="preserve"> </w:t>
      </w:r>
      <w:r w:rsidR="000B25C4" w:rsidRPr="000B25C4">
        <w:t>RWE studies, as described in this article, are of course not completely new but rather based on established observational study methods suc</w:t>
      </w:r>
      <w:r w:rsidR="000B25C4">
        <w:t>h as cohort studies</w:t>
      </w:r>
      <w:r w:rsidR="000B25C4"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A75D85" w:rsidRDefault="00A75D85" w:rsidP="003F5FE1"/>
    <w:p w:rsidR="00A75D85" w:rsidRPr="003F5FE1" w:rsidRDefault="00A75D85" w:rsidP="003F5FE1">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s is thus even more challenging.</w:t>
      </w:r>
      <w:r w:rsidR="008D7184">
        <w:t xml:space="preserve"> </w:t>
      </w:r>
      <w:r w:rsidR="008D7184" w:rsidRPr="008D7184">
        <w:t>This infrastructure should be built in a manner that ensures comparability of the data for the purpose of conducting research studie</w:t>
      </w:r>
      <w:r w:rsidR="008D7184">
        <w:t>s.</w:t>
      </w:r>
      <w:r w:rsidR="00DE2D84">
        <w:t xml:space="preserve"> T</w:t>
      </w:r>
      <w:r w:rsidR="00DE2D84" w:rsidRPr="00DE2D84">
        <w:t>ools for data protection and pseudonymization/de-identification of patient data need to be embedded in the technical solution.</w:t>
      </w:r>
      <w:r w:rsidR="008D7184">
        <w:t xml:space="preserve"> </w:t>
      </w:r>
      <w:r w:rsidR="00EE3548">
        <w:t>T</w:t>
      </w:r>
      <w:r w:rsidR="00EE3548" w:rsidRPr="00EE3548">
        <w:t xml:space="preserve">he General Data Protection Regulation (GDPR) </w:t>
      </w:r>
      <w:r w:rsidR="00EE3548">
        <w:t>from</w:t>
      </w:r>
      <w:r w:rsidR="00EE3548" w:rsidRPr="00EE3548">
        <w:t xml:space="preserve"> the European Union as of May </w:t>
      </w:r>
      <w:r w:rsidR="00395ABB" w:rsidRPr="00EE3548">
        <w:t>2018</w:t>
      </w:r>
      <w:r w:rsidR="00EE3548" w:rsidRPr="00EE3548">
        <w:t xml:space="preserve"> further expands the scope of data privacy</w:t>
      </w:r>
      <w:r w:rsidR="00EE3548">
        <w:t xml:space="preserve"> and protection by including</w:t>
      </w:r>
      <w:r w:rsidR="00EE3548" w:rsidRPr="00EE3548">
        <w:t xml:space="preserve"> principles such as data protection and privacy by design that obligates the implementation of technical and organizational measures that secure patient data already at the design of systems</w:t>
      </w:r>
      <w:r w:rsidR="00EE3548">
        <w:t>.</w:t>
      </w:r>
      <w:r w:rsidR="00340ADF">
        <w:t xml:space="preserve"> (1) Network of hospitals / clinics, (2) IT infrastructure, (3) Data quality, (4) Information governance, and (5) </w:t>
      </w:r>
      <w:r w:rsidR="00340ADF">
        <w:lastRenderedPageBreak/>
        <w:t xml:space="preserve">Operations are </w:t>
      </w:r>
      <w:r w:rsidR="00BC1E21">
        <w:t xml:space="preserve">a </w:t>
      </w:r>
      <w:r w:rsidR="00340ADF">
        <w:t>key to the challenges and successes in establishing a RWE structure</w:t>
      </w:r>
      <w:r w:rsidR="00BC1E21">
        <w:t xml:space="preserve"> in addition to the Study design and study publication</w:t>
      </w:r>
      <w:r w:rsidR="00340ADF">
        <w:t>.</w:t>
      </w:r>
      <w:r>
        <w:t xml:space="preserve"> </w:t>
      </w:r>
    </w:p>
    <w:p w:rsidR="00036D0A" w:rsidRDefault="00030F07" w:rsidP="00E0189A">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sidR="00036D0A">
        <w:rPr>
          <w:rFonts w:ascii="Times New Roman" w:hAnsi="Times New Roman"/>
          <w:b w:val="0"/>
          <w:sz w:val="24"/>
          <w:szCs w:val="24"/>
        </w:rPr>
        <w:t xml:space="preserve"> The</w:t>
      </w:r>
      <w:r w:rsidR="00036D0A"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00036D0A" w:rsidRPr="00036D0A">
        <w:rPr>
          <w:rFonts w:ascii="Times New Roman" w:hAnsi="Times New Roman"/>
          <w:b w:val="0"/>
          <w:sz w:val="24"/>
          <w:szCs w:val="24"/>
        </w:rPr>
        <w:t>The increasing volume of RWD needs to be balanced against data integrity and usability.</w:t>
      </w:r>
    </w:p>
    <w:p w:rsidR="00852D9F" w:rsidRDefault="00036D0A" w:rsidP="00E0189A">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w:t>
      </w:r>
      <w:r w:rsidR="00852D9F">
        <w:rPr>
          <w:rFonts w:ascii="Times New Roman" w:hAnsi="Times New Roman"/>
          <w:b w:val="0"/>
          <w:sz w:val="24"/>
          <w:szCs w:val="24"/>
        </w:rPr>
        <w:t xml:space="preserve"> </w:t>
      </w:r>
      <w:r w:rsidR="00852D9F" w:rsidRPr="00852D9F">
        <w:rPr>
          <w:rFonts w:ascii="Times New Roman" w:hAnsi="Times New Roman"/>
          <w:b w:val="0"/>
          <w:sz w:val="24"/>
          <w:szCs w:val="24"/>
        </w:rPr>
        <w:t>One area where RWE may be particularly useful is for medications that have shown beneficial effects in indications for which they are not approved</w:t>
      </w:r>
      <w:r w:rsidR="00852D9F">
        <w:rPr>
          <w:rFonts w:ascii="Times New Roman" w:hAnsi="Times New Roman"/>
          <w:b w:val="0"/>
          <w:sz w:val="24"/>
          <w:szCs w:val="24"/>
        </w:rPr>
        <w:t>, providing “off-label” efficacy evidence</w:t>
      </w:r>
      <w:r w:rsidR="00852D9F" w:rsidRPr="00852D9F">
        <w:rPr>
          <w:rFonts w:ascii="Times New Roman" w:hAnsi="Times New Roman"/>
          <w:b w:val="0"/>
          <w:sz w:val="24"/>
          <w:szCs w:val="24"/>
        </w:rPr>
        <w:t>.</w:t>
      </w:r>
      <w:r w:rsidR="00852D9F">
        <w:rPr>
          <w:rFonts w:ascii="Times New Roman" w:hAnsi="Times New Roman"/>
          <w:b w:val="0"/>
          <w:sz w:val="24"/>
          <w:szCs w:val="24"/>
        </w:rPr>
        <w:t xml:space="preserve"> </w:t>
      </w:r>
    </w:p>
    <w:p w:rsidR="00852D9F" w:rsidRDefault="00852D9F" w:rsidP="00E0189A">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sidR="005D11D3">
        <w:rPr>
          <w:rFonts w:ascii="Times New Roman" w:hAnsi="Times New Roman"/>
          <w:b w:val="0"/>
          <w:sz w:val="24"/>
          <w:szCs w:val="24"/>
        </w:rPr>
        <w:t xml:space="preserve"> </w:t>
      </w:r>
      <w:r w:rsidR="005D11D3" w:rsidRPr="005D11D3">
        <w:rPr>
          <w:rFonts w:ascii="Times New Roman" w:hAnsi="Times New Roman"/>
          <w:b w:val="0"/>
          <w:sz w:val="24"/>
          <w:szCs w:val="24"/>
        </w:rPr>
        <w:t>RWE has the potential to support, improve, and potentially accelerate the delivery of safe and cost-effective therapeutic interventions, or to support the expansion of approved therapeutics into a new indication.</w:t>
      </w:r>
    </w:p>
    <w:p w:rsidR="00F26626" w:rsidRDefault="00F26626" w:rsidP="00F26626"/>
    <w:p w:rsidR="00F26626" w:rsidRPr="00F26626" w:rsidRDefault="00F26626" w:rsidP="00F26626">
      <w:r>
        <w:t>A paper titled “</w:t>
      </w:r>
      <w:r w:rsidRPr="00F26626">
        <w:t>Practical issues of using real-world data in effectiveness research</w:t>
      </w:r>
      <w:r>
        <w:t xml:space="preserve">” in year 2018 by Amr Makday </w:t>
      </w:r>
      <w:r w:rsidR="00977F59">
        <w:t xml:space="preserve">et al., </w:t>
      </w:r>
      <w:r>
        <w:t xml:space="preserve">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CA205E" w:rsidRDefault="00977F59" w:rsidP="00E0189A">
      <w:pPr>
        <w:pStyle w:val="Heading1"/>
        <w:rPr>
          <w:rFonts w:ascii="Times New Roman" w:hAnsi="Times New Roman"/>
          <w:b w:val="0"/>
          <w:sz w:val="24"/>
          <w:szCs w:val="24"/>
        </w:rPr>
      </w:pPr>
      <w:r w:rsidRPr="00977F59">
        <w:rPr>
          <w:rFonts w:ascii="Times New Roman" w:hAnsi="Times New Roman"/>
          <w:b w:val="0"/>
          <w:sz w:val="24"/>
          <w:szCs w:val="24"/>
        </w:rPr>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rPr>
          <w:rFonts w:ascii="Times New Roman" w:hAnsi="Times New Roman"/>
          <w:b w:val="0"/>
          <w:sz w:val="24"/>
          <w:szCs w:val="24"/>
        </w:rPr>
        <w:t xml:space="preserve"> (</w:t>
      </w:r>
      <w:r w:rsidRPr="00977F59">
        <w:rPr>
          <w:rFonts w:ascii="Times New Roman" w:hAnsi="Times New Roman"/>
          <w:b w:val="0"/>
          <w:sz w:val="24"/>
          <w:szCs w:val="24"/>
        </w:rPr>
        <w:t>HTA</w:t>
      </w:r>
      <w:r>
        <w:rPr>
          <w:rFonts w:ascii="Times New Roman" w:hAnsi="Times New Roman"/>
          <w:b w:val="0"/>
          <w:sz w:val="24"/>
          <w:szCs w:val="24"/>
        </w:rPr>
        <w:t>)</w:t>
      </w:r>
      <w:r w:rsidRPr="00977F59">
        <w:rPr>
          <w:rFonts w:ascii="Times New Roman" w:hAnsi="Times New Roman"/>
          <w:b w:val="0"/>
          <w:sz w:val="24"/>
          <w:szCs w:val="24"/>
        </w:rPr>
        <w:t xml:space="preserve"> agencies and payers whose decisions rely on evidence of comparative effectiveness</w:t>
      </w:r>
      <w:r w:rsidR="007627AC">
        <w:rPr>
          <w:rFonts w:ascii="Times New Roman" w:hAnsi="Times New Roman"/>
          <w:b w:val="0"/>
          <w:sz w:val="24"/>
          <w:szCs w:val="24"/>
        </w:rPr>
        <w:t>.</w:t>
      </w:r>
    </w:p>
    <w:p w:rsidR="00D5045F" w:rsidRDefault="00CA205E" w:rsidP="00E0189A">
      <w:pPr>
        <w:pStyle w:val="Heading1"/>
        <w:rPr>
          <w:rFonts w:ascii="Times New Roman" w:hAnsi="Times New Roman"/>
          <w:b w:val="0"/>
          <w:sz w:val="24"/>
          <w:szCs w:val="24"/>
        </w:rPr>
      </w:pPr>
      <w:r w:rsidRPr="00CA205E">
        <w:rPr>
          <w:rFonts w:ascii="Times New Roman" w:hAnsi="Times New Roman"/>
          <w:b w:val="0"/>
          <w:sz w:val="24"/>
          <w:szCs w:val="24"/>
        </w:rPr>
        <w:t xml:space="preserve">Bearing in mind that </w:t>
      </w:r>
      <w:r>
        <w:rPr>
          <w:rFonts w:ascii="Times New Roman" w:hAnsi="Times New Roman"/>
          <w:b w:val="0"/>
          <w:sz w:val="24"/>
          <w:szCs w:val="24"/>
        </w:rPr>
        <w:t xml:space="preserve">Comparative Effectiveness </w:t>
      </w:r>
      <w:r w:rsidR="002046CD">
        <w:rPr>
          <w:rFonts w:ascii="Times New Roman" w:hAnsi="Times New Roman"/>
          <w:b w:val="0"/>
          <w:sz w:val="24"/>
          <w:szCs w:val="24"/>
        </w:rPr>
        <w:t>Research</w:t>
      </w:r>
      <w:r>
        <w:rPr>
          <w:rFonts w:ascii="Times New Roman" w:hAnsi="Times New Roman"/>
          <w:b w:val="0"/>
          <w:sz w:val="24"/>
          <w:szCs w:val="24"/>
        </w:rPr>
        <w:t xml:space="preserve"> </w:t>
      </w:r>
      <w:r w:rsidR="002046CD">
        <w:rPr>
          <w:rFonts w:ascii="Times New Roman" w:hAnsi="Times New Roman"/>
          <w:b w:val="0"/>
          <w:sz w:val="24"/>
          <w:szCs w:val="24"/>
        </w:rPr>
        <w:t>(</w:t>
      </w:r>
      <w:r w:rsidRPr="00CA205E">
        <w:rPr>
          <w:rFonts w:ascii="Times New Roman" w:hAnsi="Times New Roman"/>
          <w:b w:val="0"/>
          <w:sz w:val="24"/>
          <w:szCs w:val="24"/>
        </w:rPr>
        <w:t>CER</w:t>
      </w:r>
      <w:r w:rsidR="002046CD">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IPD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w:t>
      </w:r>
      <w:r w:rsidRPr="00CA205E">
        <w:rPr>
          <w:rFonts w:ascii="Times New Roman" w:hAnsi="Times New Roman"/>
          <w:b w:val="0"/>
          <w:sz w:val="24"/>
          <w:szCs w:val="24"/>
        </w:rPr>
        <w:lastRenderedPageBreak/>
        <w:t>multi</w:t>
      </w:r>
      <w:r w:rsidR="00D5045F">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C13429" w:rsidRDefault="00D5045F" w:rsidP="00E0189A">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sidR="00C13429">
        <w:rPr>
          <w:rFonts w:ascii="Times New Roman" w:hAnsi="Times New Roman"/>
          <w:b w:val="0"/>
          <w:sz w:val="24"/>
          <w:szCs w:val="24"/>
        </w:rPr>
        <w:t>.</w:t>
      </w:r>
    </w:p>
    <w:p w:rsidR="000C66F0" w:rsidRDefault="000C66F0" w:rsidP="00C13429"/>
    <w:p w:rsidR="00C13429" w:rsidRPr="00C13429" w:rsidRDefault="000C66F0" w:rsidP="00C13429">
      <w:r>
        <w:t>“</w:t>
      </w:r>
      <w:r w:rsidRPr="000C66F0">
        <w:t>Obtaining real-world evidence: the Salford Lung Study</w:t>
      </w:r>
      <w:r>
        <w:t>“</w:t>
      </w:r>
      <w:r w:rsidR="00411E4A">
        <w:t>, a</w:t>
      </w:r>
      <w:r>
        <w:t xml:space="preserve"> 2014 </w:t>
      </w:r>
      <w:r w:rsidR="00411E4A">
        <w:t>paper</w:t>
      </w:r>
      <w:r>
        <w:t xml:space="preserve"> published by John New et al.</w:t>
      </w:r>
      <w:r w:rsidR="00411E4A">
        <w:t xml:space="preserve"> comment:</w:t>
      </w:r>
      <w:r>
        <w:t xml:space="preserve">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w:t>
      </w:r>
      <w:r w:rsidR="00411E4A" w:rsidRPr="000C66F0">
        <w:t>idealized</w:t>
      </w:r>
      <w:r w:rsidRPr="000C66F0">
        <w:t xml:space="preserve"> setting. Well-defined and compliant patients with minimal </w:t>
      </w:r>
      <w:r w:rsidR="00411E4A">
        <w:t>co-</w:t>
      </w:r>
      <w:r w:rsidR="00411E4A" w:rsidRPr="000C66F0">
        <w:t>morbidities</w:t>
      </w:r>
      <w:r w:rsidRPr="000C66F0">
        <w:t xml:space="preserve"> are closely supervised for &gt;90% adherence and to </w:t>
      </w:r>
      <w:r w:rsidR="00411E4A" w:rsidRPr="000C66F0">
        <w:t>minimize</w:t>
      </w:r>
      <w:r w:rsidRPr="000C66F0">
        <w:t xml:space="preserve"> confounding factors that could compromise the primary outcome, on which a regulatory approval may critically depend.</w:t>
      </w:r>
      <w:r w:rsidR="00411E4A">
        <w:t xml:space="preserve"> </w:t>
      </w:r>
      <w:r w:rsidR="00411E4A">
        <w:rPr>
          <w:color w:val="000000"/>
          <w:shd w:val="clear" w:color="auto" w:fill="FFFFFF"/>
        </w:rPr>
        <w:t>It is extremely difficult to extrapolate data from an RCT into real life for a number of reasons, including patient preference, lower adherence and co-morbidities.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EB6280" w:rsidRPr="00EB6280" w:rsidRDefault="00EB6280" w:rsidP="00EB6280"/>
    <w:p w:rsidR="00380999" w:rsidRDefault="00380999" w:rsidP="00380999">
      <w:r w:rsidRPr="00380999">
        <w:t xml:space="preserve">pRCTs are large prospective clinical studies in which patients are </w:t>
      </w:r>
      <w:r w:rsidR="007C0753" w:rsidRPr="00380999">
        <w:t>randomized</w:t>
      </w:r>
      <w:r w:rsidRPr="00380999">
        <w:t xml:space="preserve"> to two or more interventions, and then followed up according to the investigating physicians’ usual practice.</w:t>
      </w:r>
      <w:r w:rsidR="007C0753">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C2619E" w:rsidRDefault="00C2619E" w:rsidP="00380999"/>
    <w:p w:rsidR="00C2619E" w:rsidRPr="00380999" w:rsidRDefault="00C2619E" w:rsidP="00380999">
      <w:r>
        <w:t xml:space="preserve">Coleman et al. </w:t>
      </w:r>
      <w:r w:rsidR="00AC1C97">
        <w:t>2017 paper, “</w:t>
      </w:r>
      <w:r w:rsidR="00AC1C97" w:rsidRPr="00AC1C97">
        <w:t>Importance of balancing follow-up time and impact of oral-anticoagulant users' selection when evaluating medication adherence in atrial fibrillation patients treated with rivaroxaban and apixaban</w:t>
      </w:r>
      <w:r w:rsidR="00AC1C97">
        <w:t xml:space="preserve">”, </w:t>
      </w:r>
      <w:r>
        <w:t xml:space="preserve">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 xml:space="preserve">Adherence was evaluated using proportion of days covered (PDC) &gt;=0.8 for cohorts with (1) unbalanced follow‐up (2) balanced follow‐up (by </w:t>
      </w:r>
      <w:r w:rsidRPr="00C2619E">
        <w:lastRenderedPageBreak/>
        <w:t>matching on month and year of followup since fill‐date) (3) &gt;=2 rivaroxaban or apixaban dispensing and a balanced follow‐up, and using (4) the PQA adherence measure.</w:t>
      </w:r>
    </w:p>
    <w:p w:rsidR="00B84A7D" w:rsidRDefault="00AC1C97" w:rsidP="00E0189A">
      <w:pPr>
        <w:pStyle w:val="Heading1"/>
        <w:rPr>
          <w:rFonts w:ascii="Times New Roman" w:hAnsi="Times New Roman"/>
          <w:b w:val="0"/>
          <w:sz w:val="24"/>
          <w:szCs w:val="24"/>
        </w:rPr>
      </w:pPr>
      <w:r>
        <w:rPr>
          <w:rFonts w:ascii="Times New Roman" w:hAnsi="Times New Roman"/>
          <w:b w:val="0"/>
          <w:sz w:val="24"/>
          <w:szCs w:val="24"/>
        </w:rPr>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B84A7D" w:rsidRDefault="00B84A7D" w:rsidP="00E0189A">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published in 2017</w:t>
      </w:r>
      <w:r w:rsidR="00586351">
        <w:rPr>
          <w:rFonts w:ascii="Times New Roman" w:hAnsi="Times New Roman"/>
          <w:b w:val="0"/>
          <w:sz w:val="24"/>
          <w:szCs w:val="24"/>
        </w:rPr>
        <w:t xml:space="preserve"> by Thomas Reinke</w:t>
      </w:r>
      <w:r>
        <w:rPr>
          <w:rFonts w:ascii="Times New Roman" w:hAnsi="Times New Roman"/>
          <w:b w:val="0"/>
          <w:sz w:val="24"/>
          <w:szCs w:val="24"/>
        </w:rPr>
        <w:t xml:space="preserv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B041FA" w:rsidRDefault="00B84A7D" w:rsidP="00E0189A">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45788A" w:rsidRDefault="00B041FA" w:rsidP="00E0189A">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B74EAB" w:rsidRDefault="0045788A" w:rsidP="00E0189A">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9505AC" w:rsidRDefault="009505AC" w:rsidP="0075026A">
      <w:pPr>
        <w:pStyle w:val="NormalWeb"/>
        <w:shd w:val="clear" w:color="auto" w:fill="FFFFFF"/>
        <w:spacing w:before="0" w:beforeAutospacing="0" w:after="150"/>
      </w:pPr>
    </w:p>
    <w:p w:rsidR="003B4AD3" w:rsidRDefault="003B4AD3" w:rsidP="0075026A">
      <w:pPr>
        <w:pStyle w:val="NormalWeb"/>
        <w:shd w:val="clear" w:color="auto" w:fill="FFFFFF"/>
        <w:spacing w:before="0" w:beforeAutospacing="0" w:after="150"/>
      </w:pPr>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3B4AD3" w:rsidRDefault="005421BE" w:rsidP="003B4AD3">
      <w:pPr>
        <w:pStyle w:val="NormalWeb"/>
        <w:shd w:val="clear" w:color="auto" w:fill="FFFFFF"/>
        <w:spacing w:after="150"/>
      </w:pPr>
      <w:r>
        <w:t xml:space="preserve"> </w:t>
      </w:r>
      <w:r w:rsidR="003B4AD3">
        <w:t xml:space="preserve">(1) Is the study focused on an intervention? (2) If so, is the intervention on the market? </w:t>
      </w:r>
    </w:p>
    <w:p w:rsidR="003B4AD3" w:rsidRDefault="003B4AD3" w:rsidP="003B4AD3">
      <w:pPr>
        <w:pStyle w:val="NormalWeb"/>
        <w:shd w:val="clear" w:color="auto" w:fill="FFFFFF"/>
        <w:spacing w:after="150"/>
      </w:pPr>
      <w:r>
        <w:t>(3) Is the study intended to be comparative? (4) If so, is treatment assigned by study protocol?</w:t>
      </w:r>
    </w:p>
    <w:p w:rsidR="003B4AD3" w:rsidRDefault="003B4AD3" w:rsidP="003B4AD3">
      <w:pPr>
        <w:pStyle w:val="NormalWeb"/>
        <w:shd w:val="clear" w:color="auto" w:fill="FFFFFF"/>
        <w:spacing w:after="150"/>
      </w:pPr>
      <w:r>
        <w:lastRenderedPageBreak/>
        <w:t>(5) Are data needed for the study available from existing sources?</w:t>
      </w:r>
    </w:p>
    <w:p w:rsidR="003B4AD3" w:rsidRDefault="003B4AD3" w:rsidP="003B4AD3">
      <w:pPr>
        <w:pStyle w:val="NormalWeb"/>
        <w:shd w:val="clear" w:color="auto" w:fill="FFFFFF"/>
        <w:spacing w:after="150"/>
      </w:pPr>
      <w:r>
        <w:t xml:space="preserve">(6) If so, are those existing sources accessible in computerized form (i.e., in administrative claims or electronic medical records)? And (7) is the study setting real world? </w:t>
      </w:r>
    </w:p>
    <w:p w:rsidR="003B4AD3" w:rsidRDefault="003B4AD3" w:rsidP="003B4AD3">
      <w:pPr>
        <w:pStyle w:val="NormalWeb"/>
        <w:shd w:val="clear" w:color="auto" w:fill="FFFFFF"/>
        <w:spacing w:after="150"/>
      </w:pPr>
      <w:r>
        <w:t>As research designs vary dramatically in terms of time and cost requirements, the algorithm steers the researcher to the most cost‐effective option first in those instances in which multiple approaches are viable.</w:t>
      </w:r>
    </w:p>
    <w:p w:rsidR="003B4AD3" w:rsidRDefault="003B4AD3" w:rsidP="003B4AD3">
      <w:pPr>
        <w:pStyle w:val="NormalWeb"/>
        <w:shd w:val="clear" w:color="auto" w:fill="FFFFFF"/>
        <w:spacing w:after="150"/>
      </w:pPr>
      <w:r>
        <w:t xml:space="preserve">One of six different research designs: </w:t>
      </w:r>
    </w:p>
    <w:p w:rsidR="003B4AD3" w:rsidRDefault="003B4AD3" w:rsidP="003B4AD3">
      <w:pPr>
        <w:pStyle w:val="NormalWeb"/>
        <w:shd w:val="clear" w:color="auto" w:fill="FFFFFF"/>
        <w:spacing w:before="0" w:beforeAutospacing="0" w:after="150"/>
      </w:pPr>
      <w:r>
        <w:t>(1) retrospective database analysis; (2) manual chart review; (3) prospective non‐interventional study/registry; (4) traditional randomized controlled trial; (5) pragmatic clinical trial; or (6) economic modeling.</w:t>
      </w:r>
    </w:p>
    <w:p w:rsidR="005421BE" w:rsidRDefault="005421BE" w:rsidP="005421BE">
      <w:pPr>
        <w:pStyle w:val="NormalWeb"/>
        <w:shd w:val="clear" w:color="auto" w:fill="FFFFFF"/>
        <w:spacing w:before="0" w:beforeAutospacing="0" w:after="150"/>
      </w:pPr>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197772" w:rsidRDefault="00197772" w:rsidP="00197772">
      <w:pPr>
        <w:pStyle w:val="NormalWeb"/>
        <w:shd w:val="clear" w:color="auto" w:fill="FFFFFF"/>
        <w:spacing w:after="150"/>
      </w:pPr>
      <w:r>
        <w:t xml:space="preserve">Another step wise approach proposed in 2019, by Nicolle M. Gatto, et. Al coined as </w:t>
      </w:r>
      <w:r>
        <w:rPr>
          <w:rFonts w:ascii="Open Sans" w:hAnsi="Open Sans"/>
          <w:color w:val="1C1D1E"/>
          <w:shd w:val="clear" w:color="auto" w:fill="FFFFFF"/>
        </w:rPr>
        <w:t>Structured Pre</w:t>
      </w:r>
      <w:r w:rsidR="00C707D1">
        <w:rPr>
          <w:rFonts w:ascii="Open Sans" w:hAnsi="Open Sans"/>
          <w:color w:val="1C1D1E"/>
          <w:shd w:val="clear" w:color="auto" w:fill="FFFFFF"/>
        </w:rPr>
        <w:t>-</w:t>
      </w:r>
      <w:r>
        <w:rPr>
          <w:rFonts w:ascii="Open Sans" w:hAnsi="Open Sans"/>
          <w:color w:val="1C1D1E"/>
          <w:shd w:val="clear" w:color="auto" w:fill="FFFFFF"/>
        </w:rPr>
        <w:t>approval and Post</w:t>
      </w:r>
      <w:r w:rsidR="00C707D1">
        <w:rPr>
          <w:rFonts w:ascii="Open Sans" w:hAnsi="Open Sans"/>
          <w:color w:val="1C1D1E"/>
          <w:shd w:val="clear" w:color="auto" w:fill="FFFFFF"/>
        </w:rPr>
        <w:t>-</w:t>
      </w:r>
      <w:r>
        <w:rPr>
          <w:rFonts w:ascii="Open Sans" w:hAnsi="Open Sans"/>
          <w:color w:val="1C1D1E"/>
          <w:shd w:val="clear" w:color="auto" w:fill="FFFFFF"/>
        </w:rPr>
        <w: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197772" w:rsidRDefault="00197772" w:rsidP="00197772">
      <w:pPr>
        <w:pStyle w:val="NormalWeb"/>
        <w:shd w:val="clear" w:color="auto" w:fill="FFFFFF"/>
        <w:spacing w:after="150"/>
      </w:pPr>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5421BE" w:rsidRDefault="00197772" w:rsidP="00197772">
      <w:pPr>
        <w:pStyle w:val="NormalWeb"/>
        <w:shd w:val="clear" w:color="auto" w:fill="FFFFFF"/>
        <w:spacing w:before="0" w:beforeAutospacing="0" w:after="150"/>
      </w:pPr>
      <w:r>
        <w:lastRenderedPageBreak/>
        <w:t>In this way, SPACE may improve dialogue and build trust among healthcare providers, patients, regulators, and researchers.</w:t>
      </w:r>
    </w:p>
    <w:p w:rsidR="00B402F0" w:rsidRDefault="00B402F0" w:rsidP="00197772">
      <w:pPr>
        <w:pStyle w:val="NormalWeb"/>
        <w:shd w:val="clear" w:color="auto" w:fill="FFFFFF"/>
        <w:spacing w:before="0" w:beforeAutospacing="0" w:after="150"/>
      </w:pPr>
      <w:r>
        <w:t xml:space="preserve">Step 1: </w:t>
      </w:r>
      <w:r w:rsidRPr="00B402F0">
        <w:t>Articulate research question and design elements</w:t>
      </w:r>
    </w:p>
    <w:p w:rsidR="00B402F0" w:rsidRDefault="00B402F0" w:rsidP="00197772">
      <w:pPr>
        <w:pStyle w:val="NormalWeb"/>
        <w:shd w:val="clear" w:color="auto" w:fill="FFFFFF"/>
        <w:spacing w:before="0" w:beforeAutospacing="0" w:after="150"/>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B402F0" w:rsidRDefault="00B402F0" w:rsidP="00197772">
      <w:pPr>
        <w:pStyle w:val="NormalWeb"/>
        <w:shd w:val="clear" w:color="auto" w:fill="FFFFFF"/>
        <w:spacing w:before="0" w:beforeAutospacing="0" w:after="150"/>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B402F0" w:rsidRDefault="00B402F0" w:rsidP="00197772">
      <w:pPr>
        <w:pStyle w:val="NormalWeb"/>
        <w:shd w:val="clear" w:color="auto" w:fill="FFFFFF"/>
        <w:spacing w:before="0" w:beforeAutospacing="0" w:after="150"/>
      </w:pPr>
      <w:r>
        <w:rPr>
          <w:rFonts w:ascii="Open Sans" w:hAnsi="Open Sans"/>
          <w:color w:val="1C1D1E"/>
          <w:shd w:val="clear" w:color="auto" w:fill="FFFFFF"/>
        </w:rPr>
        <w:t>Step 4: Answer questions in flow chart</w:t>
      </w:r>
    </w:p>
    <w:p w:rsidR="00B402F0" w:rsidRDefault="00B402F0" w:rsidP="00197772">
      <w:pPr>
        <w:pStyle w:val="NormalWeb"/>
        <w:shd w:val="clear" w:color="auto" w:fill="FFFFFF"/>
        <w:spacing w:before="0" w:beforeAutospacing="0" w:after="150"/>
      </w:pPr>
      <w:r w:rsidRPr="00B402F0">
        <w:t>Revisit Steps 1–4 as needed: The steps are inherently iterative</w:t>
      </w:r>
    </w:p>
    <w:p w:rsidR="00A76B33" w:rsidRDefault="00A76B33" w:rsidP="00197772">
      <w:pPr>
        <w:pStyle w:val="NormalWeb"/>
        <w:shd w:val="clear" w:color="auto" w:fill="FFFFFF"/>
        <w:spacing w:before="0" w:beforeAutospacing="0" w:after="150"/>
      </w:pPr>
      <w:r>
        <w:t xml:space="preserve">Analysis on Psoriasis patients published in 2018  y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r>
        <w:t xml:space="preserve"> </w:t>
      </w:r>
    </w:p>
    <w:p w:rsidR="00514166" w:rsidRDefault="0075026A" w:rsidP="0075026A">
      <w:pPr>
        <w:pStyle w:val="NormalWeb"/>
        <w:shd w:val="clear" w:color="auto" w:fill="FFFFFF"/>
        <w:spacing w:before="0" w:beforeAutospacing="0" w:after="150"/>
        <w:rPr>
          <w:b/>
        </w:rPr>
      </w:pPr>
      <w:r>
        <w:t>Temple university</w:t>
      </w:r>
      <w:r w:rsidR="004530B2">
        <w:t xml:space="preserve"> website</w:t>
      </w:r>
      <w:r>
        <w:t xml:space="preserve"> “</w:t>
      </w:r>
      <w:hyperlink r:id="rId44"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B74EAB">
      <w:pPr>
        <w:pStyle w:val="NormalWeb"/>
        <w:shd w:val="clear" w:color="auto" w:fill="FFFFFF"/>
        <w:spacing w:before="0" w:beforeAutospacing="0" w:after="150"/>
        <w:ind w:left="150"/>
      </w:pPr>
      <w:r w:rsidRPr="00B74EAB">
        <w:t>Network meta-analyses are best designed for:</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To make treatment estimates for an entire treatment network instead of scanning each individual pair-wise comparison</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w:t>
      </w:r>
      <w:r w:rsidR="00660820">
        <w:lastRenderedPageBreak/>
        <w:t>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30564F">
      <w:pPr>
        <w:pStyle w:val="ListParagraph"/>
        <w:numPr>
          <w:ilvl w:val="0"/>
          <w:numId w:val="94"/>
        </w:numPr>
      </w:pPr>
      <w:r>
        <w:t>Indirect comparison – when only two (or one pair of) treatments are being compared indirectly</w:t>
      </w:r>
    </w:p>
    <w:p w:rsidR="0030564F" w:rsidRDefault="0030564F" w:rsidP="0030564F">
      <w:pPr>
        <w:pStyle w:val="ListParagraph"/>
        <w:numPr>
          <w:ilvl w:val="0"/>
          <w:numId w:val="94"/>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t xml:space="preserve">He speaks about 3 important concepts: </w:t>
      </w:r>
    </w:p>
    <w:p w:rsidR="00B5241A" w:rsidRDefault="00B5241A" w:rsidP="00B5241A">
      <w:pPr>
        <w:pStyle w:val="ListParagraph"/>
        <w:numPr>
          <w:ilvl w:val="0"/>
          <w:numId w:val="95"/>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B5241A">
      <w:pPr>
        <w:pStyle w:val="ListParagraph"/>
        <w:numPr>
          <w:ilvl w:val="0"/>
          <w:numId w:val="95"/>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B5241A">
      <w:pPr>
        <w:pStyle w:val="ListParagraph"/>
        <w:numPr>
          <w:ilvl w:val="0"/>
          <w:numId w:val="95"/>
        </w:numPr>
      </w:pPr>
      <w:r>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C01CC8">
      <w:pPr>
        <w:pStyle w:val="ListParagraph"/>
        <w:numPr>
          <w:ilvl w:val="0"/>
          <w:numId w:val="96"/>
        </w:numPr>
      </w:pPr>
      <w:r>
        <w:t>Randomization holds within trials and not across trials in a (network) meta analysis</w:t>
      </w:r>
    </w:p>
    <w:p w:rsidR="00C01CC8" w:rsidRDefault="00C01CC8" w:rsidP="00C01CC8">
      <w:pPr>
        <w:pStyle w:val="ListParagraph"/>
        <w:numPr>
          <w:ilvl w:val="0"/>
          <w:numId w:val="96"/>
        </w:numPr>
      </w:pPr>
      <w:r>
        <w:t>Homogeneity, transitivity, and consistency need to be examined</w:t>
      </w:r>
    </w:p>
    <w:p w:rsidR="00C01CC8" w:rsidRDefault="00C01CC8" w:rsidP="00C01CC8">
      <w:pPr>
        <w:pStyle w:val="ListParagraph"/>
        <w:numPr>
          <w:ilvl w:val="0"/>
          <w:numId w:val="96"/>
        </w:numPr>
      </w:pPr>
      <w:r>
        <w:t>It all relates to the distribution of patient and study characteristics (including bias) that affect the treatment effects: effect modifiers</w:t>
      </w:r>
    </w:p>
    <w:p w:rsidR="00C01CC8" w:rsidRDefault="00C01CC8" w:rsidP="00C01CC8">
      <w:pPr>
        <w:pStyle w:val="ListParagraph"/>
        <w:numPr>
          <w:ilvl w:val="0"/>
          <w:numId w:val="96"/>
        </w:numPr>
      </w:pPr>
      <w:r>
        <w:t>Variation in effect modifiers between studies within direct comparisons: heterogeneity</w:t>
      </w:r>
    </w:p>
    <w:p w:rsidR="00C01CC8" w:rsidRDefault="00C01CC8" w:rsidP="00C01CC8">
      <w:pPr>
        <w:pStyle w:val="ListParagraph"/>
        <w:numPr>
          <w:ilvl w:val="0"/>
          <w:numId w:val="96"/>
        </w:numPr>
      </w:pPr>
      <w:r>
        <w:t xml:space="preserve">Variation in effect modifiers between different direct comparisons: inconsistency </w:t>
      </w:r>
    </w:p>
    <w:p w:rsidR="00C01CC8" w:rsidRDefault="00C01CC8" w:rsidP="00C01CC8">
      <w:pPr>
        <w:pStyle w:val="ListParagraph"/>
        <w:numPr>
          <w:ilvl w:val="1"/>
          <w:numId w:val="96"/>
        </w:numPr>
      </w:pPr>
      <w:r>
        <w:t>Imbalance in effect modifiers between comparisons: transitivity violations</w:t>
      </w:r>
    </w:p>
    <w:p w:rsidR="00C01CC8" w:rsidRDefault="00C01CC8" w:rsidP="00C01CC8">
      <w:pPr>
        <w:pStyle w:val="ListParagraph"/>
        <w:numPr>
          <w:ilvl w:val="1"/>
          <w:numId w:val="96"/>
        </w:numPr>
      </w:pPr>
      <w:r>
        <w:t>This will show as in inconsistency in the data and hence results</w:t>
      </w:r>
    </w:p>
    <w:p w:rsidR="00C01CC8" w:rsidRPr="00514166" w:rsidRDefault="00C01CC8" w:rsidP="00C01CC8">
      <w:pPr>
        <w:pStyle w:val="ListParagraph"/>
        <w:numPr>
          <w:ilvl w:val="0"/>
          <w:numId w:val="96"/>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bookmarkStart w:id="258" w:name="_Toc17883647"/>
      <w:r>
        <w:br w:type="page"/>
      </w:r>
    </w:p>
    <w:p w:rsidR="007E2558" w:rsidRPr="00380789" w:rsidRDefault="007E2558" w:rsidP="00514166">
      <w:pPr>
        <w:pStyle w:val="Heading1"/>
        <w:spacing w:after="0"/>
        <w:rPr>
          <w:rFonts w:ascii="Times New Roman" w:hAnsi="Times New Roman"/>
          <w:b w:val="0"/>
          <w:sz w:val="24"/>
          <w:szCs w:val="24"/>
        </w:rPr>
      </w:pPr>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1"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6"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B622E4" w:rsidP="00D822CB">
            <w:pPr>
              <w:spacing w:before="60"/>
              <w:rPr>
                <w:rFonts w:ascii="Garamond" w:eastAsia="Calibri" w:hAnsi="Garamond"/>
                <w:iCs/>
              </w:rPr>
            </w:pPr>
            <w:hyperlink r:id="rId71"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B622E4" w:rsidP="00CD4E0C">
      <w:pPr>
        <w:rPr>
          <w:vertAlign w:val="superscript"/>
        </w:rPr>
      </w:pPr>
      <w:hyperlink r:id="rId89" w:history="1">
        <w:r w:rsidR="00CD4E0C" w:rsidRPr="002F0F4B">
          <w:rPr>
            <w:rStyle w:val="Hyperlink"/>
            <w:rFonts w:eastAsia="Times"/>
            <w:vertAlign w:val="superscript"/>
          </w:rPr>
          <w:t>https://www.karger.com/Article/FullText/199460</w:t>
        </w:r>
      </w:hyperlink>
    </w:p>
    <w:p w:rsidR="00CD4E0C" w:rsidRPr="002F0F4B" w:rsidRDefault="00B622E4" w:rsidP="00CD4E0C">
      <w:pPr>
        <w:rPr>
          <w:vertAlign w:val="superscript"/>
        </w:rPr>
      </w:pPr>
      <w:hyperlink r:id="rId90"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3"/>
          <w:headerReference w:type="default" r:id="rId94"/>
          <w:footerReference w:type="even" r:id="rId95"/>
          <w:footerReference w:type="default" r:id="rId96"/>
          <w:headerReference w:type="first" r:id="rId97"/>
          <w:footerReference w:type="first" r:id="rId98"/>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B622E4" w:rsidP="00644362">
      <w:pPr>
        <w:rPr>
          <w:rFonts w:ascii="Garamond" w:hAnsi="Garamond"/>
        </w:rPr>
      </w:pPr>
      <w:r w:rsidRPr="00B622E4">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CA205E" w:rsidRPr="00EB55A0" w:rsidRDefault="00CA205E"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CA205E" w:rsidRPr="00EB55A0" w:rsidRDefault="00CA205E"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4"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5"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25D" w:rsidRDefault="00DD325D">
      <w:r>
        <w:separator/>
      </w:r>
    </w:p>
  </w:endnote>
  <w:endnote w:type="continuationSeparator" w:id="1">
    <w:p w:rsidR="00DD325D" w:rsidRDefault="00DD32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rsidP="00D822CB">
    <w:pPr>
      <w:pStyle w:val="Footer"/>
      <w:pBdr>
        <w:top w:val="single" w:sz="4" w:space="1" w:color="D9D9D9"/>
      </w:pBdr>
      <w:jc w:val="right"/>
    </w:pPr>
    <w:fldSimple w:instr=" PAGE   \* MERGEFORMAT ">
      <w:r w:rsidR="009505AC">
        <w:rPr>
          <w:noProof/>
        </w:rPr>
        <w:t>76</w:t>
      </w:r>
    </w:fldSimple>
    <w:r>
      <w:t xml:space="preserve"> | </w:t>
    </w:r>
    <w:r w:rsidRPr="0085206F">
      <w:rPr>
        <w:color w:val="808080"/>
        <w:spacing w:val="60"/>
      </w:rPr>
      <w:t>Page</w:t>
    </w:r>
  </w:p>
  <w:p w:rsidR="00CA205E" w:rsidRDefault="00CA205E"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25D" w:rsidRDefault="00DD325D">
      <w:r>
        <w:separator/>
      </w:r>
    </w:p>
  </w:footnote>
  <w:footnote w:type="continuationSeparator" w:id="1">
    <w:p w:rsidR="00DD325D" w:rsidRDefault="00DD32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16EC9" w:rsidRDefault="00CA205E">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CA205E" w:rsidRDefault="00CA205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8179DC" w:rsidRDefault="00CA205E">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2D51C56"/>
    <w:multiLevelType w:val="multilevel"/>
    <w:tmpl w:val="8D58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2">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2">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8">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nsid w:val="7E734A6A"/>
    <w:multiLevelType w:val="multilevel"/>
    <w:tmpl w:val="EF9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3"/>
  </w:num>
  <w:num w:numId="2">
    <w:abstractNumId w:val="46"/>
  </w:num>
  <w:num w:numId="3">
    <w:abstractNumId w:val="25"/>
  </w:num>
  <w:num w:numId="4">
    <w:abstractNumId w:val="48"/>
  </w:num>
  <w:num w:numId="5">
    <w:abstractNumId w:val="24"/>
  </w:num>
  <w:num w:numId="6">
    <w:abstractNumId w:val="21"/>
  </w:num>
  <w:num w:numId="7">
    <w:abstractNumId w:val="57"/>
  </w:num>
  <w:num w:numId="8">
    <w:abstractNumId w:val="91"/>
  </w:num>
  <w:num w:numId="9">
    <w:abstractNumId w:val="69"/>
  </w:num>
  <w:num w:numId="10">
    <w:abstractNumId w:val="47"/>
  </w:num>
  <w:num w:numId="11">
    <w:abstractNumId w:val="80"/>
  </w:num>
  <w:num w:numId="12">
    <w:abstractNumId w:val="87"/>
  </w:num>
  <w:num w:numId="13">
    <w:abstractNumId w:val="68"/>
  </w:num>
  <w:num w:numId="14">
    <w:abstractNumId w:val="44"/>
  </w:num>
  <w:num w:numId="15">
    <w:abstractNumId w:val="37"/>
  </w:num>
  <w:num w:numId="16">
    <w:abstractNumId w:val="72"/>
  </w:num>
  <w:num w:numId="17">
    <w:abstractNumId w:val="40"/>
  </w:num>
  <w:num w:numId="18">
    <w:abstractNumId w:val="34"/>
  </w:num>
  <w:num w:numId="19">
    <w:abstractNumId w:val="40"/>
    <w:lvlOverride w:ilvl="0">
      <w:startOverride w:val="1"/>
    </w:lvlOverride>
    <w:lvlOverride w:ilvl="1">
      <w:startOverride w:val="1"/>
    </w:lvlOverride>
  </w:num>
  <w:num w:numId="20">
    <w:abstractNumId w:val="12"/>
  </w:num>
  <w:num w:numId="21">
    <w:abstractNumId w:val="16"/>
  </w:num>
  <w:num w:numId="22">
    <w:abstractNumId w:val="77"/>
  </w:num>
  <w:num w:numId="23">
    <w:abstractNumId w:val="31"/>
  </w:num>
  <w:num w:numId="24">
    <w:abstractNumId w:val="67"/>
  </w:num>
  <w:num w:numId="25">
    <w:abstractNumId w:val="50"/>
  </w:num>
  <w:num w:numId="26">
    <w:abstractNumId w:val="52"/>
  </w:num>
  <w:num w:numId="27">
    <w:abstractNumId w:val="78"/>
  </w:num>
  <w:num w:numId="28">
    <w:abstractNumId w:val="86"/>
  </w:num>
  <w:num w:numId="29">
    <w:abstractNumId w:val="17"/>
  </w:num>
  <w:num w:numId="30">
    <w:abstractNumId w:val="76"/>
  </w:num>
  <w:num w:numId="31">
    <w:abstractNumId w:val="9"/>
  </w:num>
  <w:num w:numId="32">
    <w:abstractNumId w:val="51"/>
  </w:num>
  <w:num w:numId="33">
    <w:abstractNumId w:val="55"/>
  </w:num>
  <w:num w:numId="34">
    <w:abstractNumId w:val="2"/>
  </w:num>
  <w:num w:numId="35">
    <w:abstractNumId w:val="58"/>
  </w:num>
  <w:num w:numId="36">
    <w:abstractNumId w:val="64"/>
  </w:num>
  <w:num w:numId="37">
    <w:abstractNumId w:val="82"/>
  </w:num>
  <w:num w:numId="38">
    <w:abstractNumId w:val="43"/>
  </w:num>
  <w:num w:numId="39">
    <w:abstractNumId w:val="60"/>
  </w:num>
  <w:num w:numId="40">
    <w:abstractNumId w:val="90"/>
  </w:num>
  <w:num w:numId="41">
    <w:abstractNumId w:val="62"/>
  </w:num>
  <w:num w:numId="42">
    <w:abstractNumId w:val="38"/>
  </w:num>
  <w:num w:numId="43">
    <w:abstractNumId w:val="61"/>
  </w:num>
  <w:num w:numId="44">
    <w:abstractNumId w:val="41"/>
  </w:num>
  <w:num w:numId="45">
    <w:abstractNumId w:val="22"/>
  </w:num>
  <w:num w:numId="46">
    <w:abstractNumId w:val="30"/>
  </w:num>
  <w:num w:numId="47">
    <w:abstractNumId w:val="19"/>
  </w:num>
  <w:num w:numId="48">
    <w:abstractNumId w:val="4"/>
  </w:num>
  <w:num w:numId="49">
    <w:abstractNumId w:val="71"/>
  </w:num>
  <w:num w:numId="50">
    <w:abstractNumId w:val="56"/>
  </w:num>
  <w:num w:numId="51">
    <w:abstractNumId w:val="89"/>
  </w:num>
  <w:num w:numId="52">
    <w:abstractNumId w:val="28"/>
  </w:num>
  <w:num w:numId="53">
    <w:abstractNumId w:val="32"/>
  </w:num>
  <w:num w:numId="54">
    <w:abstractNumId w:val="36"/>
  </w:num>
  <w:num w:numId="55">
    <w:abstractNumId w:val="33"/>
  </w:num>
  <w:num w:numId="56">
    <w:abstractNumId w:val="7"/>
  </w:num>
  <w:num w:numId="57">
    <w:abstractNumId w:val="66"/>
  </w:num>
  <w:num w:numId="58">
    <w:abstractNumId w:val="10"/>
  </w:num>
  <w:num w:numId="59">
    <w:abstractNumId w:val="70"/>
  </w:num>
  <w:num w:numId="60">
    <w:abstractNumId w:val="27"/>
  </w:num>
  <w:num w:numId="61">
    <w:abstractNumId w:val="15"/>
  </w:num>
  <w:num w:numId="62">
    <w:abstractNumId w:val="84"/>
  </w:num>
  <w:num w:numId="63">
    <w:abstractNumId w:val="73"/>
  </w:num>
  <w:num w:numId="64">
    <w:abstractNumId w:val="85"/>
  </w:num>
  <w:num w:numId="65">
    <w:abstractNumId w:val="35"/>
  </w:num>
  <w:num w:numId="66">
    <w:abstractNumId w:val="53"/>
  </w:num>
  <w:num w:numId="67">
    <w:abstractNumId w:val="39"/>
  </w:num>
  <w:num w:numId="68">
    <w:abstractNumId w:val="20"/>
  </w:num>
  <w:num w:numId="69">
    <w:abstractNumId w:val="29"/>
  </w:num>
  <w:num w:numId="70">
    <w:abstractNumId w:val="75"/>
  </w:num>
  <w:num w:numId="71">
    <w:abstractNumId w:val="93"/>
  </w:num>
  <w:num w:numId="72">
    <w:abstractNumId w:val="6"/>
  </w:num>
  <w:num w:numId="73">
    <w:abstractNumId w:val="59"/>
  </w:num>
  <w:num w:numId="74">
    <w:abstractNumId w:val="65"/>
  </w:num>
  <w:num w:numId="75">
    <w:abstractNumId w:val="49"/>
  </w:num>
  <w:num w:numId="76">
    <w:abstractNumId w:val="1"/>
  </w:num>
  <w:num w:numId="77">
    <w:abstractNumId w:val="18"/>
  </w:num>
  <w:num w:numId="78">
    <w:abstractNumId w:val="63"/>
  </w:num>
  <w:num w:numId="79">
    <w:abstractNumId w:val="23"/>
  </w:num>
  <w:num w:numId="80">
    <w:abstractNumId w:val="94"/>
  </w:num>
  <w:num w:numId="81">
    <w:abstractNumId w:val="26"/>
  </w:num>
  <w:num w:numId="82">
    <w:abstractNumId w:val="42"/>
  </w:num>
  <w:num w:numId="83">
    <w:abstractNumId w:val="5"/>
  </w:num>
  <w:num w:numId="84">
    <w:abstractNumId w:val="74"/>
  </w:num>
  <w:num w:numId="85">
    <w:abstractNumId w:val="8"/>
  </w:num>
  <w:num w:numId="86">
    <w:abstractNumId w:val="79"/>
  </w:num>
  <w:num w:numId="87">
    <w:abstractNumId w:val="45"/>
  </w:num>
  <w:num w:numId="88">
    <w:abstractNumId w:val="81"/>
  </w:num>
  <w:num w:numId="89">
    <w:abstractNumId w:val="0"/>
  </w:num>
  <w:num w:numId="90">
    <w:abstractNumId w:val="54"/>
  </w:num>
  <w:num w:numId="91">
    <w:abstractNumId w:val="11"/>
  </w:num>
  <w:num w:numId="92">
    <w:abstractNumId w:val="3"/>
  </w:num>
  <w:num w:numId="93">
    <w:abstractNumId w:val="92"/>
  </w:num>
  <w:num w:numId="94">
    <w:abstractNumId w:val="13"/>
  </w:num>
  <w:num w:numId="95">
    <w:abstractNumId w:val="14"/>
  </w:num>
  <w:num w:numId="96">
    <w:abstractNumId w:val="88"/>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141C1"/>
    <w:rsid w:val="0022776F"/>
    <w:rsid w:val="0023499B"/>
    <w:rsid w:val="002353DA"/>
    <w:rsid w:val="00244005"/>
    <w:rsid w:val="00245509"/>
    <w:rsid w:val="00246822"/>
    <w:rsid w:val="00252EBB"/>
    <w:rsid w:val="0025776B"/>
    <w:rsid w:val="00274180"/>
    <w:rsid w:val="00276E57"/>
    <w:rsid w:val="002871AB"/>
    <w:rsid w:val="002A326D"/>
    <w:rsid w:val="002D231B"/>
    <w:rsid w:val="002D3EA7"/>
    <w:rsid w:val="002E502D"/>
    <w:rsid w:val="002F1A44"/>
    <w:rsid w:val="002F6B24"/>
    <w:rsid w:val="00303BB1"/>
    <w:rsid w:val="0030564F"/>
    <w:rsid w:val="00313B5E"/>
    <w:rsid w:val="00331F99"/>
    <w:rsid w:val="003333A7"/>
    <w:rsid w:val="00340ADF"/>
    <w:rsid w:val="003714FA"/>
    <w:rsid w:val="003761AD"/>
    <w:rsid w:val="003773D3"/>
    <w:rsid w:val="00380789"/>
    <w:rsid w:val="00380999"/>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4154B"/>
    <w:rsid w:val="00741D32"/>
    <w:rsid w:val="0075026A"/>
    <w:rsid w:val="007627AC"/>
    <w:rsid w:val="007708C3"/>
    <w:rsid w:val="0079037F"/>
    <w:rsid w:val="007C0753"/>
    <w:rsid w:val="007D426A"/>
    <w:rsid w:val="007E2558"/>
    <w:rsid w:val="0080211A"/>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6B33"/>
    <w:rsid w:val="00A77CF8"/>
    <w:rsid w:val="00AA486D"/>
    <w:rsid w:val="00AB705A"/>
    <w:rsid w:val="00AC144B"/>
    <w:rsid w:val="00AC1C97"/>
    <w:rsid w:val="00AD142B"/>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A0837"/>
    <w:rsid w:val="00BA09C8"/>
    <w:rsid w:val="00BB5C44"/>
    <w:rsid w:val="00BC1E21"/>
    <w:rsid w:val="00BF5E45"/>
    <w:rsid w:val="00C01CC8"/>
    <w:rsid w:val="00C05185"/>
    <w:rsid w:val="00C13429"/>
    <w:rsid w:val="00C2619E"/>
    <w:rsid w:val="00C5349F"/>
    <w:rsid w:val="00C707D1"/>
    <w:rsid w:val="00CA205E"/>
    <w:rsid w:val="00CA761E"/>
    <w:rsid w:val="00CC17AF"/>
    <w:rsid w:val="00CD4E0C"/>
    <w:rsid w:val="00D059C9"/>
    <w:rsid w:val="00D059CF"/>
    <w:rsid w:val="00D14A10"/>
    <w:rsid w:val="00D1732B"/>
    <w:rsid w:val="00D5045F"/>
    <w:rsid w:val="00D822CB"/>
    <w:rsid w:val="00DC2120"/>
    <w:rsid w:val="00DD25F0"/>
    <w:rsid w:val="00DD325D"/>
    <w:rsid w:val="00DE2D84"/>
    <w:rsid w:val="00DF119C"/>
    <w:rsid w:val="00E0189A"/>
    <w:rsid w:val="00E15C84"/>
    <w:rsid w:val="00E23A1B"/>
    <w:rsid w:val="00E25A27"/>
    <w:rsid w:val="00E36355"/>
    <w:rsid w:val="00E372D5"/>
    <w:rsid w:val="00E4241B"/>
    <w:rsid w:val="00E661E0"/>
    <w:rsid w:val="00E86588"/>
    <w:rsid w:val="00EB6280"/>
    <w:rsid w:val="00EC287F"/>
    <w:rsid w:val="00EC38D7"/>
    <w:rsid w:val="00ED313E"/>
    <w:rsid w:val="00ED7736"/>
    <w:rsid w:val="00EE3548"/>
    <w:rsid w:val="00F02093"/>
    <w:rsid w:val="00F1289F"/>
    <w:rsid w:val="00F26626"/>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5" type="connector" idref="#_x0000_s1057"/>
        <o:r id="V:Rule16" type="connector" idref="#Straight Arrow Connector 21"/>
        <o:r id="V:Rule17" type="connector" idref="#Straight Arrow Connector 14"/>
        <o:r id="V:Rule18" type="connector" idref="#Straight Arrow Connector 17"/>
        <o:r id="V:Rule19" type="connector" idref="#_x0000_s1056"/>
        <o:r id="V:Rule20" type="connector" idref="#Straight Arrow Connector 63"/>
        <o:r id="V:Rule21" type="connector" idref="#Straight Arrow Connector 60"/>
        <o:r id="V:Rule22" type="connector" idref="#_x0000_s1058"/>
        <o:r id="V:Rule23" type="connector" idref="#Straight Arrow Connector 19"/>
        <o:r id="V:Rule24" type="connector" idref="#_x0000_s1055"/>
        <o:r id="V:Rule25" type="connector" idref="#Elbow Connector 24"/>
        <o:r id="V:Rule26" type="connector" idref="#Straight Arrow Connector 26"/>
        <o:r id="V:Rule27" type="connector" idref="#Straight Arrow Connector 62"/>
        <o:r id="V:Rule28"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3.xml"/><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hyperlink" Target="https://www.karger.com/Article/FullText/199460" TargetMode="External"/><Relationship Id="rId7" Type="http://schemas.openxmlformats.org/officeDocument/2006/relationships/endnotes" Target="endnotes.xml"/><Relationship Id="rId71" Type="http://schemas.openxmlformats.org/officeDocument/2006/relationships/hyperlink" Target="https://coursephd.github.io" TargetMode="External"/><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1.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coursephd.github.io" TargetMode="Externa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5.png"/><Relationship Id="rId90" Type="http://schemas.openxmlformats.org/officeDocument/2006/relationships/hyperlink" Target="http://www.apiindia.org/medicine_update_2013/chap130.pdf" TargetMode="External"/><Relationship Id="rId95" Type="http://schemas.openxmlformats.org/officeDocument/2006/relationships/footer" Target="footer4.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4.xm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100" Type="http://schemas.openxmlformats.org/officeDocument/2006/relationships/image" Target="media/image65.png"/><Relationship Id="rId105" Type="http://schemas.openxmlformats.org/officeDocument/2006/relationships/hyperlink" Target="http://www.ahc.umn.edu/research/indide/definitions/home.html" TargetMode="External"/><Relationship Id="rId8" Type="http://schemas.openxmlformats.org/officeDocument/2006/relationships/header" Target="header1.xml"/><Relationship Id="rId51" Type="http://schemas.openxmlformats.org/officeDocument/2006/relationships/hyperlink" Target="https://www.drikpanchang.com/seasons/season-tropical-timings.html?geoname-id=1277333&amp;year=2010"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6.xml"/><Relationship Id="rId98"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2.xml"/><Relationship Id="rId59" Type="http://schemas.openxmlformats.org/officeDocument/2006/relationships/image" Target="media/image34.png"/><Relationship Id="rId67" Type="http://schemas.openxmlformats.org/officeDocument/2006/relationships/image" Target="media/image41.png"/><Relationship Id="rId103" Type="http://schemas.openxmlformats.org/officeDocument/2006/relationships/image" Target="media/image68.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2.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2.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guides.temple.edu/c.php?g=78618&amp;p=4156609"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eader" Target="header7.xml"/><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header" Target="header8.xml"/><Relationship Id="rId104" Type="http://schemas.openxmlformats.org/officeDocument/2006/relationships/hyperlink" Target="http://www.research.umn.edu/irb/a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98708480"/>
        <c:axId val="115117440"/>
      </c:barChart>
      <c:catAx>
        <c:axId val="98708480"/>
        <c:scaling>
          <c:orientation val="minMax"/>
        </c:scaling>
        <c:axPos val="b"/>
        <c:numFmt formatCode="General" sourceLinked="0"/>
        <c:tickLblPos val="nextTo"/>
        <c:txPr>
          <a:bodyPr/>
          <a:lstStyle/>
          <a:p>
            <a:pPr>
              <a:defRPr lang="en-US"/>
            </a:pPr>
            <a:endParaRPr lang="en-US"/>
          </a:p>
        </c:txPr>
        <c:crossAx val="115117440"/>
        <c:crosses val="autoZero"/>
        <c:auto val="1"/>
        <c:lblAlgn val="ctr"/>
        <c:lblOffset val="100"/>
      </c:catAx>
      <c:valAx>
        <c:axId val="115117440"/>
        <c:scaling>
          <c:orientation val="minMax"/>
        </c:scaling>
        <c:axPos val="l"/>
        <c:majorGridlines/>
        <c:numFmt formatCode="General" sourceLinked="1"/>
        <c:tickLblPos val="nextTo"/>
        <c:txPr>
          <a:bodyPr/>
          <a:lstStyle/>
          <a:p>
            <a:pPr>
              <a:defRPr lang="en-US"/>
            </a:pPr>
            <a:endParaRPr lang="en-US"/>
          </a:p>
        </c:txPr>
        <c:crossAx val="987084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71142400"/>
        <c:axId val="71144192"/>
      </c:barChart>
      <c:catAx>
        <c:axId val="71142400"/>
        <c:scaling>
          <c:orientation val="minMax"/>
        </c:scaling>
        <c:axPos val="b"/>
        <c:numFmt formatCode="General" sourceLinked="0"/>
        <c:tickLblPos val="nextTo"/>
        <c:txPr>
          <a:bodyPr/>
          <a:lstStyle/>
          <a:p>
            <a:pPr>
              <a:defRPr lang="en-US"/>
            </a:pPr>
            <a:endParaRPr lang="en-US"/>
          </a:p>
        </c:txPr>
        <c:crossAx val="71144192"/>
        <c:crosses val="autoZero"/>
        <c:auto val="1"/>
        <c:lblAlgn val="ctr"/>
        <c:lblOffset val="100"/>
      </c:catAx>
      <c:valAx>
        <c:axId val="71144192"/>
        <c:scaling>
          <c:orientation val="minMax"/>
        </c:scaling>
        <c:axPos val="l"/>
        <c:majorGridlines/>
        <c:numFmt formatCode="General" sourceLinked="1"/>
        <c:tickLblPos val="nextTo"/>
        <c:txPr>
          <a:bodyPr/>
          <a:lstStyle/>
          <a:p>
            <a:pPr>
              <a:defRPr lang="en-US"/>
            </a:pPr>
            <a:endParaRPr lang="en-US"/>
          </a:p>
        </c:txPr>
        <c:crossAx val="7114240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71164288"/>
        <c:axId val="71165824"/>
      </c:barChart>
      <c:catAx>
        <c:axId val="71164288"/>
        <c:scaling>
          <c:orientation val="minMax"/>
        </c:scaling>
        <c:axPos val="b"/>
        <c:numFmt formatCode="General" sourceLinked="0"/>
        <c:tickLblPos val="nextTo"/>
        <c:txPr>
          <a:bodyPr/>
          <a:lstStyle/>
          <a:p>
            <a:pPr>
              <a:defRPr lang="en-US"/>
            </a:pPr>
            <a:endParaRPr lang="en-US"/>
          </a:p>
        </c:txPr>
        <c:crossAx val="71165824"/>
        <c:crosses val="autoZero"/>
        <c:auto val="1"/>
        <c:lblAlgn val="ctr"/>
        <c:lblOffset val="100"/>
      </c:catAx>
      <c:valAx>
        <c:axId val="71165824"/>
        <c:scaling>
          <c:orientation val="minMax"/>
        </c:scaling>
        <c:axPos val="l"/>
        <c:majorGridlines/>
        <c:numFmt formatCode="General" sourceLinked="1"/>
        <c:tickLblPos val="nextTo"/>
        <c:txPr>
          <a:bodyPr/>
          <a:lstStyle/>
          <a:p>
            <a:pPr>
              <a:defRPr lang="en-US"/>
            </a:pPr>
            <a:endParaRPr lang="en-US"/>
          </a:p>
        </c:txPr>
        <c:crossAx val="7116428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75528832"/>
        <c:axId val="80286080"/>
      </c:lineChart>
      <c:catAx>
        <c:axId val="75528832"/>
        <c:scaling>
          <c:orientation val="minMax"/>
        </c:scaling>
        <c:axPos val="b"/>
        <c:numFmt formatCode="General" sourceLinked="0"/>
        <c:tickLblPos val="nextTo"/>
        <c:txPr>
          <a:bodyPr/>
          <a:lstStyle/>
          <a:p>
            <a:pPr>
              <a:defRPr lang="en-US"/>
            </a:pPr>
            <a:endParaRPr lang="en-US"/>
          </a:p>
        </c:txPr>
        <c:crossAx val="80286080"/>
        <c:crosses val="autoZero"/>
        <c:auto val="1"/>
        <c:lblAlgn val="ctr"/>
        <c:lblOffset val="100"/>
      </c:catAx>
      <c:valAx>
        <c:axId val="80286080"/>
        <c:scaling>
          <c:orientation val="minMax"/>
        </c:scaling>
        <c:axPos val="l"/>
        <c:majorGridlines/>
        <c:numFmt formatCode="General" sourceLinked="1"/>
        <c:tickLblPos val="nextTo"/>
        <c:txPr>
          <a:bodyPr/>
          <a:lstStyle/>
          <a:p>
            <a:pPr>
              <a:defRPr lang="en-US"/>
            </a:pPr>
            <a:endParaRPr lang="en-US"/>
          </a:p>
        </c:txPr>
        <c:crossAx val="75528832"/>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2672</TotalTime>
  <Pages>165</Pages>
  <Words>42786</Words>
  <Characters>243882</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286096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255</cp:revision>
  <dcterms:created xsi:type="dcterms:W3CDTF">2016-09-25T11:49:00Z</dcterms:created>
  <dcterms:modified xsi:type="dcterms:W3CDTF">2019-09-07T15:14:00Z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