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034D05">
      <w:pPr>
        <w:pStyle w:val="TOC1"/>
        <w:tabs>
          <w:tab w:val="right" w:leader="dot" w:pos="8630"/>
        </w:tabs>
        <w:rPr>
          <w:rFonts w:asciiTheme="minorHAnsi" w:eastAsiaTheme="minorEastAsia" w:hAnsiTheme="minorHAnsi" w:cstheme="minorBidi"/>
          <w:noProof/>
          <w:sz w:val="22"/>
          <w:szCs w:val="22"/>
        </w:rPr>
      </w:pPr>
      <w:r w:rsidRPr="00034D05">
        <w:fldChar w:fldCharType="begin"/>
      </w:r>
      <w:r w:rsidR="007E2558">
        <w:instrText xml:space="preserve"> TOC \o "1-3" \h \z \u </w:instrText>
      </w:r>
      <w:r w:rsidRPr="00034D05">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034D05">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034D05">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034D05">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034D05">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034D05">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034D05">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034D05">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034D05">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034D05">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034D05">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034D05">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034D05">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034D05"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034D05" w:rsidP="007E2558">
      <w:bookmarkStart w:id="37" w:name="_GoBack"/>
      <w:bookmarkEnd w:id="37"/>
      <w:r w:rsidRPr="00034D05">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034D05">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034D05">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034D05" w:rsidP="007E2558">
      <w:r w:rsidRPr="00034D05">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034D05" w:rsidP="007E2558">
      <w:r w:rsidRPr="00034D05">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034D05" w:rsidP="007E2558">
      <w:r w:rsidRPr="00034D05">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034D05">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034D05" w:rsidP="007E2558">
      <w:r w:rsidRPr="00034D05">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034D05">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034D05" w:rsidP="007E2558">
      <w:r w:rsidRPr="00034D05">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034D05" w:rsidP="007E2558">
      <w:r w:rsidRPr="00034D05">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034D05" w:rsidP="007E2558">
      <w:r w:rsidRPr="00034D05">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034D05" w:rsidP="007E2558">
      <w:r w:rsidRPr="00034D05">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034D05" w:rsidP="00D822CB">
            <w:r w:rsidRPr="00034D05">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034D05" w:rsidP="00D822CB">
            <w:r w:rsidRPr="00034D05">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034D05" w:rsidP="00D822CB">
            <w:pPr>
              <w:rPr>
                <w:noProof/>
              </w:rPr>
            </w:pPr>
            <w:r w:rsidRPr="00034D05">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034D05" w:rsidP="00D822CB">
            <w:r w:rsidRPr="00034D05">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D313F">
      <w:pPr>
        <w:pStyle w:val="Heading1"/>
        <w:rPr>
          <w:rFonts w:ascii="Times New Roman" w:hAnsi="Times New Roman"/>
          <w:b w:val="0"/>
          <w:sz w:val="24"/>
          <w:szCs w:val="24"/>
        </w:rPr>
      </w:pPr>
      <w:r w:rsidRPr="00C1642D">
        <w:rPr>
          <w:rFonts w:ascii="Times New Roman" w:hAnsi="Times New Roman"/>
          <w:b w:val="0"/>
          <w:sz w:val="24"/>
          <w:szCs w:val="24"/>
        </w:rPr>
        <w:t>Machine learning offers opportunities to extract useful in</w:t>
      </w:r>
      <w:r w:rsidR="00C03B64">
        <w:rPr>
          <w:rFonts w:ascii="Times New Roman" w:hAnsi="Times New Roman"/>
          <w:b w:val="0"/>
          <w:sz w:val="24"/>
          <w:szCs w:val="24"/>
        </w:rPr>
        <w:t>sights from “</w:t>
      </w:r>
      <w:r w:rsidRPr="00C1642D">
        <w:rPr>
          <w:rFonts w:ascii="Times New Roman" w:hAnsi="Times New Roman"/>
          <w:b w:val="0"/>
          <w:sz w:val="24"/>
          <w:szCs w:val="24"/>
        </w:rPr>
        <w:t>Big Data</w:t>
      </w:r>
      <w:r w:rsidR="00C03B64">
        <w:rPr>
          <w:rFonts w:ascii="Times New Roman" w:hAnsi="Times New Roman"/>
          <w:b w:val="0"/>
          <w:sz w:val="24"/>
          <w:szCs w:val="24"/>
        </w:rPr>
        <w:t>”</w:t>
      </w:r>
      <w:r w:rsidRPr="00C1642D">
        <w:rPr>
          <w:rFonts w:ascii="Times New Roman" w:hAnsi="Times New Roman"/>
          <w:b w:val="0"/>
          <w:sz w:val="24"/>
          <w:szCs w:val="24"/>
        </w:rPr>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2D313F" w:rsidRDefault="002D313F" w:rsidP="002D313F">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 xml:space="preserve">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w:t>
      </w:r>
      <w:r w:rsidRPr="009B5874">
        <w:rPr>
          <w:rFonts w:ascii="Times New Roman" w:hAnsi="Times New Roman"/>
          <w:b w:val="0"/>
          <w:sz w:val="24"/>
          <w:szCs w:val="24"/>
        </w:rPr>
        <w:lastRenderedPageBreak/>
        <w:t>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Pr>
          <w:rFonts w:ascii="Times New Roman" w:hAnsi="Times New Roman"/>
          <w:b w:val="0"/>
          <w:sz w:val="24"/>
          <w:szCs w:val="24"/>
        </w:rPr>
        <w:t xml:space="preserve"> The payers need </w:t>
      </w:r>
      <w:r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Pr>
          <w:rFonts w:ascii="Times New Roman" w:hAnsi="Times New Roman"/>
          <w:b w:val="0"/>
          <w:sz w:val="24"/>
          <w:szCs w:val="24"/>
        </w:rPr>
        <w:t xml:space="preserve"> </w:t>
      </w:r>
      <w:r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D313F">
      <w:pPr>
        <w:rPr>
          <w:vertAlign w:val="superscript"/>
        </w:rPr>
      </w:pPr>
    </w:p>
    <w:p w:rsidR="00A90AE6" w:rsidRDefault="002D313F" w:rsidP="00A90AE6">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A90AE6"/>
    <w:p w:rsidR="00A90AE6" w:rsidRDefault="002D313F" w:rsidP="00A90AE6">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A90AE6"/>
    <w:p w:rsidR="002D313F" w:rsidRDefault="002D313F" w:rsidP="00A90AE6">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lastRenderedPageBreak/>
        <w:t>In a paper published in 2018 “</w:t>
      </w:r>
      <w:r w:rsidRPr="00957880">
        <w:rPr>
          <w:rFonts w:ascii="Times New Roman" w:hAnsi="Times New Roman"/>
          <w:b w:val="0"/>
          <w:sz w:val="24"/>
          <w:szCs w:val="24"/>
        </w:rPr>
        <w:t>The inclusion of real world evidence in clinical development planning</w:t>
      </w:r>
      <w:r>
        <w:rPr>
          <w:rFonts w:ascii="Times New Roman" w:hAnsi="Times New Roman"/>
          <w:b w:val="0"/>
          <w:sz w:val="24"/>
          <w:szCs w:val="24"/>
        </w:rPr>
        <w:t xml:space="preserve">” by Reynaldo Martina et al., the authors propose </w:t>
      </w:r>
      <w:r w:rsidRPr="00424E2D">
        <w:rPr>
          <w:rFonts w:ascii="Times New Roman" w:hAnsi="Times New Roman"/>
          <w:b w:val="0"/>
          <w:sz w:val="24"/>
          <w:szCs w:val="24"/>
        </w:rPr>
        <w:t>a framework for inclusion of RWE in planning of a clinical development programme.</w:t>
      </w:r>
      <w:r>
        <w:rPr>
          <w:rFonts w:ascii="Times New Roman" w:hAnsi="Times New Roman"/>
          <w:b w:val="0"/>
          <w:sz w:val="24"/>
          <w:szCs w:val="24"/>
        </w:rPr>
        <w:t xml:space="preserve"> They present an approach, </w:t>
      </w:r>
      <w:r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Pr>
          <w:rFonts w:ascii="Times New Roman" w:hAnsi="Times New Roman"/>
          <w:b w:val="0"/>
          <w:sz w:val="24"/>
          <w:szCs w:val="24"/>
        </w:rPr>
        <w:t xml:space="preserve">. </w:t>
      </w:r>
      <w:r w:rsidRPr="001748E5">
        <w:rPr>
          <w:rFonts w:ascii="Times New Roman" w:hAnsi="Times New Roman"/>
          <w:b w:val="0"/>
          <w:sz w:val="24"/>
          <w:szCs w:val="24"/>
        </w:rPr>
        <w:t>The use of RWE is currently being explored as the way toward bridging the effectiv</w:t>
      </w:r>
      <w:r>
        <w:rPr>
          <w:rFonts w:ascii="Times New Roman" w:hAnsi="Times New Roman"/>
          <w:b w:val="0"/>
          <w:sz w:val="24"/>
          <w:szCs w:val="24"/>
        </w:rPr>
        <w:t>eness-efficacy gap</w:t>
      </w:r>
      <w:r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Pr>
          <w:rFonts w:ascii="Times New Roman" w:hAnsi="Times New Roman"/>
          <w:b w:val="0"/>
          <w:sz w:val="24"/>
          <w:szCs w:val="24"/>
        </w:rPr>
        <w:t xml:space="preserve"> The authors have recommended following 5 step strategy for the inclusion of RWE in the drug development process.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Step 1: Use NMA to obtain estimates of relative effectiveness, </w:t>
      </w:r>
      <w:r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Pr>
          <w:rFonts w:ascii="Times New Roman" w:hAnsi="Times New Roman"/>
          <w:b w:val="0"/>
          <w:sz w:val="24"/>
          <w:szCs w:val="24"/>
        </w:rPr>
        <w:t xml:space="preserve"> Extract standard error from the NMA to use in simulation of alternative development strategies.</w:t>
      </w:r>
    </w:p>
    <w:p w:rsidR="002D313F" w:rsidRDefault="002D313F" w:rsidP="002D313F"/>
    <w:p w:rsidR="002D313F" w:rsidRDefault="002D313F" w:rsidP="002D313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D313F"/>
    <w:p w:rsidR="002D313F" w:rsidRDefault="002D313F" w:rsidP="002D313F">
      <w:r>
        <w:t xml:space="preserve">Step 3: </w:t>
      </w:r>
      <w:r w:rsidRPr="003F5FE1">
        <w:t>Compare the size of the original trial with the size of the simulated trial.</w:t>
      </w:r>
    </w:p>
    <w:p w:rsidR="002D313F" w:rsidRDefault="002D313F" w:rsidP="002D313F"/>
    <w:p w:rsidR="002D313F" w:rsidRDefault="002D313F" w:rsidP="002D313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D313F"/>
    <w:p w:rsidR="002D313F" w:rsidRDefault="002D313F" w:rsidP="002D313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D313F"/>
    <w:p w:rsidR="002D313F" w:rsidRDefault="002D313F" w:rsidP="002D313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D313F"/>
    <w:p w:rsidR="002D313F" w:rsidRDefault="002D313F" w:rsidP="002D313F">
      <w:r w:rsidRPr="00BA09C8">
        <w:t>Step 1 – Create nested propensity score models and generate treatment effect estimates</w:t>
      </w:r>
    </w:p>
    <w:p w:rsidR="002D313F" w:rsidRDefault="002D313F" w:rsidP="002D313F">
      <w:r w:rsidRPr="00BA09C8">
        <w:t>Step 2 – Estimate both the proportional amplification of confounding and the quantitative change in the treatment effect estimate between Model 1 and Model 2</w:t>
      </w:r>
    </w:p>
    <w:p w:rsidR="002D313F" w:rsidRDefault="002D313F" w:rsidP="002D313F">
      <w:r w:rsidRPr="00BA09C8">
        <w:t>Step 3 – Adjust for the association between the Introduced Variable and outcome</w:t>
      </w:r>
    </w:p>
    <w:p w:rsidR="002D313F" w:rsidRDefault="002D313F" w:rsidP="002D313F">
      <w:r w:rsidRPr="00BA09C8">
        <w:t>Step 4 – Calculate the unconfounded treatment effect estimate</w:t>
      </w:r>
    </w:p>
    <w:p w:rsidR="002D313F" w:rsidRDefault="002D313F" w:rsidP="002D313F"/>
    <w:p w:rsidR="002D313F" w:rsidRDefault="002D313F" w:rsidP="002D313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 xml:space="preserve">RCTs often underestimate (long-term) toxicity and they rarely, or with a delay, explore certain </w:t>
      </w:r>
      <w:r w:rsidRPr="00276E57">
        <w:lastRenderedPageBreak/>
        <w:t>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D313F"/>
    <w:p w:rsidR="002D313F" w:rsidRPr="003F5FE1" w:rsidRDefault="002D313F" w:rsidP="002D313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xml:space="preserve">. (1) Network of hospitals / clinics, (2) IT infrastructure, (3) Data quality, (4) Information governance, and (5) Operations are a key to the challenges and successes in establishing a RWE structure in addition to the Study design and study publication.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Pr>
          <w:rFonts w:ascii="Times New Roman" w:hAnsi="Times New Roman"/>
          <w:b w:val="0"/>
          <w:sz w:val="24"/>
          <w:szCs w:val="24"/>
        </w:rPr>
        <w:t xml:space="preserve"> The</w:t>
      </w:r>
      <w:r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Pr="00036D0A">
        <w:rPr>
          <w:rFonts w:ascii="Times New Roman" w:hAnsi="Times New Roman"/>
          <w:b w:val="0"/>
          <w:sz w:val="24"/>
          <w:szCs w:val="24"/>
        </w:rPr>
        <w:t>The increasing volume of RWD needs to be balanced against data integrity and usability.</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 xml:space="preserve">. </w:t>
      </w:r>
      <w:r w:rsidRPr="00852D9F">
        <w:rPr>
          <w:rFonts w:ascii="Times New Roman" w:hAnsi="Times New Roman"/>
          <w:b w:val="0"/>
          <w:sz w:val="24"/>
          <w:szCs w:val="24"/>
        </w:rPr>
        <w:t>One area where RWE may be particularly useful is for medications that have shown beneficial effects in indications for which they are not approved</w:t>
      </w:r>
      <w:r>
        <w:rPr>
          <w:rFonts w:ascii="Times New Roman" w:hAnsi="Times New Roman"/>
          <w:b w:val="0"/>
          <w:sz w:val="24"/>
          <w:szCs w:val="24"/>
        </w:rPr>
        <w:t>, providing “off-label” efficacy evidence</w:t>
      </w:r>
      <w:r w:rsidRPr="00852D9F">
        <w:rPr>
          <w:rFonts w:ascii="Times New Roman" w:hAnsi="Times New Roman"/>
          <w:b w:val="0"/>
          <w:sz w:val="24"/>
          <w:szCs w:val="24"/>
        </w:rPr>
        <w:t>.</w:t>
      </w:r>
      <w:r>
        <w:rPr>
          <w:rFonts w:ascii="Times New Roman" w:hAnsi="Times New Roman"/>
          <w:b w:val="0"/>
          <w:sz w:val="24"/>
          <w:szCs w:val="24"/>
        </w:rPr>
        <w:t xml:space="preserve"> </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Pr>
          <w:rFonts w:ascii="Times New Roman" w:hAnsi="Times New Roman"/>
          <w:b w:val="0"/>
          <w:sz w:val="24"/>
          <w:szCs w:val="24"/>
        </w:rPr>
        <w:t xml:space="preserve"> </w:t>
      </w:r>
      <w:r w:rsidRPr="005D11D3">
        <w:rPr>
          <w:rFonts w:ascii="Times New Roman" w:hAnsi="Times New Roman"/>
          <w:b w:val="0"/>
          <w:sz w:val="24"/>
          <w:szCs w:val="24"/>
        </w:rPr>
        <w:t xml:space="preserve">RWE has the potential to support, </w:t>
      </w:r>
      <w:r w:rsidRPr="005D11D3">
        <w:rPr>
          <w:rFonts w:ascii="Times New Roman" w:hAnsi="Times New Roman"/>
          <w:b w:val="0"/>
          <w:sz w:val="24"/>
          <w:szCs w:val="24"/>
        </w:rPr>
        <w:lastRenderedPageBreak/>
        <w:t>improve, and potentially accelerate the delivery of safe and cost-effective therapeutic interventions, or to support the expansion of approved therapeutics into a new indication.</w:t>
      </w:r>
    </w:p>
    <w:p w:rsidR="002D313F" w:rsidRDefault="002D313F" w:rsidP="002D313F"/>
    <w:p w:rsidR="00E35B96" w:rsidRDefault="00E35B96" w:rsidP="002D313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D313F"/>
    <w:p w:rsidR="00A90AE6" w:rsidRDefault="002D313F" w:rsidP="00A90AE6">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A90AE6"/>
    <w:p w:rsidR="00DB2738" w:rsidRDefault="002D313F" w:rsidP="00DB2738">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DB2738"/>
    <w:p w:rsidR="002D313F" w:rsidRPr="00DB2738" w:rsidRDefault="002D313F" w:rsidP="00DB2738">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2D313F" w:rsidRDefault="002D313F" w:rsidP="002D313F">
      <w:pPr>
        <w:pStyle w:val="Heading1"/>
        <w:rPr>
          <w:rFonts w:ascii="Times New Roman" w:hAnsi="Times New Roman"/>
          <w:b w:val="0"/>
          <w:sz w:val="24"/>
          <w:szCs w:val="24"/>
        </w:rPr>
      </w:pPr>
      <w:r w:rsidRPr="00D5045F">
        <w:rPr>
          <w:rFonts w:ascii="Times New Roman" w:hAnsi="Times New Roman"/>
          <w:b w:val="0"/>
          <w:sz w:val="24"/>
          <w:szCs w:val="24"/>
        </w:rPr>
        <w:lastRenderedPageBreak/>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Pr>
          <w:rFonts w:ascii="Times New Roman" w:hAnsi="Times New Roman"/>
          <w:b w:val="0"/>
          <w:sz w:val="24"/>
          <w:szCs w:val="24"/>
        </w:rPr>
        <w:t>.</w:t>
      </w:r>
    </w:p>
    <w:p w:rsidR="002D313F" w:rsidRDefault="002D313F" w:rsidP="002D313F"/>
    <w:p w:rsidR="002D313F" w:rsidRPr="00C13429" w:rsidRDefault="002D313F" w:rsidP="002D313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2D313F" w:rsidRDefault="002D313F" w:rsidP="002D313F">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2D313F" w:rsidRPr="00EB6280" w:rsidRDefault="002D313F" w:rsidP="002D313F"/>
    <w:p w:rsidR="002D313F" w:rsidRDefault="002D313F" w:rsidP="002D313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D313F"/>
    <w:p w:rsidR="002D313F" w:rsidRPr="00380999" w:rsidRDefault="002D313F" w:rsidP="002D313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lastRenderedPageBreak/>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xml:space="preserve">” published in 2017 by Thomas Reinke: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2D313F" w:rsidRDefault="002D313F" w:rsidP="002D313F">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D313F">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2D313F" w:rsidRDefault="002D313F" w:rsidP="002D313F">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D313F">
      <w:pPr>
        <w:pStyle w:val="NormalWeb"/>
        <w:shd w:val="clear" w:color="auto" w:fill="FFFFFF"/>
        <w:spacing w:before="0" w:beforeAutospacing="0" w:after="150"/>
      </w:pPr>
    </w:p>
    <w:p w:rsidR="002D313F" w:rsidRDefault="002D313F" w:rsidP="002D313F">
      <w:pPr>
        <w:pStyle w:val="NormalWeb"/>
        <w:shd w:val="clear" w:color="auto" w:fill="FFFFFF"/>
        <w:spacing w:before="0" w:beforeAutospacing="0" w:after="150"/>
      </w:pPr>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2D313F" w:rsidRDefault="002D313F" w:rsidP="002D313F">
      <w:pPr>
        <w:pStyle w:val="NormalWeb"/>
        <w:shd w:val="clear" w:color="auto" w:fill="FFFFFF"/>
        <w:spacing w:after="150"/>
      </w:pPr>
      <w:r>
        <w:t xml:space="preserve"> (1) Is the study focused on an intervention? (2) If so, is the intervention on the market? </w:t>
      </w:r>
    </w:p>
    <w:p w:rsidR="002D313F" w:rsidRDefault="002D313F" w:rsidP="002D313F">
      <w:pPr>
        <w:pStyle w:val="NormalWeb"/>
        <w:shd w:val="clear" w:color="auto" w:fill="FFFFFF"/>
        <w:spacing w:after="150"/>
      </w:pPr>
      <w:r>
        <w:t>(3) Is the study intended to be comparative? (4) If so, is treatment assigned by study protocol?</w:t>
      </w:r>
    </w:p>
    <w:p w:rsidR="002D313F" w:rsidRDefault="002D313F" w:rsidP="002D313F">
      <w:pPr>
        <w:pStyle w:val="NormalWeb"/>
        <w:shd w:val="clear" w:color="auto" w:fill="FFFFFF"/>
        <w:spacing w:after="150"/>
      </w:pPr>
      <w:r>
        <w:t>(5) Are data needed for the study available from existing sources?</w:t>
      </w:r>
    </w:p>
    <w:p w:rsidR="002D313F" w:rsidRDefault="002D313F" w:rsidP="002D313F">
      <w:pPr>
        <w:pStyle w:val="NormalWeb"/>
        <w:shd w:val="clear" w:color="auto" w:fill="FFFFFF"/>
        <w:spacing w:after="150"/>
      </w:pPr>
      <w:r>
        <w:lastRenderedPageBreak/>
        <w:t xml:space="preserve">(6) If so, are those existing sources accessible in computerized form (i.e., in administrative claims or electronic medical records)? And (7) is the study setting real world? </w:t>
      </w:r>
    </w:p>
    <w:p w:rsidR="002D313F" w:rsidRDefault="002D313F" w:rsidP="002D313F">
      <w:pPr>
        <w:pStyle w:val="NormalWeb"/>
        <w:shd w:val="clear" w:color="auto" w:fill="FFFFFF"/>
        <w:spacing w:after="150"/>
      </w:pPr>
      <w:r>
        <w:t>As research designs vary dramatically in terms of time and cost requirements, the algorithm steers the researcher to the most cost‐effective option first in those instances in which multiple approaches are viable.</w:t>
      </w:r>
    </w:p>
    <w:p w:rsidR="002D313F" w:rsidRDefault="002D313F" w:rsidP="002D313F">
      <w:pPr>
        <w:pStyle w:val="NormalWeb"/>
        <w:shd w:val="clear" w:color="auto" w:fill="FFFFFF"/>
        <w:spacing w:after="150"/>
      </w:pPr>
      <w:r>
        <w:t xml:space="preserve">One of six different research designs: </w:t>
      </w:r>
    </w:p>
    <w:p w:rsidR="002D313F" w:rsidRDefault="002D313F" w:rsidP="002D313F">
      <w:pPr>
        <w:pStyle w:val="NormalWeb"/>
        <w:shd w:val="clear" w:color="auto" w:fill="FFFFFF"/>
        <w:spacing w:before="0" w:beforeAutospacing="0" w:after="150"/>
      </w:pPr>
      <w:r>
        <w:t>(1) retrospective database analysis; (2) manual chart review; (3) prospective non‐interventional study/registry; (4) traditional randomized controlled trial; (5) pragmatic clinical trial; or (6) economic modeling.</w:t>
      </w:r>
    </w:p>
    <w:p w:rsidR="002D313F" w:rsidRDefault="002D313F" w:rsidP="002D313F">
      <w:pPr>
        <w:pStyle w:val="NormalWeb"/>
        <w:shd w:val="clear" w:color="auto" w:fill="FFFFFF"/>
        <w:spacing w:before="0" w:beforeAutospacing="0" w:after="150"/>
      </w:pPr>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2D313F" w:rsidRDefault="002D313F" w:rsidP="002D313F">
      <w:pPr>
        <w:pStyle w:val="NormalWeb"/>
        <w:shd w:val="clear" w:color="auto" w:fill="FFFFFF"/>
        <w:spacing w:after="150"/>
      </w:pPr>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D313F">
      <w:pPr>
        <w:pStyle w:val="NormalWeb"/>
        <w:shd w:val="clear" w:color="auto" w:fill="FFFFFF"/>
        <w:spacing w:after="150"/>
      </w:pPr>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D313F">
      <w:pPr>
        <w:pStyle w:val="NormalWeb"/>
        <w:shd w:val="clear" w:color="auto" w:fill="FFFFFF"/>
        <w:spacing w:before="0" w:beforeAutospacing="0" w:after="150"/>
      </w:pPr>
      <w:r>
        <w:t>In this way, SPACE may improve dialogue and build trust among healthcare providers, patients, regulators, and researchers.</w:t>
      </w:r>
    </w:p>
    <w:p w:rsidR="002D313F" w:rsidRDefault="002D313F" w:rsidP="002D313F">
      <w:pPr>
        <w:pStyle w:val="NormalWeb"/>
        <w:shd w:val="clear" w:color="auto" w:fill="FFFFFF"/>
        <w:spacing w:before="0" w:beforeAutospacing="0" w:after="150"/>
      </w:pPr>
      <w:r>
        <w:t xml:space="preserve">Step 1: </w:t>
      </w:r>
      <w:r w:rsidRPr="00B402F0">
        <w:t>Articulate research question and design elements</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lastRenderedPageBreak/>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D313F">
      <w:pPr>
        <w:pStyle w:val="NormalWeb"/>
        <w:shd w:val="clear" w:color="auto" w:fill="FFFFFF"/>
        <w:spacing w:before="0" w:beforeAutospacing="0" w:after="150"/>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D313F">
      <w:pPr>
        <w:pStyle w:val="NormalWeb"/>
        <w:shd w:val="clear" w:color="auto" w:fill="FFFFFF"/>
        <w:spacing w:before="0" w:beforeAutospacing="0" w:after="150"/>
      </w:pPr>
      <w:r>
        <w:rPr>
          <w:rFonts w:ascii="Open Sans" w:hAnsi="Open Sans"/>
          <w:color w:val="1C1D1E"/>
          <w:shd w:val="clear" w:color="auto" w:fill="FFFFFF"/>
        </w:rPr>
        <w:t>Step 4: Answer questions in flow chart</w:t>
      </w:r>
    </w:p>
    <w:p w:rsidR="002D313F" w:rsidRDefault="002D313F" w:rsidP="002D313F">
      <w:pPr>
        <w:pStyle w:val="NormalWeb"/>
        <w:shd w:val="clear" w:color="auto" w:fill="FFFFFF"/>
        <w:spacing w:before="0" w:beforeAutospacing="0" w:after="150"/>
      </w:pPr>
      <w:r w:rsidRPr="00B402F0">
        <w:t>Revisit Steps 1–4 as needed: The steps are inherently iterative</w:t>
      </w:r>
    </w:p>
    <w:p w:rsidR="002D313F" w:rsidRDefault="002D313F" w:rsidP="002D313F">
      <w:pPr>
        <w:pStyle w:val="NormalWeb"/>
        <w:shd w:val="clear" w:color="auto" w:fill="FFFFFF"/>
        <w:spacing w:before="0" w:beforeAutospacing="0" w:after="150"/>
      </w:pPr>
      <w:r>
        <w:t xml:space="preserve">Analysis on Psoriasis patients published in 2018  y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r>
        <w:t xml:space="preserve"> </w:t>
      </w:r>
    </w:p>
    <w:p w:rsidR="002D313F" w:rsidRDefault="002D313F" w:rsidP="002D313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D313F">
      <w:pPr>
        <w:rPr>
          <w:color w:val="000000"/>
          <w:shd w:val="clear" w:color="auto" w:fill="FFFFFF"/>
        </w:rPr>
      </w:pPr>
    </w:p>
    <w:p w:rsidR="002D313F" w:rsidRDefault="002D313F" w:rsidP="002D313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D313F"/>
    <w:p w:rsidR="00231BBF" w:rsidRDefault="0038259E" w:rsidP="002D313F">
      <w:pPr>
        <w:rPr>
          <w:color w:val="000000"/>
          <w:shd w:val="clear" w:color="auto" w:fill="FFFFFF"/>
        </w:rPr>
      </w:pPr>
      <w:r>
        <w:rPr>
          <w:color w:val="000000"/>
          <w:shd w:val="clear" w:color="auto" w:fill="FFFFFF"/>
        </w:rPr>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D313F">
      <w:pPr>
        <w:rPr>
          <w:color w:val="000000"/>
          <w:shd w:val="clear" w:color="auto" w:fill="FFFFFF"/>
        </w:rPr>
      </w:pPr>
    </w:p>
    <w:p w:rsidR="004B788F" w:rsidRDefault="00231BBF" w:rsidP="002D313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D313F">
      <w:pPr>
        <w:rPr>
          <w:color w:val="000000"/>
          <w:shd w:val="clear" w:color="auto" w:fill="FFFFFF"/>
        </w:rPr>
      </w:pPr>
    </w:p>
    <w:p w:rsidR="0038259E" w:rsidRDefault="004B788F" w:rsidP="002D313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D313F"/>
    <w:p w:rsidR="00805EA7" w:rsidRDefault="00805EA7" w:rsidP="002D313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D313F">
      <w:pPr>
        <w:rPr>
          <w:color w:val="000000"/>
          <w:shd w:val="clear" w:color="auto" w:fill="FFFFFF"/>
        </w:rPr>
      </w:pPr>
    </w:p>
    <w:p w:rsidR="00805EA7" w:rsidRDefault="00805EA7" w:rsidP="002D313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D313F">
      <w:pPr>
        <w:rPr>
          <w:color w:val="000000"/>
          <w:shd w:val="clear" w:color="auto" w:fill="FFFFFF"/>
        </w:rPr>
      </w:pPr>
    </w:p>
    <w:p w:rsidR="00805EA7" w:rsidRDefault="00EB654C" w:rsidP="002D313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D313F">
      <w:pPr>
        <w:rPr>
          <w:color w:val="000000"/>
          <w:shd w:val="clear" w:color="auto" w:fill="FFFFFF"/>
        </w:rPr>
      </w:pPr>
    </w:p>
    <w:p w:rsidR="002D313F" w:rsidRDefault="0038259E" w:rsidP="002D313F">
      <w:r>
        <w:t xml:space="preserve">Additional details </w:t>
      </w:r>
      <w:hyperlink r:id="rId45" w:history="1">
        <w:r>
          <w:rPr>
            <w:rStyle w:val="Hyperlink"/>
          </w:rPr>
          <w:t>https://www.hsph.harvard.edu/miguel-hernan/causal-inference-book/</w:t>
        </w:r>
      </w:hyperlink>
    </w:p>
    <w:p w:rsidR="0038259E" w:rsidRDefault="0038259E" w:rsidP="002D313F">
      <w:pPr>
        <w:rPr>
          <w:color w:val="000000"/>
          <w:shd w:val="clear" w:color="auto" w:fill="FFFFFF"/>
        </w:rPr>
      </w:pPr>
    </w:p>
    <w:p w:rsidR="00F72ADC" w:rsidRDefault="0075026A" w:rsidP="00F72ADC">
      <w:pPr>
        <w:pStyle w:val="NormalWeb"/>
        <w:shd w:val="clear" w:color="auto" w:fill="FFFFFF"/>
        <w:spacing w:before="0" w:beforeAutospacing="0" w:after="150"/>
        <w:rPr>
          <w:b/>
        </w:rPr>
      </w:pPr>
      <w:r>
        <w:lastRenderedPageBreak/>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F72ADC">
      <w:pPr>
        <w:pStyle w:val="NormalWeb"/>
        <w:shd w:val="clear" w:color="auto" w:fill="FFFFFF"/>
        <w:spacing w:before="0" w:beforeAutospacing="0" w:after="150"/>
      </w:pPr>
      <w:r w:rsidRPr="00B74EAB">
        <w:t>Network meta-analyses are best designed for:</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To make treatment estimates for an entire treatment network instead of scanning each individual pair-wise comparison</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AD6343">
      <w:pPr>
        <w:pStyle w:val="NormalWeb"/>
        <w:numPr>
          <w:ilvl w:val="0"/>
          <w:numId w:val="90"/>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AD6343">
      <w:pPr>
        <w:pStyle w:val="NormalWeb"/>
        <w:numPr>
          <w:ilvl w:val="0"/>
          <w:numId w:val="90"/>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AD6343">
      <w:pPr>
        <w:pStyle w:val="NormalWeb"/>
        <w:numPr>
          <w:ilvl w:val="0"/>
          <w:numId w:val="90"/>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AD6343">
      <w:pPr>
        <w:pStyle w:val="ListParagraph"/>
        <w:numPr>
          <w:ilvl w:val="0"/>
          <w:numId w:val="91"/>
        </w:numPr>
      </w:pPr>
      <w:r>
        <w:t>Indirect comparison – when only two (or one pair of) treatments are being compared indirectly</w:t>
      </w:r>
    </w:p>
    <w:p w:rsidR="0030564F" w:rsidRDefault="0030564F" w:rsidP="00AD6343">
      <w:pPr>
        <w:pStyle w:val="ListParagraph"/>
        <w:numPr>
          <w:ilvl w:val="0"/>
          <w:numId w:val="91"/>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t xml:space="preserve">He speaks about 3 important concepts: </w:t>
      </w:r>
    </w:p>
    <w:p w:rsidR="00B5241A" w:rsidRDefault="00B5241A" w:rsidP="00AD6343">
      <w:pPr>
        <w:pStyle w:val="ListParagraph"/>
        <w:numPr>
          <w:ilvl w:val="0"/>
          <w:numId w:val="92"/>
        </w:numPr>
      </w:pPr>
      <w:r>
        <w:lastRenderedPageBreak/>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D6343">
      <w:pPr>
        <w:pStyle w:val="ListParagraph"/>
        <w:numPr>
          <w:ilvl w:val="0"/>
          <w:numId w:val="92"/>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D6343">
      <w:pPr>
        <w:pStyle w:val="ListParagraph"/>
        <w:numPr>
          <w:ilvl w:val="0"/>
          <w:numId w:val="92"/>
        </w:numPr>
      </w:pPr>
      <w:r>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AD6343">
      <w:pPr>
        <w:pStyle w:val="ListParagraph"/>
        <w:numPr>
          <w:ilvl w:val="0"/>
          <w:numId w:val="93"/>
        </w:numPr>
      </w:pPr>
      <w:r>
        <w:t>Randomization holds within trials and not across trials in a (network) meta analysis</w:t>
      </w:r>
    </w:p>
    <w:p w:rsidR="00C01CC8" w:rsidRDefault="00C01CC8" w:rsidP="00AD6343">
      <w:pPr>
        <w:pStyle w:val="ListParagraph"/>
        <w:numPr>
          <w:ilvl w:val="0"/>
          <w:numId w:val="93"/>
        </w:numPr>
      </w:pPr>
      <w:r>
        <w:t>Homogeneity, transitivity, and consistency need to be examined</w:t>
      </w:r>
    </w:p>
    <w:p w:rsidR="00C01CC8" w:rsidRDefault="00C01CC8" w:rsidP="00AD6343">
      <w:pPr>
        <w:pStyle w:val="ListParagraph"/>
        <w:numPr>
          <w:ilvl w:val="0"/>
          <w:numId w:val="93"/>
        </w:numPr>
      </w:pPr>
      <w:r>
        <w:t>It all relates to the distribution of patient and study characteristics (including bias) that affect the treatment effects: effect modifiers</w:t>
      </w:r>
    </w:p>
    <w:p w:rsidR="00C01CC8" w:rsidRDefault="00C01CC8" w:rsidP="00AD6343">
      <w:pPr>
        <w:pStyle w:val="ListParagraph"/>
        <w:numPr>
          <w:ilvl w:val="0"/>
          <w:numId w:val="93"/>
        </w:numPr>
      </w:pPr>
      <w:r>
        <w:t>Variation in effect modifiers between studies within direct comparisons: heterogeneity</w:t>
      </w:r>
    </w:p>
    <w:p w:rsidR="00C01CC8" w:rsidRDefault="00C01CC8" w:rsidP="00AD6343">
      <w:pPr>
        <w:pStyle w:val="ListParagraph"/>
        <w:numPr>
          <w:ilvl w:val="0"/>
          <w:numId w:val="93"/>
        </w:numPr>
      </w:pPr>
      <w:r>
        <w:t xml:space="preserve">Variation in effect modifiers between different direct comparisons: inconsistency </w:t>
      </w:r>
    </w:p>
    <w:p w:rsidR="00C01CC8" w:rsidRDefault="00C01CC8" w:rsidP="00AD6343">
      <w:pPr>
        <w:pStyle w:val="ListParagraph"/>
        <w:numPr>
          <w:ilvl w:val="1"/>
          <w:numId w:val="93"/>
        </w:numPr>
      </w:pPr>
      <w:r>
        <w:t>Imbalance in effect modifiers between comparisons: transitivity violations</w:t>
      </w:r>
    </w:p>
    <w:p w:rsidR="00C01CC8" w:rsidRDefault="00C01CC8" w:rsidP="00AD6343">
      <w:pPr>
        <w:pStyle w:val="ListParagraph"/>
        <w:numPr>
          <w:ilvl w:val="1"/>
          <w:numId w:val="93"/>
        </w:numPr>
      </w:pPr>
      <w:r>
        <w:t>This will show as in inconsistency in the data and hence results</w:t>
      </w:r>
    </w:p>
    <w:p w:rsidR="00C01CC8" w:rsidRPr="00514166" w:rsidRDefault="00C01CC8" w:rsidP="00AD6343">
      <w:pPr>
        <w:pStyle w:val="ListParagraph"/>
        <w:numPr>
          <w:ilvl w:val="0"/>
          <w:numId w:val="93"/>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bookmarkStart w:id="258" w:name="_Toc17883647"/>
      <w:r>
        <w:br w:type="page"/>
      </w:r>
    </w:p>
    <w:p w:rsidR="007E2558" w:rsidRPr="00380789" w:rsidRDefault="007E2558" w:rsidP="00514166">
      <w:pPr>
        <w:pStyle w:val="Heading1"/>
        <w:spacing w:after="0"/>
        <w:rPr>
          <w:rFonts w:ascii="Times New Roman" w:hAnsi="Times New Roman"/>
          <w:b w:val="0"/>
          <w:sz w:val="24"/>
          <w:szCs w:val="24"/>
        </w:rPr>
      </w:pPr>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034D05"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034D05"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034D05"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034D05" w:rsidP="00644362">
      <w:pPr>
        <w:rPr>
          <w:rFonts w:ascii="Garamond" w:hAnsi="Garamond"/>
        </w:rPr>
      </w:pPr>
      <w:r w:rsidRPr="00034D05">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464" w:rsidRDefault="008F2464">
      <w:r>
        <w:separator/>
      </w:r>
    </w:p>
  </w:endnote>
  <w:endnote w:type="continuationSeparator" w:id="1">
    <w:p w:rsidR="008F2464" w:rsidRDefault="008F24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034D05" w:rsidP="00D822CB">
    <w:pPr>
      <w:pStyle w:val="Footer"/>
      <w:pBdr>
        <w:top w:val="single" w:sz="4" w:space="1" w:color="D9D9D9"/>
      </w:pBdr>
      <w:jc w:val="right"/>
    </w:pPr>
    <w:fldSimple w:instr=" PAGE   \* MERGEFORMAT ">
      <w:r w:rsidR="00DB2738">
        <w:rPr>
          <w:noProof/>
        </w:rPr>
        <w:t>69</w:t>
      </w:r>
    </w:fldSimple>
    <w:r w:rsidR="00BD1BC6">
      <w:t xml:space="preserve"> | </w:t>
    </w:r>
    <w:r w:rsidR="00BD1BC6"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464" w:rsidRDefault="008F2464">
      <w:r>
        <w:separator/>
      </w:r>
    </w:p>
  </w:footnote>
  <w:footnote w:type="continuationSeparator" w:id="1">
    <w:p w:rsidR="008F2464" w:rsidRDefault="008F24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3">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6">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1">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1">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7">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2"/>
  </w:num>
  <w:num w:numId="2">
    <w:abstractNumId w:val="45"/>
  </w:num>
  <w:num w:numId="3">
    <w:abstractNumId w:val="24"/>
  </w:num>
  <w:num w:numId="4">
    <w:abstractNumId w:val="47"/>
  </w:num>
  <w:num w:numId="5">
    <w:abstractNumId w:val="23"/>
  </w:num>
  <w:num w:numId="6">
    <w:abstractNumId w:val="20"/>
  </w:num>
  <w:num w:numId="7">
    <w:abstractNumId w:val="55"/>
  </w:num>
  <w:num w:numId="8">
    <w:abstractNumId w:val="90"/>
  </w:num>
  <w:num w:numId="9">
    <w:abstractNumId w:val="68"/>
  </w:num>
  <w:num w:numId="10">
    <w:abstractNumId w:val="46"/>
  </w:num>
  <w:num w:numId="11">
    <w:abstractNumId w:val="79"/>
  </w:num>
  <w:num w:numId="12">
    <w:abstractNumId w:val="86"/>
  </w:num>
  <w:num w:numId="13">
    <w:abstractNumId w:val="67"/>
  </w:num>
  <w:num w:numId="14">
    <w:abstractNumId w:val="43"/>
  </w:num>
  <w:num w:numId="15">
    <w:abstractNumId w:val="36"/>
  </w:num>
  <w:num w:numId="16">
    <w:abstractNumId w:val="71"/>
  </w:num>
  <w:num w:numId="17">
    <w:abstractNumId w:val="39"/>
  </w:num>
  <w:num w:numId="18">
    <w:abstractNumId w:val="33"/>
  </w:num>
  <w:num w:numId="19">
    <w:abstractNumId w:val="39"/>
    <w:lvlOverride w:ilvl="0">
      <w:startOverride w:val="1"/>
    </w:lvlOverride>
    <w:lvlOverride w:ilvl="1">
      <w:startOverride w:val="1"/>
    </w:lvlOverride>
  </w:num>
  <w:num w:numId="20">
    <w:abstractNumId w:val="11"/>
  </w:num>
  <w:num w:numId="21">
    <w:abstractNumId w:val="15"/>
  </w:num>
  <w:num w:numId="22">
    <w:abstractNumId w:val="76"/>
  </w:num>
  <w:num w:numId="23">
    <w:abstractNumId w:val="30"/>
  </w:num>
  <w:num w:numId="24">
    <w:abstractNumId w:val="66"/>
  </w:num>
  <w:num w:numId="25">
    <w:abstractNumId w:val="49"/>
  </w:num>
  <w:num w:numId="26">
    <w:abstractNumId w:val="51"/>
  </w:num>
  <w:num w:numId="27">
    <w:abstractNumId w:val="77"/>
  </w:num>
  <w:num w:numId="28">
    <w:abstractNumId w:val="85"/>
  </w:num>
  <w:num w:numId="29">
    <w:abstractNumId w:val="16"/>
  </w:num>
  <w:num w:numId="30">
    <w:abstractNumId w:val="75"/>
  </w:num>
  <w:num w:numId="31">
    <w:abstractNumId w:val="9"/>
  </w:num>
  <w:num w:numId="32">
    <w:abstractNumId w:val="50"/>
  </w:num>
  <w:num w:numId="33">
    <w:abstractNumId w:val="53"/>
  </w:num>
  <w:num w:numId="34">
    <w:abstractNumId w:val="2"/>
  </w:num>
  <w:num w:numId="35">
    <w:abstractNumId w:val="56"/>
  </w:num>
  <w:num w:numId="36">
    <w:abstractNumId w:val="63"/>
  </w:num>
  <w:num w:numId="37">
    <w:abstractNumId w:val="81"/>
  </w:num>
  <w:num w:numId="38">
    <w:abstractNumId w:val="42"/>
  </w:num>
  <w:num w:numId="39">
    <w:abstractNumId w:val="59"/>
  </w:num>
  <w:num w:numId="40">
    <w:abstractNumId w:val="89"/>
  </w:num>
  <w:num w:numId="41">
    <w:abstractNumId w:val="61"/>
  </w:num>
  <w:num w:numId="42">
    <w:abstractNumId w:val="37"/>
  </w:num>
  <w:num w:numId="43">
    <w:abstractNumId w:val="60"/>
  </w:num>
  <w:num w:numId="44">
    <w:abstractNumId w:val="40"/>
  </w:num>
  <w:num w:numId="45">
    <w:abstractNumId w:val="21"/>
  </w:num>
  <w:num w:numId="46">
    <w:abstractNumId w:val="29"/>
  </w:num>
  <w:num w:numId="47">
    <w:abstractNumId w:val="18"/>
  </w:num>
  <w:num w:numId="48">
    <w:abstractNumId w:val="4"/>
  </w:num>
  <w:num w:numId="49">
    <w:abstractNumId w:val="70"/>
  </w:num>
  <w:num w:numId="50">
    <w:abstractNumId w:val="54"/>
  </w:num>
  <w:num w:numId="51">
    <w:abstractNumId w:val="88"/>
  </w:num>
  <w:num w:numId="52">
    <w:abstractNumId w:val="27"/>
  </w:num>
  <w:num w:numId="53">
    <w:abstractNumId w:val="31"/>
  </w:num>
  <w:num w:numId="54">
    <w:abstractNumId w:val="35"/>
  </w:num>
  <w:num w:numId="55">
    <w:abstractNumId w:val="32"/>
  </w:num>
  <w:num w:numId="56">
    <w:abstractNumId w:val="7"/>
  </w:num>
  <w:num w:numId="57">
    <w:abstractNumId w:val="65"/>
  </w:num>
  <w:num w:numId="58">
    <w:abstractNumId w:val="10"/>
  </w:num>
  <w:num w:numId="59">
    <w:abstractNumId w:val="69"/>
  </w:num>
  <w:num w:numId="60">
    <w:abstractNumId w:val="26"/>
  </w:num>
  <w:num w:numId="61">
    <w:abstractNumId w:val="14"/>
  </w:num>
  <w:num w:numId="62">
    <w:abstractNumId w:val="83"/>
  </w:num>
  <w:num w:numId="63">
    <w:abstractNumId w:val="72"/>
  </w:num>
  <w:num w:numId="64">
    <w:abstractNumId w:val="84"/>
  </w:num>
  <w:num w:numId="65">
    <w:abstractNumId w:val="34"/>
  </w:num>
  <w:num w:numId="66">
    <w:abstractNumId w:val="52"/>
  </w:num>
  <w:num w:numId="67">
    <w:abstractNumId w:val="38"/>
  </w:num>
  <w:num w:numId="68">
    <w:abstractNumId w:val="19"/>
  </w:num>
  <w:num w:numId="69">
    <w:abstractNumId w:val="28"/>
  </w:num>
  <w:num w:numId="70">
    <w:abstractNumId w:val="74"/>
  </w:num>
  <w:num w:numId="71">
    <w:abstractNumId w:val="91"/>
  </w:num>
  <w:num w:numId="72">
    <w:abstractNumId w:val="6"/>
  </w:num>
  <w:num w:numId="73">
    <w:abstractNumId w:val="57"/>
  </w:num>
  <w:num w:numId="74">
    <w:abstractNumId w:val="64"/>
  </w:num>
  <w:num w:numId="75">
    <w:abstractNumId w:val="48"/>
  </w:num>
  <w:num w:numId="76">
    <w:abstractNumId w:val="1"/>
  </w:num>
  <w:num w:numId="77">
    <w:abstractNumId w:val="17"/>
  </w:num>
  <w:num w:numId="78">
    <w:abstractNumId w:val="62"/>
  </w:num>
  <w:num w:numId="79">
    <w:abstractNumId w:val="22"/>
  </w:num>
  <w:num w:numId="80">
    <w:abstractNumId w:val="92"/>
  </w:num>
  <w:num w:numId="81">
    <w:abstractNumId w:val="25"/>
  </w:num>
  <w:num w:numId="82">
    <w:abstractNumId w:val="41"/>
  </w:num>
  <w:num w:numId="83">
    <w:abstractNumId w:val="5"/>
  </w:num>
  <w:num w:numId="84">
    <w:abstractNumId w:val="73"/>
  </w:num>
  <w:num w:numId="85">
    <w:abstractNumId w:val="8"/>
  </w:num>
  <w:num w:numId="86">
    <w:abstractNumId w:val="78"/>
  </w:num>
  <w:num w:numId="87">
    <w:abstractNumId w:val="44"/>
  </w:num>
  <w:num w:numId="88">
    <w:abstractNumId w:val="80"/>
  </w:num>
  <w:num w:numId="89">
    <w:abstractNumId w:val="0"/>
  </w:num>
  <w:num w:numId="90">
    <w:abstractNumId w:val="3"/>
  </w:num>
  <w:num w:numId="91">
    <w:abstractNumId w:val="12"/>
  </w:num>
  <w:num w:numId="92">
    <w:abstractNumId w:val="13"/>
  </w:num>
  <w:num w:numId="93">
    <w:abstractNumId w:val="87"/>
  </w:num>
  <w:num w:numId="94">
    <w:abstractNumId w:val="58"/>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141C1"/>
    <w:rsid w:val="0022776F"/>
    <w:rsid w:val="00231BBF"/>
    <w:rsid w:val="0023499B"/>
    <w:rsid w:val="002353DA"/>
    <w:rsid w:val="00244005"/>
    <w:rsid w:val="00245509"/>
    <w:rsid w:val="00246822"/>
    <w:rsid w:val="00252EBB"/>
    <w:rsid w:val="0025776B"/>
    <w:rsid w:val="00274180"/>
    <w:rsid w:val="00276E5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4154B"/>
    <w:rsid w:val="00741D32"/>
    <w:rsid w:val="0075026A"/>
    <w:rsid w:val="007572C2"/>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6B33"/>
    <w:rsid w:val="00A77CF8"/>
    <w:rsid w:val="00A90AE6"/>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15" type="connector" idref="#Straight Arrow Connector 19"/>
        <o:r id="V:Rule16" type="connector" idref="#_x0000_s1058"/>
        <o:r id="V:Rule17" type="connector" idref="#Straight Arrow Connector 17"/>
        <o:r id="V:Rule18" type="connector" idref="#Straight Arrow Connector 14"/>
        <o:r id="V:Rule19" type="connector" idref="#Straight Arrow Connector 26"/>
        <o:r id="V:Rule20" type="connector" idref="#Elbow Connector 24"/>
        <o:r id="V:Rule21" type="connector" idref="#Straight Arrow Connector 64"/>
        <o:r id="V:Rule22" type="connector" idref="#Straight Arrow Connector 62"/>
        <o:r id="V:Rule23" type="connector" idref="#_x0000_s1057"/>
        <o:r id="V:Rule24" type="connector" idref="#Straight Arrow Connector 63"/>
        <o:r id="V:Rule25" type="connector" idref="#Straight Arrow Connector 21"/>
        <o:r id="V:Rule26" type="connector" idref="#_x0000_s1055"/>
        <o:r id="V:Rule27" type="connector" idref="#_x0000_s1056"/>
        <o:r id="V:Rule28"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97909376"/>
        <c:axId val="114819456"/>
      </c:barChart>
      <c:catAx>
        <c:axId val="97909376"/>
        <c:scaling>
          <c:orientation val="minMax"/>
        </c:scaling>
        <c:axPos val="b"/>
        <c:numFmt formatCode="General" sourceLinked="0"/>
        <c:tickLblPos val="nextTo"/>
        <c:txPr>
          <a:bodyPr/>
          <a:lstStyle/>
          <a:p>
            <a:pPr>
              <a:defRPr lang="en-US"/>
            </a:pPr>
            <a:endParaRPr lang="en-US"/>
          </a:p>
        </c:txPr>
        <c:crossAx val="114819456"/>
        <c:crosses val="autoZero"/>
        <c:auto val="1"/>
        <c:lblAlgn val="ctr"/>
        <c:lblOffset val="100"/>
      </c:catAx>
      <c:valAx>
        <c:axId val="114819456"/>
        <c:scaling>
          <c:orientation val="minMax"/>
        </c:scaling>
        <c:axPos val="l"/>
        <c:majorGridlines/>
        <c:numFmt formatCode="General" sourceLinked="1"/>
        <c:tickLblPos val="nextTo"/>
        <c:txPr>
          <a:bodyPr/>
          <a:lstStyle/>
          <a:p>
            <a:pPr>
              <a:defRPr lang="en-US"/>
            </a:pPr>
            <a:endParaRPr lang="en-US"/>
          </a:p>
        </c:txPr>
        <c:crossAx val="9790937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14847744"/>
        <c:axId val="114849280"/>
      </c:barChart>
      <c:catAx>
        <c:axId val="114847744"/>
        <c:scaling>
          <c:orientation val="minMax"/>
        </c:scaling>
        <c:axPos val="b"/>
        <c:numFmt formatCode="General" sourceLinked="0"/>
        <c:tickLblPos val="nextTo"/>
        <c:txPr>
          <a:bodyPr/>
          <a:lstStyle/>
          <a:p>
            <a:pPr>
              <a:defRPr lang="en-US"/>
            </a:pPr>
            <a:endParaRPr lang="en-US"/>
          </a:p>
        </c:txPr>
        <c:crossAx val="114849280"/>
        <c:crosses val="autoZero"/>
        <c:auto val="1"/>
        <c:lblAlgn val="ctr"/>
        <c:lblOffset val="100"/>
      </c:catAx>
      <c:valAx>
        <c:axId val="114849280"/>
        <c:scaling>
          <c:orientation val="minMax"/>
        </c:scaling>
        <c:axPos val="l"/>
        <c:majorGridlines/>
        <c:numFmt formatCode="General" sourceLinked="1"/>
        <c:tickLblPos val="nextTo"/>
        <c:txPr>
          <a:bodyPr/>
          <a:lstStyle/>
          <a:p>
            <a:pPr>
              <a:defRPr lang="en-US"/>
            </a:pPr>
            <a:endParaRPr lang="en-US"/>
          </a:p>
        </c:txPr>
        <c:crossAx val="11484774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14857088"/>
        <c:axId val="114858624"/>
      </c:barChart>
      <c:catAx>
        <c:axId val="114857088"/>
        <c:scaling>
          <c:orientation val="minMax"/>
        </c:scaling>
        <c:axPos val="b"/>
        <c:numFmt formatCode="General" sourceLinked="0"/>
        <c:tickLblPos val="nextTo"/>
        <c:txPr>
          <a:bodyPr/>
          <a:lstStyle/>
          <a:p>
            <a:pPr>
              <a:defRPr lang="en-US"/>
            </a:pPr>
            <a:endParaRPr lang="en-US"/>
          </a:p>
        </c:txPr>
        <c:crossAx val="114858624"/>
        <c:crosses val="autoZero"/>
        <c:auto val="1"/>
        <c:lblAlgn val="ctr"/>
        <c:lblOffset val="100"/>
      </c:catAx>
      <c:valAx>
        <c:axId val="114858624"/>
        <c:scaling>
          <c:orientation val="minMax"/>
        </c:scaling>
        <c:axPos val="l"/>
        <c:majorGridlines/>
        <c:numFmt formatCode="General" sourceLinked="1"/>
        <c:tickLblPos val="nextTo"/>
        <c:txPr>
          <a:bodyPr/>
          <a:lstStyle/>
          <a:p>
            <a:pPr>
              <a:defRPr lang="en-US"/>
            </a:pPr>
            <a:endParaRPr lang="en-US"/>
          </a:p>
        </c:txPr>
        <c:crossAx val="11485708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14892160"/>
        <c:axId val="114898048"/>
      </c:lineChart>
      <c:catAx>
        <c:axId val="114892160"/>
        <c:scaling>
          <c:orientation val="minMax"/>
        </c:scaling>
        <c:axPos val="b"/>
        <c:numFmt formatCode="General" sourceLinked="0"/>
        <c:tickLblPos val="nextTo"/>
        <c:txPr>
          <a:bodyPr/>
          <a:lstStyle/>
          <a:p>
            <a:pPr>
              <a:defRPr lang="en-US"/>
            </a:pPr>
            <a:endParaRPr lang="en-US"/>
          </a:p>
        </c:txPr>
        <c:crossAx val="114898048"/>
        <c:crosses val="autoZero"/>
        <c:auto val="1"/>
        <c:lblAlgn val="ctr"/>
        <c:lblOffset val="100"/>
      </c:catAx>
      <c:valAx>
        <c:axId val="114898048"/>
        <c:scaling>
          <c:orientation val="minMax"/>
        </c:scaling>
        <c:axPos val="l"/>
        <c:majorGridlines/>
        <c:numFmt formatCode="General" sourceLinked="1"/>
        <c:tickLblPos val="nextTo"/>
        <c:txPr>
          <a:bodyPr/>
          <a:lstStyle/>
          <a:p>
            <a:pPr>
              <a:defRPr lang="en-US"/>
            </a:pPr>
            <a:endParaRPr lang="en-US"/>
          </a:p>
        </c:txPr>
        <c:crossAx val="11489216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168</Pages>
  <Words>44220</Words>
  <Characters>252054</Characters>
  <Application>Microsoft Office Word</Application>
  <DocSecurity>0</DocSecurity>
  <Lines>2100</Lines>
  <Paragraphs>591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295683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281</cp:revision>
  <dcterms:created xsi:type="dcterms:W3CDTF">2016-09-25T11:49:00Z</dcterms:created>
  <dcterms:modified xsi:type="dcterms:W3CDTF">2019-09-08T15:48:00Z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