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Below-ground</w:t>
      </w:r>
      <w:r>
        <w:t xml:space="preserve"> </w:t>
      </w:r>
      <w:r>
        <w:t xml:space="preserve">sink</w:t>
      </w:r>
      <w:r>
        <w:t xml:space="preserve"> </w:t>
      </w:r>
      <w:r>
        <w:t xml:space="preserve">limitation</w:t>
      </w:r>
      <w:r>
        <w:t xml:space="preserve"> </w:t>
      </w:r>
      <w:r>
        <w:t xml:space="preserve">alters</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This study used manipulations of soil volume to test how growth is coupled to physiology, carbon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(A)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contatiner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tightly coordinated, an unaccounted for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regulate photosynthetic activity</w:t>
      </w:r>
      <w:r>
        <w:t xml:space="preserve"> </w:t>
      </w:r>
      <w:r>
        <w:t xml:space="preserve">(Paul and Foyer 2001)</w:t>
      </w:r>
      <w:r>
        <w:t xml:space="preserve">. If sink inhibition of A occurs, a close coordination between declines in A and growth should be expected. Whether photosynthetic down regulation is evident in woody species has been tested through fruit removal, phloem girdling, and low temperatures at high elevations.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the occurence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 The advantage of this approach is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to be magnified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27" w:name="growth-and-morphology-metrics"/>
      <w:bookmarkEnd w:id="27"/>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abd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stabalized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(g C d</w:t>
      </w:r>
      <w:r>
        <w:rPr>
          <w:vertAlign w:val="superscript"/>
        </w:rPr>
        <w:t xml:space="preserve">-1</w:t>
      </w:r>
      <w:r>
        <w:t xml:space="preserve">).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publsihed or local tissue respiration rates of fine roots, coarse roots or stems (Table S1, g C g mass</w:t>
      </w:r>
      <w:r>
        <w:t xml:space="preserve"> </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biomass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as random effects and soil volume treatment as a categorical fixed effect iwth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We analyzed the relationship between biomass growth and soil volume and found an increase of 34 % with a doubling of container volume, consistent with the meta-analysis of Poorter et al.</w:t>
      </w:r>
      <w:r>
        <w:t xml:space="preserve"> </w:t>
      </w:r>
      <w:r>
        <w:t xml:space="preserve">(2012a)</w:t>
      </w:r>
      <w:r>
        <w:t xml:space="preserve">. Additionally, plant biomass was postively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Across all measurement campaigns and treatments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soil volume treatments (Figure 6b). As a result, the observed reductions in leaf A 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LMF from the final harvest (M</w:t>
      </w:r>
      <w:r>
        <w:rPr>
          <w:vertAlign w:val="subscript"/>
        </w:rPr>
        <w:t xml:space="preserve">2</w:t>
      </w:r>
      <w:r>
        <w:t xml:space="preserve">) improved model predictions of seedling C mass but still overestimated seedling total C by 32±11.1 % (Figure S1a). Using harvest values of LMF, however, does not capture the increase in senescence of seedlings in small containers (Figure 1c). Thus, the 7-61 % reduction in harvest avlues of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et al. 2012a)</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 A of well-watered seedlings oberved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Although the soil N %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maintain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correlated with starch content. As starch content in leaves of plants grown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(2012a)</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free seedling treatment.</w:t>
      </w:r>
    </w:p>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TNC-free</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Nitrogen (%)</w:t>
            </w:r>
          </w:p>
        </w:tc>
        <w:tc>
          <w:tcPr>
            <w:tcBorders>
              <w:bottom w:val="single"/>
            </w:tcBorders>
            <w:vAlign w:val="bottom"/>
          </w:tcPr>
          <w:p>
            <w:pPr>
              <w:pStyle w:val="Compact"/>
              <w:jc w:val="left"/>
            </w:pPr>
            <w:r>
              <w:rPr>
                <w:b/>
              </w:rPr>
              <w:t xml:space="preserve">Root Nitrogen (%)</w:t>
            </w:r>
          </w:p>
        </w:tc>
        <w:tc>
          <w:tcPr>
            <w:tcBorders>
              <w:bottom w:val="single"/>
            </w:tcBorders>
            <w:vAlign w:val="bottom"/>
          </w:tcPr>
          <w:p>
            <w:pPr>
              <w:pStyle w:val="Compact"/>
              <w:jc w:val="left"/>
            </w:pPr>
            <w:r>
              <w:rPr>
                <w:b/>
              </w:rPr>
              <w:t xml:space="preserve">SRL (cm m</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δ</w:t>
            </w:r>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73.0 (6.73) ab</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99.6 (8.70) 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74.6 (6.98)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85.8 (7.37)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82.5 (15.02)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63.1 (6.47)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0.90 (0.03) b</w:t>
            </w:r>
          </w:p>
        </w:tc>
        <w:tc>
          <w:p>
            <w:pPr>
              <w:pStyle w:val="Compact"/>
              <w:jc w:val="left"/>
            </w:pPr>
            <w:r>
              <w:t xml:space="preserve">50.9 (5.00) a</w:t>
            </w:r>
          </w:p>
        </w:tc>
        <w:tc>
          <w:p>
            <w:pPr>
              <w:pStyle w:val="Compact"/>
              <w:jc w:val="left"/>
            </w:pPr>
            <w:r>
              <w:t xml:space="preserve">-30.0 (0.34) a</w:t>
            </w:r>
          </w:p>
        </w:tc>
      </w:tr>
      <w:tr>
        <w:tc>
          <w:p>
            <w:pPr>
              <w:pStyle w:val="Compact"/>
              <w:jc w:val="left"/>
            </w:pPr>
            <w:r>
              <w:t xml:space="preserve">Container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0.017</w:t>
            </w:r>
          </w:p>
        </w:tc>
        <w:tc>
          <w:p>
            <w:pPr>
              <w:pStyle w:val="Compact"/>
              <w:jc w:val="left"/>
            </w:pPr>
            <w:r>
              <w:t xml:space="preserve">0.009</w:t>
            </w:r>
          </w:p>
        </w:tc>
        <w:tc>
          <w:p>
            <w:pPr>
              <w:pStyle w:val="Compact"/>
              <w:jc w:val="left"/>
            </w:pPr>
            <w:r>
              <w:t xml:space="preserve">0.372</w:t>
            </w:r>
          </w:p>
        </w:tc>
      </w:tr>
    </w:tbl>
    <w:p>
      <w:r>
        <w:br w:type="textWrapping"/>
      </w:r>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A</w:t>
            </w:r>
            <w:r>
              <w:rPr>
                <w:vertAlign w:val="subscript"/>
                <w:b/>
              </w:rPr>
              <w:t xml:space="preserve">max</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R</w:t>
            </w:r>
            <w:r>
              <w:rPr>
                <w:vertAlign w:val="subscript"/>
                <w:b/>
              </w:rPr>
              <w:t xml:space="preserve">dark</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J</w:t>
            </w:r>
            <w:r>
              <w:rPr>
                <w:vertAlign w:val="subscript"/>
                <w:b/>
              </w:rPr>
              <w:t xml:space="preserve">max</w:t>
            </w:r>
          </w:p>
        </w:tc>
        <w:tc>
          <w:tcPr>
            <w:tcBorders>
              <w:bottom w:val="single"/>
            </w:tcBorders>
            <w:vAlign w:val="bottom"/>
          </w:tcPr>
          <w:p>
            <w:pPr>
              <w:pStyle w:val="Compact"/>
              <w:jc w:val="left"/>
            </w:pPr>
            <w:r>
              <w:rPr>
                <w:b/>
              </w:rPr>
              <w:t xml:space="preserve">Vc</w:t>
            </w:r>
            <w:r>
              <w:rPr>
                <w:vertAlign w:val="subscript"/>
                <w:b/>
              </w:rPr>
              <w:t xml:space="preserve">max</w:t>
            </w:r>
          </w:p>
        </w:tc>
        <w:tc>
          <w:tcPr>
            <w:tcBorders>
              <w:bottom w:val="single"/>
            </w:tcBorders>
            <w:vAlign w:val="bottom"/>
          </w:tcPr>
          <w:p>
            <w:pPr>
              <w:pStyle w:val="Compact"/>
              <w:jc w:val="left"/>
            </w:pPr>
            <w:r>
              <w:rPr>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Container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 Seedling growth model default parameters.</w:t>
      </w:r>
    </w:p>
    <w:tbl>
      <w:tblPr>
        <w:tblStyle w:val="TableNormal"/>
        <w:tblW w:type="pct" w:w="0.0"/>
      </w:tblPr>
      <w:tblGrid/>
      <w:t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Default.Value</w:t>
            </w:r>
          </w:p>
        </w:tc>
        <w:tc>
          <w:tcPr>
            <w:tcBorders>
              <w:bottom w:val="single"/>
            </w:tcBorders>
            <w:vAlign w:val="bottom"/>
          </w:tcPr>
          <w:p>
            <w:pPr>
              <w:pStyle w:val="Compact"/>
              <w:jc w:val="left"/>
            </w:pPr>
            <w:r>
              <w:rPr>
                <w:b/>
              </w:rPr>
              <w:t xml:space="preserve">Units</w:t>
            </w:r>
          </w:p>
        </w:tc>
        <w:tc>
          <w:tcPr>
            <w:tcBorders>
              <w:bottom w:val="single"/>
            </w:tcBorders>
            <w:vAlign w:val="bottom"/>
          </w:tcPr>
          <w:p>
            <w:pPr>
              <w:pStyle w:val="Compact"/>
              <w:jc w:val="left"/>
            </w:pPr>
            <w:r>
              <w:rPr>
                <w:b/>
              </w:rPr>
              <w:t xml:space="preserve">Source</w:t>
            </w:r>
          </w:p>
        </w:tc>
      </w:tr>
      <w:tr>
        <w:tc>
          <w:p>
            <w:pPr>
              <w:pStyle w:val="Compact"/>
              <w:jc w:val="left"/>
            </w:pPr>
            <w:r>
              <w:t xml:space="preserve">Leaf area</w:t>
            </w:r>
            <w:r>
              <w:rPr>
                <w:vertAlign w:val="subscript"/>
              </w:rPr>
              <w:t xml:space="preserve">i</w:t>
            </w:r>
          </w:p>
        </w:tc>
        <w:tc>
          <w:p>
            <w:pPr>
              <w:pStyle w:val="Compact"/>
              <w:jc w:val="left"/>
            </w:pPr>
            <w:r>
              <w:t xml:space="preserve">initial leaf area</w:t>
            </w:r>
          </w:p>
        </w:tc>
        <w:tc>
          <w:p>
            <w:pPr>
              <w:pStyle w:val="Compact"/>
              <w:jc w:val="left"/>
            </w:pPr>
            <w:r>
              <w:t xml:space="preserve">0.035</w:t>
            </w:r>
          </w:p>
        </w:tc>
        <w:tc>
          <w:p>
            <w:pPr>
              <w:pStyle w:val="Compact"/>
              <w:jc w:val="left"/>
            </w:pPr>
            <w:r>
              <w:t xml:space="preserve">m</w:t>
            </w:r>
            <w:r>
              <w:rPr>
                <w:vertAlign w:val="superscript"/>
              </w:rPr>
              <w:t xml:space="preserve">2</w:t>
            </w:r>
          </w:p>
        </w:tc>
        <w:tc>
          <w:p>
            <w:pPr>
              <w:pStyle w:val="Compact"/>
              <w:jc w:val="left"/>
            </w:pPr>
            <w:r>
              <w:t xml:space="preserve">this study</w:t>
            </w:r>
          </w:p>
        </w:tc>
      </w:tr>
      <w:tr>
        <w:tc>
          <w:p>
            <w:pPr>
              <w:pStyle w:val="Compact"/>
              <w:jc w:val="left"/>
            </w:pPr>
            <w:r>
              <w:t xml:space="preserve">Leaf mass</w:t>
            </w:r>
            <w:r>
              <w:rPr>
                <w:vertAlign w:val="subscript"/>
              </w:rPr>
              <w:t xml:space="preserve">i</w:t>
            </w:r>
          </w:p>
        </w:tc>
        <w:tc>
          <w:p>
            <w:pPr>
              <w:pStyle w:val="Compact"/>
              <w:jc w:val="left"/>
            </w:pPr>
            <w:r>
              <w:t xml:space="preserve">initial leaf mass</w:t>
            </w:r>
          </w:p>
        </w:tc>
        <w:tc>
          <w:p>
            <w:pPr>
              <w:pStyle w:val="Compact"/>
              <w:jc w:val="left"/>
            </w:pPr>
            <w:r>
              <w:t xml:space="preserve">3.45</w:t>
            </w:r>
          </w:p>
        </w:tc>
        <w:tc>
          <w:p>
            <w:pPr>
              <w:pStyle w:val="Compact"/>
              <w:jc w:val="left"/>
            </w:pPr>
            <w:r>
              <w:t xml:space="preserve">g</w:t>
            </w:r>
          </w:p>
        </w:tc>
        <w:tc>
          <w:p>
            <w:pPr>
              <w:pStyle w:val="Compact"/>
              <w:jc w:val="left"/>
            </w:pPr>
            <w:r>
              <w:t xml:space="preserve">this study</w:t>
            </w:r>
          </w:p>
        </w:tc>
      </w:tr>
      <w:tr>
        <w:tc>
          <w:p>
            <w:pPr>
              <w:pStyle w:val="Compact"/>
              <w:jc w:val="left"/>
            </w:pPr>
            <w:r>
              <w:t xml:space="preserve">Stem mass</w:t>
            </w:r>
            <w:r>
              <w:rPr>
                <w:vertAlign w:val="subscript"/>
              </w:rPr>
              <w:t xml:space="preserve">i</w:t>
            </w:r>
          </w:p>
        </w:tc>
        <w:tc>
          <w:p>
            <w:pPr>
              <w:pStyle w:val="Compact"/>
              <w:jc w:val="left"/>
            </w:pPr>
            <w:r>
              <w:t xml:space="preserve">initial stem mass</w:t>
            </w:r>
          </w:p>
        </w:tc>
        <w:tc>
          <w:p>
            <w:pPr>
              <w:pStyle w:val="Compact"/>
              <w:jc w:val="left"/>
            </w:pPr>
            <w:r>
              <w:t xml:space="preserve">1.51</w:t>
            </w:r>
          </w:p>
        </w:tc>
        <w:tc>
          <w:p>
            <w:pPr>
              <w:pStyle w:val="Compact"/>
              <w:jc w:val="left"/>
            </w:pPr>
            <w:r>
              <w:t xml:space="preserve">g</w:t>
            </w:r>
          </w:p>
        </w:tc>
        <w:tc>
          <w:p>
            <w:pPr>
              <w:pStyle w:val="Compact"/>
              <w:jc w:val="left"/>
            </w:pPr>
            <w:r>
              <w:t xml:space="preserve">this study</w:t>
            </w:r>
          </w:p>
        </w:tc>
      </w:tr>
      <w:tr>
        <w:tc>
          <w:p>
            <w:pPr>
              <w:pStyle w:val="Compact"/>
              <w:jc w:val="left"/>
            </w:pPr>
            <w:r>
              <w:t xml:space="preserve">Root mass</w:t>
            </w:r>
            <w:r>
              <w:rPr>
                <w:vertAlign w:val="subscript"/>
              </w:rPr>
              <w:t xml:space="preserve">i</w:t>
            </w:r>
          </w:p>
        </w:tc>
        <w:tc>
          <w:p>
            <w:pPr>
              <w:pStyle w:val="Compact"/>
              <w:jc w:val="left"/>
            </w:pPr>
            <w:r>
              <w:t xml:space="preserve">initial root mass</w:t>
            </w:r>
          </w:p>
        </w:tc>
        <w:tc>
          <w:p>
            <w:pPr>
              <w:pStyle w:val="Compact"/>
              <w:jc w:val="left"/>
            </w:pPr>
            <w:r>
              <w:t xml:space="preserve">0.99</w:t>
            </w:r>
          </w:p>
        </w:tc>
        <w:tc>
          <w:p>
            <w:pPr>
              <w:pStyle w:val="Compact"/>
              <w:jc w:val="left"/>
            </w:pPr>
            <w:r>
              <w:t xml:space="preserve">g</w:t>
            </w:r>
          </w:p>
        </w:tc>
        <w:tc>
          <w:p>
            <w:pPr>
              <w:pStyle w:val="Compact"/>
              <w:jc w:val="left"/>
            </w:pPr>
            <w:r>
              <w:t xml:space="preserve">this study</w:t>
            </w:r>
          </w:p>
        </w:tc>
      </w:tr>
      <w:tr>
        <w:tc>
          <w:p>
            <w:pPr>
              <w:pStyle w:val="Compact"/>
              <w:jc w:val="left"/>
            </w:pPr>
            <m:oMath>
              <m:r>
                <m:rPr>
                  <m:sty m:val="p"/>
                </m:rPr>
                <m:t>ϵ</m:t>
              </m:r>
            </m:oMath>
            <w:r>
              <w:rPr>
                <w:vertAlign w:val="subscript"/>
              </w:rPr>
              <w:t xml:space="preserve">c</w:t>
            </w:r>
          </w:p>
        </w:tc>
        <w:tc>
          <w:p>
            <w:pPr>
              <w:pStyle w:val="Compact"/>
              <w:jc w:val="left"/>
            </w:pPr>
            <w:r>
              <w:t xml:space="preserve">biomass conversion efficiency</w:t>
            </w:r>
          </w:p>
        </w:tc>
        <w:tc>
          <w:p>
            <w:pPr>
              <w:pStyle w:val="Compact"/>
              <w:jc w:val="left"/>
            </w:pPr>
            <w:r>
              <w:t xml:space="preserve">0.65</w:t>
            </w:r>
          </w:p>
        </w:tc>
        <w:tc>
          <w:p>
            <w:pPr>
              <w:pStyle w:val="Compact"/>
              <w:jc w:val="left"/>
            </w:pPr>
            <w:r>
              <w:t xml:space="preserve">g C g mass</w:t>
            </w:r>
            <w:r>
              <w:rPr>
                <w:vertAlign w:val="superscript"/>
              </w:rPr>
              <w:t xml:space="preserve">-1</w:t>
            </w:r>
          </w:p>
        </w:tc>
        <w:tc>
          <w:p>
            <w:pPr>
              <w:pStyle w:val="Compact"/>
              <w:jc w:val="left"/>
            </w:pPr>
            <w:r>
              <w:t xml:space="preserve">Mäkelä (1997)</w:t>
            </w:r>
          </w:p>
        </w:tc>
      </w:tr>
      <w:tr>
        <w:tc>
          <w:p>
            <w:pPr>
              <w:pStyle w:val="Compact"/>
              <w:jc w:val="left"/>
            </w:pPr>
            <w:r>
              <w:t xml:space="preserve">R</w:t>
            </w:r>
            <w:r>
              <w:rPr>
                <w:vertAlign w:val="subscript"/>
              </w:rPr>
              <w:t xml:space="preserve">coarse</w:t>
            </w:r>
            <w:r>
              <w:t xml:space="preserve"> </w:t>
            </w:r>
            <w:r>
              <w:rPr>
                <w:vertAlign w:val="subscript"/>
              </w:rPr>
              <w:t xml:space="preserve">root</w:t>
            </w:r>
          </w:p>
        </w:tc>
        <w:tc>
          <w:p>
            <w:pPr>
              <w:pStyle w:val="Compact"/>
              <w:jc w:val="left"/>
            </w:pPr>
            <w:r>
              <w:t xml:space="preserve">coarse root respiration</w:t>
            </w:r>
          </w:p>
        </w:tc>
        <w:tc>
          <w:p>
            <w:pPr>
              <w:pStyle w:val="Compact"/>
              <w:jc w:val="left"/>
            </w:pPr>
            <w:r>
              <w:t xml:space="preserve">0.00124</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Marden et al. (2008)</w:t>
            </w:r>
          </w:p>
        </w:tc>
      </w:tr>
      <w:tr>
        <w:tc>
          <w:p>
            <w:pPr>
              <w:pStyle w:val="Compact"/>
              <w:jc w:val="left"/>
            </w:pPr>
            <w:r>
              <w:t xml:space="preserve">R</w:t>
            </w:r>
            <w:r>
              <w:rPr>
                <w:vertAlign w:val="subscript"/>
              </w:rPr>
              <w:t xml:space="preserve">fine</w:t>
            </w:r>
            <w:r>
              <w:t xml:space="preserve"> </w:t>
            </w:r>
            <w:r>
              <w:rPr>
                <w:vertAlign w:val="subscript"/>
              </w:rPr>
              <w:t xml:space="preserve">root</w:t>
            </w:r>
          </w:p>
        </w:tc>
        <w:tc>
          <w:p>
            <w:pPr>
              <w:pStyle w:val="Compact"/>
              <w:jc w:val="left"/>
            </w:pPr>
            <w:r>
              <w:t xml:space="preserve">fine root respiration</w:t>
            </w:r>
          </w:p>
        </w:tc>
        <w:tc>
          <w:p>
            <w:pPr>
              <w:pStyle w:val="Compact"/>
              <w:jc w:val="left"/>
            </w:pPr>
            <w:r>
              <w:t xml:space="preserve">0.01037</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Ryan et al. (2010)</w:t>
            </w:r>
          </w:p>
        </w:tc>
      </w:tr>
      <w:tr>
        <w:tc>
          <w:p>
            <w:pPr>
              <w:pStyle w:val="Compact"/>
              <w:jc w:val="left"/>
            </w:pPr>
            <w:r>
              <w:t xml:space="preserve">R</w:t>
            </w:r>
            <w:r>
              <w:rPr>
                <w:vertAlign w:val="subscript"/>
              </w:rPr>
              <w:t xml:space="preserve">stem</w:t>
            </w:r>
          </w:p>
        </w:tc>
        <w:tc>
          <w:p>
            <w:pPr>
              <w:pStyle w:val="Compact"/>
              <w:jc w:val="left"/>
            </w:pPr>
            <w:r>
              <w:t xml:space="preserve">stem respiration</w:t>
            </w:r>
          </w:p>
        </w:tc>
        <w:tc>
          <w:p>
            <w:pPr>
              <w:pStyle w:val="Compact"/>
              <w:jc w:val="left"/>
            </w:pPr>
            <w:r>
              <w:t xml:space="preserve">0.00187</w:t>
            </w:r>
          </w:p>
        </w:tc>
        <w:tc>
          <w:p>
            <w:pPr>
              <w:pStyle w:val="Compact"/>
              <w:jc w:val="left"/>
            </w:pPr>
            <w:r>
              <w:t xml:space="preserve">g C g stem</w:t>
            </w:r>
            <w:r>
              <w:rPr>
                <w:vertAlign w:val="superscript"/>
              </w:rPr>
              <w:t xml:space="preserve">-1</w:t>
            </w:r>
            <w:r>
              <w:t xml:space="preserve"> </w:t>
            </w:r>
            <w:r>
              <w:t xml:space="preserve">d</w:t>
            </w:r>
            <w:r>
              <w:rPr>
                <w:vertAlign w:val="superscript"/>
              </w:rPr>
              <w:t xml:space="preserve">-1</w:t>
            </w:r>
          </w:p>
        </w:tc>
        <w:tc>
          <w:p>
            <w:pPr>
              <w:pStyle w:val="Compact"/>
              <w:jc w:val="left"/>
            </w:pPr>
            <w:r>
              <w:t xml:space="preserve">Drake et al. (unpublished)</w:t>
            </w:r>
          </w:p>
        </w:tc>
      </w:tr>
      <w:tr>
        <w:tc>
          <w:p>
            <w:pPr>
              <w:pStyle w:val="Compact"/>
              <w:jc w:val="left"/>
            </w:pPr>
            <w:r>
              <w:t xml:space="preserve">C</w:t>
            </w:r>
            <w:r>
              <w:rPr>
                <w:vertAlign w:val="subscript"/>
              </w:rPr>
              <w:t xml:space="preserve">day</w:t>
            </w:r>
          </w:p>
        </w:tc>
        <w:tc>
          <w:p>
            <w:pPr>
              <w:pStyle w:val="Compact"/>
              <w:jc w:val="left"/>
            </w:pPr>
            <w:r>
              <w:t xml:space="preserve">daily leaf carbon assimilation</w:t>
            </w:r>
          </w:p>
        </w:tc>
        <w:tc>
          <w:p>
            <w:pPr>
              <w:pStyle w:val="Compact"/>
              <w:jc w:val="left"/>
            </w:pPr>
            <w:r>
              <w:t xml:space="preserve">5.4 - 7.6</w:t>
            </w:r>
          </w:p>
        </w:tc>
        <w:tc>
          <w:p>
            <w:pPr>
              <w:pStyle w:val="Compact"/>
              <w:jc w:val="left"/>
            </w:pPr>
            <w:r>
              <w:t xml:space="preserve">g C m</w:t>
            </w:r>
            <w:r>
              <w:rPr>
                <w:vertAlign w:val="superscript"/>
              </w:rPr>
              <w:t xml:space="preserve">-2</w:t>
            </w:r>
            <w:r>
              <w:t xml:space="preserve"> </w:t>
            </w:r>
            <w:r>
              <w:t xml:space="preserve">d</w:t>
            </w:r>
            <w:r>
              <w:rPr>
                <w:vertAlign w:val="superscript"/>
              </w:rPr>
              <w:t xml:space="preserve">-1</w:t>
            </w:r>
          </w:p>
        </w:tc>
        <w:tc>
          <w:p>
            <w:pPr>
              <w:pStyle w:val="Compact"/>
              <w:jc w:val="left"/>
            </w:pPr>
            <w:r>
              <w:t xml:space="preserve">this study</w:t>
            </w:r>
          </w:p>
        </w:tc>
      </w:tr>
      <w:tr>
        <w:tc>
          <w:p>
            <w:pPr>
              <w:pStyle w:val="Compact"/>
              <w:jc w:val="left"/>
            </w:pPr>
            <m:oMath>
              <m:r>
                <m:rPr>
                  <m:sty m:val="p"/>
                </m:rPr>
                <m:t>Λ</m:t>
              </m:r>
            </m:oMath>
          </w:p>
        </w:tc>
        <w:tc>
          <w:p>
            <w:pPr>
              <w:pStyle w:val="Compact"/>
              <w:jc w:val="left"/>
            </w:pPr>
            <w:r>
              <w:t xml:space="preserve">leaf or root turnover</w:t>
            </w:r>
          </w:p>
        </w:tc>
        <w:tc>
          <w:p>
            <w:pPr>
              <w:pStyle w:val="Compact"/>
              <w:jc w:val="left"/>
            </w:pPr>
            <w:r>
              <w:t xml:space="preserve">1</w:t>
            </w:r>
          </w:p>
        </w:tc>
        <w:tc>
          <w:p>
            <w:pPr>
              <w:pStyle w:val="Compact"/>
              <w:jc w:val="left"/>
            </w:pPr>
            <w:r>
              <w:t xml:space="preserve">yr</w:t>
            </w:r>
            <w:r>
              <w:rPr>
                <w:vertAlign w:val="superscript"/>
              </w:rPr>
              <w:t xml:space="preserve">-1</w:t>
            </w:r>
          </w:p>
        </w:tc>
        <w:tc>
          <w:p>
            <w:pPr>
              <w:pStyle w:val="Compact"/>
              <w:jc w:val="left"/>
            </w:pPr>
            <w:r>
              <w:t xml:space="preserve">theoretical</w:t>
            </w:r>
          </w:p>
        </w:tc>
      </w:tr>
    </w:tbl>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2385d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Below-ground sink limitation alters growth and carbon balance of Eucalyptus seedlings</dc:title>
  <dc:creator/>
</cp:coreProperties>
</file>