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Link"/>
          </w:rPr>
          <w:t xml:space="preserve">courtneycampany@gmail.com</w:t>
        </w:r>
      </w:hyperlink>
      <w:r>
        <w:t xml:space="preserve">)</w:t>
      </w:r>
    </w:p>
    <w:p>
      <w:r>
        <w:br w:type="textWrapping"/>
      </w:r>
      <w:r>
        <w:t xml:space="preserve">Hawkesbury Institute for the Environment, Western Sydney University Hawkesbury Campus Ground Floor, Building R2 Locked Bag 1797 Penrith 2751 NSW Australia</w:t>
      </w:r>
    </w:p>
    <w:p>
      <w:r>
        <w:br w:type="textWrapping"/>
      </w:r>
      <w:r>
        <w:t xml:space="preserve">RUNNING HEAD: SINK LIMITATION ALTERS SEEDLING CARBON BALANCE</w:t>
      </w:r>
    </w:p>
    <w:p>
      <w:pPr>
        <w:pStyle w:val="Heading1"/>
      </w:pPr>
      <w:bookmarkStart w:id="22" w:name="abstract"/>
      <w:bookmarkEnd w:id="22"/>
      <w:r>
        <w:t xml:space="preserve">Abstract</w:t>
      </w:r>
    </w:p>
    <w:p>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 for pool of photosynthetic</w:t>
      </w:r>
      <w:r>
        <w:t xml:space="preserve"> </w:t>
      </w:r>
      <w:r>
        <w:rPr>
          <w:i/>
        </w:rPr>
        <w:t xml:space="preserve">C</w:t>
      </w:r>
      <w:r>
        <w:t xml:space="preserve"> </w:t>
      </w:r>
      <w:r>
        <w:t xml:space="preserve">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r>
        <w:br w:type="textWrapping"/>
      </w:r>
      <w:r>
        <w:t xml:space="preserve"> </w:t>
      </w:r>
      <w:r>
        <w:t xml:space="preserve"> </w:t>
      </w:r>
      <w:r>
        <w:t xml:space="preserve"> </w:t>
      </w:r>
      <w:r>
        <w:t xml:space="preserve"> </w:t>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correspond with proportional responses in growth.</w:t>
      </w:r>
    </w:p>
    <w:p>
      <w:r>
        <w:br w:type="textWrapping"/>
      </w:r>
      <w:r>
        <w:t xml:space="preserve"> </w:t>
      </w:r>
      <w:r>
        <w:t xml:space="preserve"> </w:t>
      </w:r>
      <w:r>
        <w:t xml:space="preserve"> </w:t>
      </w:r>
      <w:r>
        <w:t xml:space="preserve"> </w:t>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w:t>
      </w:r>
      <w:r>
        <w:t xml:space="preserve">ü</w:t>
      </w:r>
      <w:r>
        <w:t xml:space="preserve">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w:t>
      </w:r>
      <w:r>
        <w:t xml:space="preserve">ü</w:t>
      </w:r>
      <w:r>
        <w:t xml:space="preserve">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w:t>
      </w:r>
      <w:r>
        <w:t xml:space="preserve"> </w:t>
      </w:r>
      <w:r>
        <w:rPr>
          <w:i/>
        </w:rPr>
        <w:t xml:space="preserve">A</w:t>
      </w:r>
      <w:r>
        <w:rPr>
          <w:vertAlign w:val="subscript"/>
          <w:i/>
        </w:rPr>
        <w:t xml:space="preserve">n</w:t>
      </w:r>
      <w:r>
        <w:t xml:space="preserve">. We therefore expected a correlation between carbohydrate accumulation and photosynthetic capacity as a function of soil volume.</w:t>
      </w:r>
    </w:p>
    <w:p>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t xml:space="preserve"> </w:t>
      </w:r>
      <w:r>
        <w:t xml:space="preserve"> </w:t>
      </w:r>
      <w:r>
        <w:t xml:space="preserve"> </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w:t>
      </w:r>
      <w:r>
        <w:t xml:space="preserve">2011)</w:t>
      </w:r>
      <w:r>
        <w:t xml:space="preserve"> </w:t>
      </w:r>
      <w:r>
        <w:t xml:space="preserve">using default parameters.</w:t>
      </w:r>
    </w:p>
    <w:p>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 explained below),</w:t>
      </w:r>
      <w:r>
        <w:t xml:space="preserve"> </w:t>
      </w:r>
      <m:oMath>
        <m:r>
          <m:rPr>
            <m:sty m:val="p"/>
          </m:rPr>
          <m:t>σ</m:t>
        </m:r>
      </m:oMath>
      <w:r>
        <w:rPr>
          <w:vertAlign w:val="subscript"/>
        </w:rPr>
        <w:t xml:space="preserve">s</w:t>
      </w:r>
      <w:r>
        <w:t xml:space="preserve"> </w:t>
      </w:r>
      <w:r>
        <w:t xml:space="preserve">is a self-shading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 </w:t>
      </w:r>
      <w:r>
        <w:t xml:space="preserve"> </w:t>
      </w:r>
      <w:r>
        <w:t xml:space="preserve"> </w:t>
      </w:r>
      <w:r>
        <w:t xml:space="preserve"> </w:t>
      </w:r>
      <w:r>
        <w:t xml:space="preserve">It was further necessary to calculate a self-shading parameter (</w:t>
      </w:r>
      <m:oMath>
        <m:r>
          <m:rPr>
            <m:sty m:val="p"/>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dry mass for both modeled and observed seedlings.</w:t>
      </w:r>
    </w:p>
    <w:p>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sty m:val="p"/>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the ratio of leaf to fine root mass was also not different (Figure 3c).</w:t>
      </w:r>
    </w:p>
    <w:p>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r>
        <w:br w:type="textWrapping"/>
      </w:r>
      <w:r>
        <w:t xml:space="preserve"> </w:t>
      </w:r>
      <w:r>
        <w:t xml:space="preserve"> </w:t>
      </w:r>
      <w:r>
        <w:t xml:space="preserve"> </w:t>
      </w:r>
      <w:r>
        <w:t xml:space="preserve"> </w:t>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The default model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w:t>
      </w:r>
      <w:r>
        <w:t xml:space="preserve">ü</w:t>
      </w:r>
      <w:r>
        <w:t xml:space="preserve">hler, et al. 2012)</w:t>
      </w:r>
      <w:r>
        <w:t xml:space="preserve">. It was therefore necessary to examine each of these factors to determine if the induced belowground sink limitation actually triggered photosynthetic down regulation.</w:t>
      </w:r>
    </w:p>
    <w:p>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sty m:val="p"/>
          </m:rPr>
          <m:t>Ψ</m:t>
        </m:r>
      </m:oMath>
      <w:r>
        <w:rPr>
          <w:vertAlign w:val="subscript"/>
        </w:rPr>
        <w:t xml:space="preserve">pd</w:t>
      </w:r>
      <w:r>
        <w:t xml:space="preserve">)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imply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sty m:val="p"/>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7077922"/>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40680" cy="7077922"/>
                    </a:xfrm>
                    <a:prstGeom prst="rect">
                      <a:avLst/>
                    </a:prstGeom>
                    <a:noFill/>
                    <a:ln w="9525">
                      <a:noFill/>
                      <a:headEnd/>
                      <a:tailEnd/>
                    </a:ln>
                  </pic:spPr>
                </pic:pic>
              </a:graphicData>
            </a:graphic>
          </wp:inline>
        </w:drawing>
      </w:r>
      <w:r>
        <w:br w:type="textWrapping"/>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r>
        <w:drawing>
          <wp:inline>
            <wp:extent cx="5440680" cy="725424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40680" cy="7254240"/>
                    </a:xfrm>
                    <a:prstGeom prst="rect">
                      <a:avLst/>
                    </a:prstGeom>
                    <a:noFill/>
                    <a:ln w="9525">
                      <a:noFill/>
                      <a:headEnd/>
                      <a:tailEnd/>
                    </a:ln>
                  </pic:spPr>
                </pic:pic>
              </a:graphicData>
            </a:graphic>
          </wp:inline>
        </w:drawing>
      </w:r>
      <w:r>
        <w:br w:type="textWrapping"/>
      </w:r>
      <w:r>
        <w:rPr>
          <w:b/>
        </w:rPr>
        <w:t xml:space="preserve">Figure 2</w:t>
      </w:r>
      <w:r>
        <w:t xml:space="preserve">. Daily maximum and minimum temperature (a), total daily PPFD (b), and daily maximum vapour pressure deficit (c) across the experiment duration in 2013.</w:t>
      </w:r>
    </w:p>
    <w:p>
      <w:r>
        <w:drawing>
          <wp:inline>
            <wp:extent cx="5440680" cy="725424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40680" cy="7254240"/>
                    </a:xfrm>
                    <a:prstGeom prst="rect">
                      <a:avLst/>
                    </a:prstGeom>
                    <a:noFill/>
                    <a:ln w="9525">
                      <a:noFill/>
                      <a:headEnd/>
                      <a:tailEnd/>
                    </a:ln>
                  </pic:spPr>
                </pic:pic>
              </a:graphicData>
            </a:graphic>
          </wp:inline>
        </w:drawing>
      </w:r>
      <w:r>
        <w:br w:type="textWrapping"/>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r>
        <w:drawing>
          <wp:inline>
            <wp:extent cx="5440680" cy="408051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40680" cy="4080510"/>
                    </a:xfrm>
                    <a:prstGeom prst="rect">
                      <a:avLst/>
                    </a:prstGeom>
                    <a:noFill/>
                    <a:ln w="9525">
                      <a:noFill/>
                      <a:headEnd/>
                      <a:tailEnd/>
                    </a:ln>
                  </pic:spPr>
                </pic:pic>
              </a:graphicData>
            </a:graphic>
          </wp:inline>
        </w:drawing>
      </w:r>
      <w:r>
        <w:br w:type="textWrapping"/>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r>
        <w:drawing>
          <wp:inline>
            <wp:extent cx="5440680" cy="725424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40680" cy="7254240"/>
                    </a:xfrm>
                    <a:prstGeom prst="rect">
                      <a:avLst/>
                    </a:prstGeom>
                    <a:noFill/>
                    <a:ln w="9525">
                      <a:noFill/>
                      <a:headEnd/>
                      <a:tailEnd/>
                    </a:ln>
                  </pic:spPr>
                </pic:pic>
              </a:graphicData>
            </a:graphic>
          </wp:inline>
        </w:drawing>
      </w:r>
      <w:r>
        <w:br w:type="textWrapping"/>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r>
        <w:rPr>
          <w:b/>
        </w:rPr>
        <w:t xml:space="preserve">Table 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424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40680" cy="7254240"/>
                    </a:xfrm>
                    <a:prstGeom prst="rect">
                      <a:avLst/>
                    </a:prstGeom>
                    <a:noFill/>
                    <a:ln w="9525">
                      <a:noFill/>
                      <a:headEnd/>
                      <a:tailEnd/>
                    </a:ln>
                  </pic:spPr>
                </pic:pic>
              </a:graphicData>
            </a:graphic>
          </wp:inline>
        </w:drawing>
      </w:r>
      <w:r>
        <w:br w:type="textWrapping"/>
      </w:r>
      <w:r>
        <w:rPr>
          <w:b/>
        </w:rPr>
        <w:t xml:space="preserve">Figure S1</w:t>
      </w:r>
      <w:r>
        <w:t xml:space="preserve">. Sensitivity testing of the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r>
        <w:t xml:space="preserve">We thank Burhan Amiji for for his outstanding technical assitance. We would like to thank the many Hawkesbury Institute for the Environment staff and students who provded field work help during the experimental harvest.</w:t>
      </w:r>
    </w:p>
    <w:p>
      <w:pPr>
        <w:pStyle w:val="Heading1"/>
      </w:pPr>
      <w:bookmarkStart w:id="54" w:name="references"/>
      <w:bookmarkEnd w:id="54"/>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m:oMath>
        <m:r>
          <m:rPr>
            <m:sty m:val="p"/>
          </m:rPr>
          <m:t>∖</m:t>
        </m:r>
      </m:oMath>
      <w:r>
        <w:t xml:space="preserve">textit{Eucalyptus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m:oMath>
        <m:r>
          <m:rPr>
            <m:sty m:val="p"/>
          </m:rPr>
          <m:t>∖</m:t>
        </m:r>
      </m:oMath>
      <w:r>
        <w:t xml:space="preserve">textit{Eucalyptus} species. Global Change Biology 21:459–472.</w:t>
      </w:r>
    </w:p>
    <w:p>
      <w:pPr>
        <w:pStyle w:val="Bibliography"/>
      </w:pPr>
      <w:r>
        <w:t xml:space="preserve">Drake BG, Gonz</w:t>
      </w:r>
      <w:r>
        <w:t xml:space="preserve">à</w:t>
      </w:r>
      <w:r>
        <w:t xml:space="preserve">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YplantQMC: Plant architectural analysis with Yplant and QuasiMC.</w:t>
      </w:r>
      <w:r>
        <w:t xml:space="preserve"> </w:t>
      </w:r>
      <w:hyperlink r:id="rId55">
        <w:r>
          <w:rPr>
            <w:rStyle w:val="Link"/>
          </w:rPr>
          <w:t xml:space="preserve">http://www.remkoduursma.com/yplantqmc, https://www.bitbucket.org/remkoduursma/yplantqmc/</w:t>
        </w:r>
      </w:hyperlink>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m:oMath>
        <m:r>
          <m:rPr>
            <m:sty m:val="p"/>
          </m:rPr>
          <m:t>∖</m:t>
        </m:r>
      </m:oMath>
      <w:r>
        <w:t xml:space="preserve">textit{Metasequoia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w:t>
      </w:r>
      <w:r>
        <w:t xml:space="preserve">ö</w:t>
      </w:r>
      <w:r>
        <w:t xml:space="preserve">rner C (2008) Plant growth modelling and applications: the increasing importance of plant architecture in growth models. Annals of Botany 101:1053–1063.</w:t>
      </w:r>
    </w:p>
    <w:p>
      <w:pPr>
        <w:pStyle w:val="Bibliography"/>
      </w:pPr>
      <w:r>
        <w:t xml:space="preserve">Gould SJ (1966) Allometry and size in ontogeny and phylogeny. Biological Reviews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w:t>
      </w:r>
      <w:r>
        <w:t xml:space="preserve">ö</w:t>
      </w:r>
      <w:r>
        <w:t xml:space="preserve">rner C, H</w:t>
      </w:r>
      <w:r>
        <w:t xml:space="preserve">ä</w:t>
      </w:r>
      <w:r>
        <w:t xml:space="preserve">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m:oMath>
        <m:r>
          <m:rPr>
            <m:sty m:val="p"/>
          </m:rPr>
          <m:t>∖</m:t>
        </m:r>
      </m:oMath>
      <w:r>
        <w:t xml:space="preserve">textit{Eucalyptus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w:t>
      </w:r>
      <w:r>
        <w:t xml:space="preserve">ö</w:t>
      </w:r>
      <w:r>
        <w:t xml:space="preserve">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w:t>
      </w:r>
    </w:p>
    <w:p>
      <w:pPr>
        <w:pStyle w:val="Bibliography"/>
      </w:pPr>
      <w:r>
        <w:t xml:space="preserve">Layne DR, Flore JA (1995) End-product inhibition of photosynthesis in</w:t>
      </w:r>
      <w:r>
        <w:t xml:space="preserve"> </w:t>
      </w:r>
      <m:oMath>
        <m:r>
          <m:rPr>
            <m:sty m:val="p"/>
          </m:rPr>
          <m:t>∖</m:t>
        </m:r>
      </m:oMath>
      <w:r>
        <w:t xml:space="preserve">textit{Prunus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w:t>
      </w:r>
      <w:r>
        <w:t xml:space="preserve">é</w:t>
      </w:r>
      <w:r>
        <w:t xml:space="preserve">rrez A,</w:t>
      </w:r>
      <w:r>
        <w:t xml:space="preserve"> </w:t>
      </w:r>
      <w:r>
        <w:t xml:space="preserve">Le Diz</w:t>
      </w:r>
      <w:r>
        <w:t xml:space="preserve">è</w:t>
      </w:r>
      <w:r>
        <w:t xml:space="preserve">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w:t>
      </w:r>
      <w:r>
        <w:t xml:space="preserve">ä</w:t>
      </w:r>
      <w:r>
        <w:t xml:space="preserve">rm</w:t>
      </w:r>
      <w:r>
        <w:t xml:space="preserve">ä</w:t>
      </w:r>
      <w:r>
        <w:t xml:space="preserve"> </w:t>
      </w:r>
      <w:r>
        <w:t xml:space="preserve">E, Roitto M, Tuomi J (2004) Defoliation increases carbon limitation in ectomycorrhizal symbiosis of</w:t>
      </w:r>
      <w:r>
        <w:t xml:space="preserve"> </w:t>
      </w:r>
      <m:oMath>
        <m:r>
          <m:rPr>
            <m:sty m:val="p"/>
          </m:rPr>
          <m:t>∖</m:t>
        </m:r>
      </m:oMath>
      <w:r>
        <w:t xml:space="preserve">textit{Betula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 72:94–103.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w:t>
      </w:r>
      <w:r>
        <w:t xml:space="preserve">ä</w:t>
      </w:r>
      <w:r>
        <w:t xml:space="preserve">ki E, Vapaavuori E (1993) Combined effects of partial defoliation and nutrient availability on cloned</w:t>
      </w:r>
      <w:r>
        <w:t xml:space="preserve"> </w:t>
      </w:r>
      <m:oMath>
        <m:r>
          <m:rPr>
            <m:sty m:val="p"/>
          </m:rPr>
          <m:t>∖</m:t>
        </m:r>
      </m:oMath>
      <w:r>
        <w:t xml:space="preserve">textit{Betula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m:oMath>
        <m:r>
          <m:rPr>
            <m:sty m:val="p"/>
          </m:rPr>
          <m:t>∖</m:t>
        </m:r>
      </m:oMath>
      <w:r>
        <w:t xml:space="preserve">textit{Betula pendula} saplings I. Changes in growth, partitioning and nitrogen uptake. Journal of Experimental Botany 44:1385–1393.</w:t>
      </w:r>
    </w:p>
    <w:p>
      <w:pPr>
        <w:pStyle w:val="Bibliography"/>
      </w:pPr>
      <w:r>
        <w:t xml:space="preserve">Palacio S, Hern</w:t>
      </w:r>
      <w:r>
        <w:t xml:space="preserve">á</w:t>
      </w:r>
      <w:r>
        <w:t xml:space="preserve">ndez R, Maestro-Mart</w:t>
      </w:r>
      <w:r>
        <w:t xml:space="preserve">í</w:t>
      </w:r>
      <w:r>
        <w:t xml:space="preserve">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w:t>
      </w:r>
      <w:r>
        <w:t xml:space="preserve">ö</w:t>
      </w:r>
      <w:r>
        <w:t xml:space="preserve">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6">
        <w:r>
          <w:rPr>
            <w:rStyle w:val="Link"/>
          </w:rPr>
          <w:t xml:space="preserve">http://cran.r-project.org/package=nlme</w:t>
        </w:r>
      </w:hyperlink>
    </w:p>
    <w:p>
      <w:pPr>
        <w:pStyle w:val="Bibliography"/>
      </w:pPr>
      <w:r>
        <w:t xml:space="preserve">Pinkard EA, Beadle CL, Davidson NJ, Battaglia M (1998) Photosynthetic responses of</w:t>
      </w:r>
      <w:r>
        <w:t xml:space="preserve"> </w:t>
      </w:r>
      <m:oMath>
        <m:r>
          <m:rPr>
            <m:sty m:val="p"/>
          </m:rPr>
          <m:t>∖</m:t>
        </m:r>
      </m:oMath>
      <w:r>
        <w:t xml:space="preserve">textit{Eucalyptus nitens} (Deane and Maiden) Maiden to green pruning. Trees 12:119–129.</w:t>
      </w:r>
    </w:p>
    <w:p>
      <w:pPr>
        <w:pStyle w:val="Bibliography"/>
      </w:pPr>
      <w:r>
        <w:t xml:space="preserve">Poorter H, B</w:t>
      </w:r>
      <w:r>
        <w:t xml:space="preserve">ü</w:t>
      </w:r>
      <w:r>
        <w:t xml:space="preserve">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7">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m:oMath>
        <m:r>
          <m:rPr>
            <m:sty m:val="p"/>
          </m:rPr>
          <m:t>∖</m:t>
        </m:r>
      </m:oMath>
      <w:r>
        <w:t xml:space="preserve">textit{Coffea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w:t>
      </w:r>
      <w:r>
        <w:rPr>
          <w:vertAlign w:val="subscript"/>
        </w:rPr>
        <w:t xml:space="preserve">2</w:t>
      </w:r>
      <w:r>
        <w:t xml:space="preserve"> </w:t>
      </w:r>
      <w:r>
        <w:t xml:space="preserve">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m:oMath>
        <m:r>
          <m:rPr>
            <m:sty m:val="p"/>
          </m:rPr>
          <m:t>∖</m:t>
        </m:r>
      </m:oMath>
      <w:r>
        <w:t xml:space="preserve">textit{Eucalyptus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w:t>
      </w:r>
      <w:r>
        <w:t xml:space="preserve">ä</w:t>
      </w:r>
      <w:r>
        <w:t xml:space="preserve">kel</w:t>
      </w:r>
      <w:r>
        <w:t xml:space="preserve">ä</w:t>
      </w:r>
      <w:r>
        <w:t xml:space="preserve"> </w:t>
      </w:r>
      <w:r>
        <w:t xml:space="preserve">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003B7">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a4749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