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w:t>
      </w:r>
      <w:r>
        <w:br w:type="textWrapping"/>
      </w:r>
      <w:r>
        <w:t xml:space="preserve">Main text:</w:t>
      </w:r>
      <w:r>
        <w:br w:type="textWrapping"/>
      </w:r>
      <w:r>
        <w:t xml:space="preserve">Introduction:</w:t>
      </w:r>
      <w:r>
        <w:br w:type="textWrapping"/>
      </w:r>
      <w:r>
        <w:t xml:space="preserve">Materials and methods:</w:t>
      </w:r>
      <w:r>
        <w:br w:type="textWrapping"/>
      </w:r>
      <w:r>
        <w:t xml:space="preserve">Results:</w:t>
      </w:r>
      <w:r>
        <w:br w:type="textWrapping"/>
      </w:r>
      <w:r>
        <w:t xml:space="preserve">Discussion:</w:t>
      </w:r>
      <w:r>
        <w:br w:type="textWrapping"/>
      </w:r>
      <w:r>
        <w:t xml:space="preserve">Acknowledgements:</w:t>
      </w:r>
      <w:r>
        <w:br w:type="textWrapping"/>
      </w:r>
      <w:r>
        <w:t xml:space="preserve">7 figures (6 color), 3 tables</w:t>
      </w:r>
      <w:r>
        <w:br w:type="textWrapping"/>
      </w:r>
      <w:r>
        <w:t xml:space="preserve">Supporting information: 1 table</w:t>
      </w:r>
    </w:p>
    <w:p>
      <w:pPr>
        <w:pStyle w:val="Heading1"/>
      </w:pPr>
      <w:bookmarkStart w:id="22" w:name="summary"/>
      <w:bookmarkEnd w:id="22"/>
      <w:r>
        <w:t xml:space="preserve">Summary</w:t>
      </w:r>
    </w:p>
    <w:p>
      <w:pPr>
        <w:numPr>
          <w:numId w:val="1001"/>
          <w:ilvl w:val="0"/>
        </w:numPr>
      </w:pPr>
      <w:r>
        <w:t xml:space="preserve">Interpreting limitations to plant growth requires accounting of carbon (C) mass balance between uptake and allocation. This study manipulated soil volume to test how growth is coupled to physiology, C allocation, and sink activity in</w:t>
      </w:r>
      <w:r>
        <w:t xml:space="preserve"> </w:t>
      </w:r>
      <w:r>
        <w:rPr>
          <w:i/>
        </w:rPr>
        <w:t xml:space="preserve">Eucalyptus tereticornis</w:t>
      </w:r>
      <w:r>
        <w:t xml:space="preserve"> </w:t>
      </w:r>
      <w:r>
        <w:t xml:space="preserve">seedlings.</w:t>
      </w:r>
    </w:p>
    <w:p>
      <w:pPr>
        <w:numPr>
          <w:numId w:val="1001"/>
          <w:ilvl w:val="0"/>
        </w:numPr>
      </w:pPr>
      <w:r>
        <w:t xml:space="preserve">Seedlings were grown in a range of container sizes and containers were planted flush to the soil alongside freely-rooted (free) seedlings. We developed a growth model that utilized net leaf photosynthesis rates (</w:t>
      </w:r>
      <w:r>
        <w:rPr>
          <w:i/>
        </w:rPr>
        <w:t xml:space="preserve">A</w:t>
      </w:r>
      <w:r>
        <w:rPr>
          <w:vertAlign w:val="subscript"/>
        </w:rPr>
        <w:t xml:space="preserve">n</w:t>
      </w:r>
      <w:r>
        <w:t xml:space="preserve">) to allocate daily C uptake towards mass growth of stems, leaves and roots.</w:t>
      </w:r>
    </w:p>
    <w:p>
      <w:pPr>
        <w:numPr>
          <w:numId w:val="1001"/>
          <w:ilvl w:val="0"/>
        </w:numPr>
      </w:pPr>
      <w:r>
        <w:t xml:space="preserve">Container volume negatively affected aboveground growth throughout the experiment, yet, mass partitioning to leaves, stems and roots was unchanged after 120 days. Photosynthetic capacity was significantly reduced in containered seedlings, and was related to both reduced leaf nitrogen content and starch accumulation. Although belowground sink limitation reduced</w:t>
      </w:r>
      <w:r>
        <w:t xml:space="preserve"> </w:t>
      </w:r>
      <w:r>
        <w:rPr>
          <w:i/>
        </w:rPr>
        <w:t xml:space="preserve">A</w:t>
      </w:r>
      <w:r>
        <w:rPr>
          <w:vertAlign w:val="subscript"/>
        </w:rPr>
        <w:t xml:space="preserve">n</w:t>
      </w:r>
      <w:r>
        <w:t xml:space="preserve">, the model concluded that these reductions were not large enough to explain observed growth responses.</w:t>
      </w:r>
    </w:p>
    <w:p>
      <w:pPr>
        <w:numPr>
          <w:numId w:val="1001"/>
          <w:ilvl w:val="0"/>
        </w:numPr>
      </w:pPr>
      <w:r>
        <w:t xml:space="preserve">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further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from source leaves among different tissues and organs. At long enough time scales leaf photosynthesis (</w:t>
      </w:r>
      <w:r>
        <w:rPr>
          <w:i/>
        </w:rPr>
        <w:t xml:space="preserve">A</w:t>
      </w:r>
      <w:r>
        <w:rPr>
          <w:vertAlign w:val="subscript"/>
        </w:rPr>
        <w:t xml:space="preserve">n</w:t>
      </w:r>
      <w:r>
        <w:t xml:space="preserve">) and respiratory losses together determine net C balance and will correlate to plant growth. At shorter temporal scales, however, growth can instead be mediated by tissue C storage pools. This discrepancy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w:t>
      </w:r>
      <w:r>
        <w:t xml:space="preserve"> </w:t>
      </w:r>
      <w:r>
        <w:rPr>
          <w:i/>
        </w:rPr>
        <w:t xml:space="preserve">et al.</w:t>
      </w:r>
      <w:r>
        <w:t xml:space="preserve">, 2008)</w:t>
      </w:r>
      <w:r>
        <w:t xml:space="preserve">. Despite a wealth of studies, large uncertainties still remain regarding the coordination of C supply and growth of woody species.</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w:t>
      </w:r>
      <w:r>
        <w:t xml:space="preserve"> </w:t>
      </w:r>
      <w:r>
        <w:t xml:space="preserve">and regulatory sugar signaling</w:t>
      </w:r>
      <w:r>
        <w:t xml:space="preserve"> </w:t>
      </w:r>
      <w:r>
        <w:t xml:space="preserve">(Eyles</w:t>
      </w:r>
      <w:r>
        <w:t xml:space="preserve"> </w:t>
      </w:r>
      <w:r>
        <w:rPr>
          <w:i/>
        </w:rPr>
        <w:t xml:space="preserve">et al.</w:t>
      </w:r>
      <w:r>
        <w:t xml:space="preserve">)</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assimilation rates</w:t>
      </w:r>
      <w:r>
        <w:t xml:space="preserve"> </w:t>
      </w:r>
      <w:r>
        <w:t xml:space="preserve">(Robbins &amp; Pharr, 1988)</w:t>
      </w:r>
      <w:r>
        <w:t xml:space="preserve">. 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down regulation of</w:t>
      </w:r>
      <w:r>
        <w:t xml:space="preserve"> </w:t>
      </w:r>
      <w:r>
        <w:rPr>
          <w:i/>
        </w:rPr>
        <w:t xml:space="preserve">A</w:t>
      </w:r>
      <w:r>
        <w:rPr>
          <w:vertAlign w:val="subscript"/>
        </w:rPr>
        <w:t xml:space="preserve">n</w:t>
      </w:r>
      <w:r>
        <w:t xml:space="preserve"> </w:t>
      </w:r>
      <w:r>
        <w:t xml:space="preserve">and subsequent reductions of growth are quantitavely similiar has rarely been tested. Based on these previous studies, using a range of container sizes as a sink-strength manipulation provdies a way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([N])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0,i</w:t>
      </w:r>
      <w:r>
        <w:t xml:space="preserve">, stem</w:t>
      </w:r>
      <w:r>
        <w:rPr>
          <w:vertAlign w:val="subscript"/>
        </w:rPr>
        <w:t xml:space="preserve">0,i</w:t>
      </w:r>
      <w:r>
        <w:t xml:space="preserve"> </w:t>
      </w:r>
      <w:r>
        <w:t xml:space="preserve">and root</w:t>
      </w:r>
      <w:r>
        <w:rPr>
          <w:vertAlign w:val="subscript"/>
        </w:rPr>
        <w:t xml:space="preserve">0,i</w:t>
      </w:r>
      <w:r>
        <w:t xml:space="preserve">) and a starting leaf area (L</w:t>
      </w:r>
      <w:r>
        <w:rPr>
          <w:vertAlign w:val="subscript"/>
        </w:rPr>
        <w:t xml:space="preserve">0,i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t</m:t>
          </m:r>
          <m:r>
            <m:rPr/>
            <m:t>)</m:t>
          </m:r>
          <m:r>
            <m:rPr/>
            <m:t>=</m:t>
          </m:r>
          <m:f>
            <m:fPr>
              <m:type m:val="bar"/>
            </m:fPr>
            <m:num>
              <m:sSub>
                <m:e>
                  <m:r>
                    <m:rPr/>
                    <m:t>L</m:t>
                  </m:r>
                </m:e>
                <m:sub>
                  <m:r>
                    <m:rPr>
                      <m:sty m:val="p"/>
                    </m:rPr>
                    <m:t>i</m:t>
                  </m:r>
                </m:sub>
              </m:sSub>
              <m:r>
                <m:rPr/>
                <m:t> </m:t>
              </m:r>
              <m:r>
                <m:rPr/>
                <m:t>C</m:t>
              </m:r>
              <m:r>
                <m:rPr/>
                <m:t>d</m:t>
              </m:r>
              <m:r>
                <m:rPr/>
                <m:t>a</m:t>
              </m:r>
              <m:sSub>
                <m:e>
                  <m:r>
                    <m:rPr/>
                    <m:t>y</m:t>
                  </m:r>
                </m:e>
                <m:sub>
                  <m:r>
                    <m:rPr>
                      <m:sty m:val="p"/>
                    </m:rPr>
                    <m:t>i</m:t>
                  </m:r>
                </m:sub>
              </m:sSub>
              <m:r>
                <m:rPr/>
                <m:t> </m:t>
              </m:r>
              <m:r>
                <m:rPr/>
                <m:t>σ</m:t>
              </m:r>
              <m:r>
                <m:rPr/>
                <m:t>−</m:t>
              </m:r>
              <m:sSub>
                <m:e>
                  <m:r>
                    <m:rPr/>
                    <m:t>R</m:t>
                  </m:r>
                </m:e>
                <m:sub>
                  <m:r>
                    <m:rPr>
                      <m:sty m:val="p"/>
                    </m:rPr>
                    <m:t>i</m:t>
                  </m:r>
                </m:sub>
              </m:sSub>
            </m:num>
            <m:den>
              <m:r>
                <m:rPr/>
                <m:t>ϵ</m:t>
              </m:r>
            </m:den>
          </m:f>
        </m:oMath>
      </m:oMathPara>
    </w:p>
    <w:p>
      <w:pPr>
        <w:pStyle w:val="BodyText"/>
      </w:pPr>
      <w:r>
        <w:t xml:space="preserve">where</w:t>
      </w:r>
      <w:r>
        <w:t xml:space="preserve"> </w:t>
      </w:r>
      <w:r>
        <w:rPr>
          <w:i/>
        </w:rPr>
        <w:t xml:space="preserve">L</w:t>
      </w:r>
      <w:r>
        <w:rPr>
          <w:vertAlign w:val="subscript"/>
        </w:rPr>
        <w:t xml:space="preserve">i</w:t>
      </w:r>
      <w:r>
        <w:t xml:space="preserve"> </w:t>
      </w:r>
      <w:r>
        <w:t xml:space="preserve">is modelled total plant leaf area (m</w:t>
      </w:r>
      <w:r>
        <w:rPr>
          <w:vertAlign w:val="superscript"/>
        </w:rPr>
        <w:t xml:space="preserve">2</w:t>
      </w:r>
      <w:r>
        <w:t xml:space="preserve">),</w:t>
      </w:r>
      <w:r>
        <w:t xml:space="preserve"> </w:t>
      </w:r>
      <w:r>
        <w:rPr>
          <w:i/>
        </w:rPr>
        <w:t xml:space="preserve">Cday</w:t>
      </w:r>
      <w:r>
        <w:rPr>
          <w:vertAlign w:val="subscript"/>
        </w:rPr>
        <w:t xml:space="preserve">i</w:t>
      </w:r>
      <w:r>
        <w:t xml:space="preserve"> </w:t>
      </w:r>
      <w:r>
        <w:t xml:space="preserve">is the predicted daily carbon assimilation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w:t>
      </w:r>
      <w:r>
        <w:t xml:space="preserve"> </w:t>
      </w:r>
      <m:oMath>
        <m:r>
          <m:rPr/>
          <m:t>ϵ</m:t>
        </m:r>
      </m:oMath>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rPr>
          <w:vertAlign w:val="subscript"/>
        </w:rPr>
        <w:t xml:space="preserve">i</w:t>
      </w:r>
      <w:r>
        <w:t xml:space="preserve"> </w:t>
      </w:r>
      <w:r>
        <w:t xml:space="preserve">is the mass based total respiration of all tissue components (g C d</w:t>
      </w:r>
      <w:r>
        <w:rPr>
          <w:vertAlign w:val="superscript"/>
        </w:rPr>
        <w:t xml:space="preserve">-1</w:t>
      </w:r>
      <w:r>
        <w:t xml:space="preserve">). Here, i represents model runs for each experimental treatment (1:7). Total respiration was calculated as</w:t>
      </w:r>
    </w:p>
    <w:p>
      <w:pPr>
        <w:pStyle w:val="BodyText"/>
      </w:pPr>
      <w:r>
        <w:br w:type="textWrapping"/>
      </w:r>
      <w:r>
        <w:t xml:space="preserve">(2)</w:t>
      </w:r>
    </w:p>
    <w:p>
      <w:pPr>
        <w:pStyle w:val="BodyText"/>
      </w:pPr>
      <m:oMathPara>
        <m:oMathParaPr>
          <m:jc m:val="center"/>
        </m:oMathParaPr>
        <m:oMath>
          <m:sSub>
            <m:e>
              <m:r>
                <m:rPr/>
                <m:t>R</m:t>
              </m:r>
            </m:e>
            <m:sub>
              <m:r>
                <m:rPr/>
                <m:t>i</m:t>
              </m:r>
            </m:sub>
          </m:sSub>
          <m:r>
            <m:rPr/>
            <m:t>(</m:t>
          </m:r>
          <m:r>
            <m:rPr/>
            <m:t>t</m:t>
          </m:r>
          <m:r>
            <m:rPr/>
            <m:t>)</m:t>
          </m:r>
          <m:r>
            <m:rPr/>
            <m:t>=</m:t>
          </m:r>
          <m:sSubSup>
            <m:e>
              <m:r>
                <m:rPr/>
                <m:t>Σ</m:t>
              </m:r>
            </m:e>
            <m:sub>
              <m:r>
                <m:rPr/>
                <m:t>c</m:t>
              </m:r>
              <m:r>
                <m:rPr/>
                <m:t>=</m:t>
              </m:r>
              <m:r>
                <m:rPr/>
                <m:t>1</m:t>
              </m:r>
            </m:sub>
            <m:sup>
              <m:r>
                <m:rPr/>
                <m:t>3</m:t>
              </m:r>
            </m:sup>
          </m:sSubSup>
          <m:r>
            <m:rPr/>
            <m:t>(</m:t>
          </m:r>
          <m:sSub>
            <m:e>
              <m:r>
                <m:rPr/>
                <m:t>R</m:t>
              </m:r>
            </m:e>
            <m:sub>
              <m:r>
                <m:rPr>
                  <m:sty m:val="p"/>
                </m:rPr>
                <m:t>c</m:t>
              </m:r>
            </m:sub>
          </m:sSub>
          <m:r>
            <m:rPr/>
            <m:t> </m:t>
          </m:r>
          <m:sSub>
            <m:e>
              <m:r>
                <m:rPr/>
                <m:t>M</m:t>
              </m:r>
            </m:e>
            <m:sub>
              <m:r>
                <m:rPr>
                  <m:sty m:val="p"/>
                </m:rPr>
                <m:t>c</m:t>
              </m:r>
              <m:r>
                <m:rPr>
                  <m:sty m:val="p"/>
                </m:rPr>
                <m:t>,</m:t>
              </m:r>
              <m:r>
                <m:rPr>
                  <m:sty m:val="p"/>
                </m:rPr>
                <m:t>i</m:t>
              </m:r>
            </m:sub>
          </m:sSub>
          <m:r>
            <m:rPr/>
            <m:t>(</m:t>
          </m:r>
          <m:r>
            <m:rPr/>
            <m:t>t</m:t>
          </m:r>
          <m:r>
            <m:rPr/>
            <m:t>)</m:t>
          </m:r>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measured tissue respiration rates of different woody tissue components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c,i</w:t>
      </w:r>
      <w:r>
        <w:t xml:space="preserve"> </w:t>
      </w:r>
      <w:r>
        <w:t xml:space="preserve">is the modelled standing biomass for each component (g). Here, c represents fine roots, coarse roots or stems. Leaf respiration is included in the calculation of</w:t>
      </w:r>
      <w:r>
        <w:t xml:space="preserve"> </w:t>
      </w:r>
      <w:r>
        <w:rPr>
          <w:i/>
        </w:rPr>
        <w:t xml:space="preserve">Cday</w:t>
      </w:r>
      <w:r>
        <w:t xml:space="preserve"> </w:t>
      </w:r>
      <w:r>
        <w:t xml:space="preserve">(described below). The change in individual component biomass (</w:t>
      </w:r>
      <w:r>
        <w:rPr>
          <w:i/>
        </w:rPr>
        <w:t xml:space="preserve">M</w:t>
      </w:r>
      <w:r>
        <w:rPr>
          <w:vertAlign w:val="subscript"/>
        </w:rPr>
        <w:t xml:space="preserve">c,i</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θ</m:t>
              </m:r>
            </m:e>
            <m:sub>
              <m:r>
                <m:rPr>
                  <m:sty m:val="p"/>
                </m:rPr>
                <m:t>c</m:t>
              </m:r>
            </m:sub>
          </m:sSub>
          <m:r>
            <m:rPr/>
            <m:t> </m:t>
          </m:r>
          <m:sSub>
            <m:e>
              <m:r>
                <m:rPr/>
                <m:t>P</m:t>
              </m:r>
            </m:e>
            <m:sub>
              <m:r>
                <m:rPr>
                  <m:sty m:val="p"/>
                </m:rPr>
                <m:t>i</m:t>
              </m:r>
            </m:sub>
          </m:sSub>
          <m:r>
            <m:rPr/>
            <m:t>(</m:t>
          </m:r>
          <m:r>
            <m:rPr/>
            <m:t>t</m:t>
          </m:r>
          <m:r>
            <m:rPr/>
            <m:t>)</m:t>
          </m:r>
          <m:r>
            <m:rPr/>
            <m:t> </m:t>
          </m:r>
          <m:r>
            <m:rPr/>
            <m:t>−</m:t>
          </m:r>
          <m:r>
            <m:rPr/>
            <m:t> </m:t>
          </m:r>
          <m:r>
            <m:rPr/>
            <m:t>(</m:t>
          </m:r>
          <m:sSub>
            <m:e>
              <m:r>
                <m:rPr/>
                <m:t>Λ</m:t>
              </m:r>
            </m:e>
            <m:sub>
              <m:r>
                <m:rPr>
                  <m:sty m:val="p"/>
                </m:rPr>
                <m:t>c</m:t>
              </m:r>
            </m:sub>
          </m:sSub>
          <m:r>
            <m:rPr/>
            <m:t> </m:t>
          </m:r>
          <m:sSub>
            <m:e>
              <m:r>
                <m:rPr/>
                <m:t>M</m:t>
              </m:r>
            </m:e>
            <m:sub>
              <m:r>
                <m:rPr>
                  <m:sty m:val="p"/>
                </m:rPr>
                <m:t>c</m:t>
              </m:r>
              <m:r>
                <m:rPr>
                  <m:sty m:val="p"/>
                </m:rPr>
                <m:t>,</m:t>
              </m:r>
              <m:r>
                <m:rPr>
                  <m:sty m:val="p"/>
                </m:rPr>
                <m:t>i</m:t>
              </m:r>
            </m:sub>
          </m:sSub>
          <m:r>
            <m:rPr/>
            <m:t>)</m:t>
          </m:r>
        </m:oMath>
      </m:oMathPara>
    </w:p>
    <w:p>
      <w:pPr>
        <w:pStyle w:val="BodyText"/>
      </w:pPr>
      <w:r>
        <w:t xml:space="preserve">where</w:t>
      </w:r>
      <w:r>
        <w:t xml:space="preserve"> </w:t>
      </w:r>
      <m:oMath>
        <m:r>
          <m:rPr/>
          <m:t>θ</m:t>
        </m:r>
      </m:oMath>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t xml:space="preserve"> </w:t>
      </w:r>
      <w:r>
        <w:t xml:space="preserve">of stems was assumed to equal 0. Total seedling biomass, per time step, was then equal to the sum of all biomass components; leaves, stems, fine roots and coarse roots.</w:t>
      </w:r>
    </w:p>
    <w:p>
      <w:pPr>
        <w:pStyle w:val="BodyText"/>
      </w:pPr>
      <w:r>
        <w:br w:type="textWrapping"/>
      </w:r>
      <w:r>
        <w:rPr>
          <w:i/>
        </w:rPr>
        <w:t xml:space="preserve">Cday</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Cday</w:t>
      </w:r>
      <w:r>
        <w:t xml:space="preserve"> </w:t>
      </w:r>
      <w:r>
        <w:t xml:space="preserve">for each soil volume treatment, one value for each day of the experiment. Thus, each daily time step for model runs included a value of</w:t>
      </w:r>
      <w:r>
        <w:t xml:space="preserve"> </w:t>
      </w:r>
      <w:r>
        <w:rPr>
          <w:i/>
        </w:rPr>
        <w:t xml:space="preserve">Cday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Cday</w:t>
      </w:r>
      <w:r>
        <w:rPr>
          <w:vertAlign w:val="subscript"/>
        </w:rPr>
        <w:t xml:space="preserve">i</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First, a default model with mean photosynthetic parameters from the free seedlings was optimized to estimate a leaf mass fraction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Cday</w:t>
      </w:r>
      <w:r>
        <w:t xml:space="preserve">, while keeping woody tissue respiration and tissue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Cumulative net leaf C gain for each treatment was equal to the sum of each value of</w:t>
      </w:r>
      <w:r>
        <w:t xml:space="preserve"> </w:t>
      </w:r>
      <w:r>
        <w:rPr>
          <w:i/>
        </w:rPr>
        <w:t xml:space="preserve">Cday</w:t>
      </w:r>
      <w:r>
        <w:rPr>
          <w:vertAlign w:val="subscript"/>
        </w:rPr>
        <w:t xml:space="preserve">i</w:t>
      </w:r>
      <w:r>
        <w:t xml:space="preserve"> </w:t>
      </w:r>
      <w:r>
        <w:t xml:space="preserve">over 120 days and final seedling C was assumed to equal half of the final dry mass for both modeled and observed seedlings. Seedling biomass production was compared between model output and harvested seedlings with treatment-specific mean</w:t>
      </w:r>
      <w:r>
        <w:t xml:space="preserve"> </w:t>
      </w:r>
      <w:r>
        <w:rPr>
          <w:i/>
        </w:rPr>
        <w:t xml:space="preserve">Cday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 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 content 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 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 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 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similarity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0.1 %. Using this optimized LMF, the modeled total biomass of seedlings for each soil volume treatment (</w:t>
      </w:r>
      <w:r>
        <w:rPr>
          <w:i/>
        </w:rPr>
        <w:t xml:space="preserve">M</w:t>
      </w:r>
      <w:r>
        <w:rPr>
          <w:vertAlign w:val="subscript"/>
        </w:rPr>
        <w:t xml:space="preserve">pots</w:t>
      </w:r>
      <w:r>
        <w:t xml:space="preserve">) was on average 23±2.4 g C more than measured seedling biomass when compared against predicted total net leaf C 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Next, we performed a series of model simulations to test possible C allocation scenarios to account for the over-predictions of seedling C mass. Running the model with observed treatment-specific LMF values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 C 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nonetheless overestimated mass C 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nutrient content or water availability,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 and leaf N was considerably reduced for seedlings in containers. Since reductions in leaf N were detected with TNC-free leaf mass, it is likely that nutrient uptake was affected in the smallest containers instead of TNC dilution in leaves. It it possible that physical root restriction or decreased supply reduced seedling N uptake in small containers. Although root N was on average higher in free seedlings at the end of the experiment, it was not consistently higher than the smallest container volume treatment. Unrestricted mycorrhizal recruitment could have instead facilitated the increases in leaf N in free seedlings, but this effect is unknown. Soil N also declined evenly across all treatments, providing no clear evidence for decreased supply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result is unexpected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&amp;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w:t>
      </w:r>
      <w:r>
        <w:rPr>
          <w:i/>
        </w:rPr>
        <w:t xml:space="preserve">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w:t>
      </w:r>
      <w:r>
        <w:t xml:space="preserve"> </w:t>
      </w:r>
      <w:r>
        <w:rPr>
          <w:i/>
        </w:rPr>
        <w:t xml:space="preserve">et al.</w:t>
      </w:r>
      <w:r>
        <w:t xml:space="preserve">,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 C dynamics can easily lead to erroneous conclusions</w:t>
      </w:r>
      <w:r>
        <w:t xml:space="preserve"> </w:t>
      </w:r>
      <w:r>
        <w:t xml:space="preserve">(Valentini</w:t>
      </w:r>
      <w:r>
        <w:t xml:space="preserve"> </w:t>
      </w:r>
      <w:r>
        <w:rPr>
          <w:i/>
        </w:rPr>
        <w:t xml:space="preserve">et al.</w:t>
      </w:r>
      <w:r>
        <w:t xml:space="preserve">,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 C. Although this may be true, our results imply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w:t>
            </w:r>
            <w:r>
              <w:rPr>
                <w:vertAlign w:val="subscript"/>
                <w:b/>
              </w:rPr>
              <w:t xml:space="preserve">cmax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0</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0</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0</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0</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86400" cy="7315200"/>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S1</w:t>
      </w:r>
      <w:r>
        <w:t xml:space="preserve">. Sensitivity testing of the seedling growth model to different carbon allocation strategies, including; (a) leaf mass fraction set to treatment-specific final harvest values and (b) increases in respiration of non-leaf tissue components by 50 %. Open and filled symbols represent default model and harvest values, respectively, while shaded symbols represent model sensitivity to each scenario by soil volume treatment. Both seedling carbon mass and daily carbon assimilation were first scaled to the free seedling control.</w:t>
      </w:r>
    </w:p>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 This research was funded by a PhD Scholarship drom the Hawkesbury Institute for the Environment (Western Sydney University).</w:t>
      </w:r>
    </w:p>
    <w:p>
      <w:pPr>
        <w:pStyle w:val="Heading1"/>
      </w:pPr>
      <w:bookmarkStart w:id="54" w:name="references"/>
      <w:bookmarkEnd w:id="54"/>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DeLucia E</w:t>
      </w:r>
      <w:r>
        <w:rPr>
          <w:b/>
        </w:rPr>
        <w:t xml:space="preserve">,</w:t>
      </w:r>
      <w:r>
        <w:rPr>
          <w:b/>
        </w:rPr>
        <w:t xml:space="preserve"> </w:t>
      </w:r>
      <w:r>
        <w:rPr>
          <w:b w:val="0"/>
          <w:b/>
        </w:rPr>
        <w:t xml:space="preserve">Drake JE</w:t>
      </w:r>
      <w:r>
        <w:rPr>
          <w:b/>
        </w:rPr>
        <w:t xml:space="preserve">,</w:t>
      </w:r>
      <w:r>
        <w:rPr>
          <w:b/>
        </w:rPr>
        <w:t xml:space="preserve"> </w:t>
      </w:r>
      <w:r>
        <w:rPr>
          <w:b w:val="0"/>
          <w:b/>
        </w:rPr>
        <w:t xml:space="preserve">Thomas RB</w:t>
      </w:r>
      <w:r>
        <w:rPr>
          <w:b/>
        </w:rPr>
        <w:t xml:space="preserve">,</w:t>
      </w:r>
      <w:r>
        <w:rPr>
          <w:b/>
        </w:rPr>
        <w:t xml:space="preserve"> </w:t>
      </w:r>
      <w:r>
        <w:rPr>
          <w:b w:val="0"/>
          <w:b/>
        </w:rPr>
        <w:t xml:space="preserve">Gonzalez-Meler M</w:t>
      </w:r>
      <w:r>
        <w:t xml:space="preserve">.</w:t>
      </w:r>
      <w:r>
        <w:t xml:space="preserve"> </w:t>
      </w:r>
      <w:r>
        <w:rPr>
          <w:b/>
        </w:rPr>
        <w:t xml:space="preserve">2007</w:t>
      </w:r>
      <w:r>
        <w:t xml:space="preserve">.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1157–1167.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m:oMath>
        <m:r>
          <m:rPr/>
          <m:t>∖</m:t>
        </m:r>
      </m:oMath>
      <w:r>
        <w:t xml:space="preserve">textit{Eucalyptus} 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m:oMath>
        <m:r>
          <m:rPr/>
          <m:t>∖</m:t>
        </m:r>
      </m:oMath>
      <w:r>
        <w:t xml:space="preserve">textit{Metasequoia glyptostroboides} 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m:oMath>
        <m:r>
          <m:rPr/>
          <m:t>∖</m:t>
        </m:r>
      </m:oMath>
      <w:r>
        <w:t xml:space="preserve">textit{Eucalyptus grandis} 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m:oMath>
        <m:r>
          <m:rPr/>
          <m:t>∖</m:t>
        </m:r>
      </m:oMath>
      <w:r>
        <w:t xml:space="preserve">textit{Prunus cerasus} 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Lohier T</w:t>
      </w:r>
      <w:r>
        <w:rPr>
          <w:b/>
        </w:rPr>
        <w:t xml:space="preserve">,</w:t>
      </w:r>
      <w:r>
        <w:rPr>
          <w:b/>
        </w:rPr>
        <w:t xml:space="preserve"> </w:t>
      </w:r>
      <w:r>
        <w:rPr>
          <w:b w:val="0"/>
          <w:b/>
        </w:rPr>
        <w:t xml:space="preserve">Jabot F</w:t>
      </w:r>
      <w:r>
        <w:rPr>
          <w:b/>
        </w:rPr>
        <w:t xml:space="preserve">,</w:t>
      </w:r>
      <w:r>
        <w:rPr>
          <w:b/>
        </w:rPr>
        <w:t xml:space="preserve"> </w:t>
      </w:r>
      <w:r>
        <w:rPr>
          <w:b w:val="0"/>
          <w:b/>
        </w:rPr>
        <w:t xml:space="preserve">Meziane D</w:t>
      </w:r>
      <w:r>
        <w:rPr>
          <w:b/>
        </w:rPr>
        <w:t xml:space="preserve">,</w:t>
      </w:r>
      <w:r>
        <w:rPr>
          <w:b/>
        </w:rPr>
        <w:t xml:space="preserve"> </w:t>
      </w:r>
      <w:r>
        <w:rPr>
          <w:b w:val="0"/>
          <w:b/>
        </w:rPr>
        <w:t xml:space="preserve">Shipley B</w:t>
      </w:r>
      <w:r>
        <w:rPr>
          <w:b/>
        </w:rPr>
        <w:t xml:space="preserve">,</w:t>
      </w:r>
      <w:r>
        <w:rPr>
          <w:b/>
        </w:rPr>
        <w:t xml:space="preserve"> </w:t>
      </w:r>
      <w:r>
        <w:rPr>
          <w:b w:val="0"/>
          <w:b/>
        </w:rPr>
        <w:t xml:space="preserve">Reich PB</w:t>
      </w:r>
      <w:r>
        <w:rPr>
          <w:b/>
        </w:rPr>
        <w:t xml:space="preserve">,</w:t>
      </w:r>
      <w:r>
        <w:rPr>
          <w:b/>
        </w:rPr>
        <w:t xml:space="preserve"> </w:t>
      </w:r>
      <w:r>
        <w:rPr>
          <w:b w:val="0"/>
          <w:b/>
        </w:rPr>
        <w:t xml:space="preserve">Deffuant G</w:t>
      </w:r>
      <w:r>
        <w:t xml:space="preserve">.</w:t>
      </w:r>
      <w:r>
        <w:t xml:space="preserve"> </w:t>
      </w:r>
      <w:r>
        <w:rPr>
          <w:b/>
        </w:rPr>
        <w:t xml:space="preserve">2014</w:t>
      </w:r>
      <w:r>
        <w:t xml:space="preserve">. Explaining ontogenetic shifts in root–shoot scaling with transient dynamics.</w:t>
      </w:r>
      <w:r>
        <w:t xml:space="preserve"> </w:t>
      </w:r>
      <w:r>
        <w:rPr>
          <w:i/>
        </w:rPr>
        <w:t xml:space="preserve">Annals of Botany</w:t>
      </w:r>
      <w:r>
        <w:t xml:space="preserve"> </w:t>
      </w:r>
      <w:r>
        <w:rPr>
          <w:b/>
        </w:rPr>
        <w:t xml:space="preserve">114</w:t>
      </w:r>
      <w:r>
        <w:t xml:space="preserve">: 513–524.</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m:oMath>
        <m:r>
          <m:rPr/>
          <m:t>∖</m:t>
        </m:r>
      </m:oMath>
      <w:r>
        <w:t xml:space="preserve">textit{Betula pubescens}.</w:t>
      </w:r>
      <w:r>
        <w:t xml:space="preserve"> </w:t>
      </w:r>
      <w:r>
        <w:rPr>
          <w:i/>
        </w:rPr>
        <w:t xml:space="preserve">Oecologia</w:t>
      </w:r>
      <w:r>
        <w:t xml:space="preserve"> </w:t>
      </w:r>
      <w:r>
        <w:rPr>
          <w:b/>
        </w:rPr>
        <w:t xml:space="preserve">140</w:t>
      </w:r>
      <w:r>
        <w:t xml:space="preserve">: 234–240.</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m:oMath>
        <m:r>
          <m:rPr/>
          <m:t>∖</m:t>
        </m:r>
      </m:oMath>
      <w:r>
        <w:t xml:space="preserve">textit{Betula pendula} 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m:oMath>
        <m:r>
          <m:rPr/>
          <m:t>∖</m:t>
        </m:r>
      </m:oMath>
      <w:r>
        <w:t xml:space="preserve">textit{Betula pendula} 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m:oMath>
        <m:r>
          <m:rPr/>
          <m:t>∖</m:t>
        </m:r>
      </m:oMath>
      <w:r>
        <w:t xml:space="preserve">textit{Eucalyptus nitens} (Deane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 Cucumis sativus 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m:oMath>
        <m:r>
          <m:rPr/>
          <m:t>∖</m:t>
        </m:r>
      </m:oMath>
      <w:r>
        <w:t xml:space="preserve">textit{Coffea arabica} 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m:oMath>
        <m:r>
          <m:rPr/>
          <m:t>∖</m:t>
        </m:r>
      </m:oMath>
      <w:r>
        <w:t xml:space="preserve">textit{Eucalyptus globulus} 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1a9822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e32402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