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w:t>
      </w:r>
      <w:r>
        <w:br w:type="textWrapping"/>
      </w:r>
      <w:r>
        <w:t xml:space="preserve">7 figures (6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Interpreting limitations to plant growth requires accounting of carbon (C) mass balance between uptake and allocation.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both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not large enough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0,i</w:t>
      </w:r>
      <w:r>
        <w:t xml:space="preserve">, stem</w:t>
      </w:r>
      <w:r>
        <w:rPr>
          <w:vertAlign w:val="subscript"/>
        </w:rPr>
        <w:t xml:space="preserve">0,i</w:t>
      </w:r>
      <w:r>
        <w:t xml:space="preserve"> </w:t>
      </w:r>
      <w:r>
        <w:t xml:space="preserve">and root</w:t>
      </w:r>
      <w:r>
        <w:rPr>
          <w:vertAlign w:val="subscript"/>
        </w:rPr>
        <w:t xml:space="preserve">0,i</w:t>
      </w:r>
      <w:r>
        <w:t xml:space="preserve">) and a starting leaf area (L</w:t>
      </w:r>
      <w:r>
        <w:rPr>
          <w:vertAlign w:val="subscript"/>
        </w:rPr>
        <w:t xml:space="preserve">0,i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t</m:t>
          </m:r>
          <m:r>
            <m:rPr/>
            <m:t>)</m:t>
          </m:r>
          <m:r>
            <m:rPr/>
            <m:t>=</m:t>
          </m:r>
          <m:f>
            <m:fPr>
              <m:type m:val="bar"/>
            </m:fPr>
            <m:num>
              <m:sSub>
                <m:e>
                  <m:r>
                    <m:rPr/>
                    <m:t>L</m:t>
                  </m:r>
                </m:e>
                <m:sub>
                  <m:r>
                    <m:rPr>
                      <m:sty m:val="p"/>
                    </m:rPr>
                    <m:t>i</m:t>
                  </m:r>
                </m:sub>
              </m:sSub>
              <m:r>
                <m:rPr/>
                <m:t>(</m:t>
              </m:r>
              <m:sSub>
                <m:e>
                  <m:r>
                    <m:rPr/>
                    <m:t>t</m:t>
                  </m:r>
                </m:e>
                <m:sub>
                  <m:r>
                    <m:rPr>
                      <m:sty m:val="p"/>
                    </m:rPr>
                    <m:t>−</m:t>
                  </m:r>
                  <m:r>
                    <m:rPr>
                      <m:sty m:val="p"/>
                    </m:rPr>
                    <m:t>1</m:t>
                  </m:r>
                </m:sub>
              </m:sSub>
              <m:r>
                <m:rPr/>
                <m:t>)</m:t>
              </m:r>
              <m:r>
                <m:rPr/>
                <m:t> </m:t>
              </m:r>
              <m:r>
                <m:rPr/>
                <m:t>C</m:t>
              </m:r>
              <m:r>
                <m:rPr/>
                <m:t>d</m:t>
              </m:r>
              <m:r>
                <m:rPr/>
                <m:t>a</m:t>
              </m:r>
              <m:sSub>
                <m:e>
                  <m:r>
                    <m:rPr/>
                    <m:t>y</m:t>
                  </m:r>
                </m:e>
                <m:sub>
                  <m:r>
                    <m:rPr>
                      <m:sty m:val="p"/>
                    </m:rPr>
                    <m:t>i</m:t>
                  </m:r>
                </m:sub>
              </m:sSub>
              <m:r>
                <m:rPr/>
                <m:t> </m:t>
              </m:r>
              <m:r>
                <m:rPr/>
                <m:t>σ</m:t>
              </m:r>
              <m:r>
                <m:rPr/>
                <m:t>−</m:t>
              </m:r>
              <m:sSub>
                <m:e>
                  <m:r>
                    <m:rPr/>
                    <m:t>R</m:t>
                  </m:r>
                </m:e>
                <m:sub>
                  <m:r>
                    <m:rPr>
                      <m:sty m:val="p"/>
                    </m:rPr>
                    <m:t>i</m:t>
                  </m:r>
                </m:sub>
              </m:sSub>
            </m:num>
            <m:den>
              <m:r>
                <m:rPr/>
                <m:t>ϵ</m:t>
              </m:r>
            </m:den>
          </m:f>
        </m:oMath>
      </m:oMathPara>
    </w:p>
    <w:p>
      <w:pPr>
        <w:pStyle w:val="BodyText"/>
      </w:pPr>
      <w:r>
        <w:t xml:space="preserve">where</w:t>
      </w:r>
      <w:r>
        <w:t xml:space="preserve"> </w:t>
      </w:r>
      <w:r>
        <w:rPr>
          <w:i/>
        </w:rPr>
        <w:t xml:space="preserve">L</w:t>
      </w:r>
      <w:r>
        <w:rPr>
          <w:vertAlign w:val="subscript"/>
        </w:rPr>
        <w:t xml:space="preserve">i</w:t>
      </w:r>
      <w:r>
        <w:t xml:space="preserve"> </w:t>
      </w:r>
      <w:r>
        <w:t xml:space="preserve">is modelled total plant leaf area (m</w:t>
      </w:r>
      <w:r>
        <w:rPr>
          <w:vertAlign w:val="superscript"/>
        </w:rPr>
        <w:t xml:space="preserve">2</w:t>
      </w:r>
      <w:r>
        <w:t xml:space="preserve">),</w:t>
      </w:r>
      <w:r>
        <w:t xml:space="preserve"> </w:t>
      </w:r>
      <w:r>
        <w:rPr>
          <w:i/>
        </w:rPr>
        <w:t xml:space="preserve">Cday</w:t>
      </w:r>
      <w:r>
        <w:rPr>
          <w:vertAlign w:val="subscript"/>
        </w:rPr>
        <w:t xml:space="preserve">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rPr>
          <w:vertAlign w:val="subscript"/>
        </w:rPr>
        <w:t xml:space="preserve">i</w:t>
      </w:r>
      <w:r>
        <w:t xml:space="preserve"> </w:t>
      </w:r>
      <w:r>
        <w:t xml:space="preserve">is the mass based total respiration of all tissue components (g C d</w:t>
      </w:r>
      <w:r>
        <w:rPr>
          <w:vertAlign w:val="superscript"/>
        </w:rPr>
        <w:t xml:space="preserve">-1</w:t>
      </w:r>
      <w:r>
        <w:t xml:space="preserve">). Here, i represents model runs for each experimental treatment (1:7). Total respiration was calculated as</w:t>
      </w:r>
    </w:p>
    <w:p>
      <w:pPr>
        <w:pStyle w:val="BodyText"/>
      </w:pPr>
      <w:r>
        <w:br w:type="textWrapping"/>
      </w:r>
      <w:r>
        <w:t xml:space="preserve">(2)</w:t>
      </w:r>
    </w:p>
    <w:p>
      <w:pPr>
        <w:pStyle w:val="BodyText"/>
      </w:pPr>
      <m:oMathPara>
        <m:oMathParaPr>
          <m:jc m:val="center"/>
        </m:oMathParaPr>
        <m:oMath>
          <m:sSub>
            <m:e>
              <m:r>
                <m:rPr/>
                <m:t>R</m:t>
              </m:r>
            </m:e>
            <m:sub>
              <m:r>
                <m:rPr/>
                <m:t>i</m:t>
              </m:r>
            </m:sub>
          </m:sSub>
          <m:r>
            <m:rPr/>
            <m:t>(</m:t>
          </m:r>
          <m:r>
            <m:rPr/>
            <m:t>t</m:t>
          </m:r>
          <m:r>
            <m:rPr/>
            <m:t>)</m:t>
          </m:r>
          <m:r>
            <m:rPr/>
            <m:t>=</m:t>
          </m:r>
          <m:sSubSup>
            <m:e>
              <m:r>
                <m:rPr/>
                <m:t>Σ</m:t>
              </m:r>
            </m:e>
            <m:sub>
              <m:r>
                <m:rPr/>
                <m:t>c</m:t>
              </m:r>
              <m:r>
                <m:rPr/>
                <m:t>=</m:t>
              </m:r>
              <m:r>
                <m:rPr/>
                <m:t>1</m:t>
              </m:r>
            </m:sub>
            <m:sup>
              <m:r>
                <m:rPr/>
                <m:t>3</m:t>
              </m:r>
            </m:sup>
          </m:sSubSup>
          <m:r>
            <m:rPr/>
            <m:t>(</m:t>
          </m:r>
          <m:sSub>
            <m:e>
              <m:r>
                <m:rPr/>
                <m:t>R</m:t>
              </m:r>
            </m:e>
            <m:sub>
              <m:r>
                <m:rPr>
                  <m:sty m:val="p"/>
                </m:rPr>
                <m:t>c</m:t>
              </m:r>
            </m:sub>
          </m:sSub>
          <m:r>
            <m:rPr/>
            <m:t> </m:t>
          </m:r>
          <m:sSub>
            <m:e>
              <m:r>
                <m:rPr/>
                <m:t>M</m:t>
              </m:r>
            </m:e>
            <m:sub>
              <m:r>
                <m:rPr>
                  <m:sty m:val="p"/>
                </m:rPr>
                <m:t>c</m:t>
              </m:r>
              <m:r>
                <m:rPr>
                  <m:sty m:val="p"/>
                </m:rPr>
                <m:t>,</m:t>
              </m:r>
              <m:r>
                <m:rPr>
                  <m:sty m:val="p"/>
                </m:rPr>
                <m:t>i</m:t>
              </m:r>
            </m:sub>
          </m:sSub>
          <m:r>
            <m:rPr/>
            <m:t>(</m:t>
          </m:r>
          <m:r>
            <m:rPr/>
            <m:t>t</m:t>
          </m:r>
          <m:r>
            <m:rPr/>
            <m:t>)</m:t>
          </m:r>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measured tissue respiration rates of different woody tissue components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c,i</w:t>
      </w:r>
      <w:r>
        <w:t xml:space="preserve"> </w:t>
      </w:r>
      <w:r>
        <w:t xml:space="preserve">is the modelled standing biomass for each component (g). Here, c represents fine roots, coarse roots or stems. Leaf respiration is included in the calculation of</w:t>
      </w:r>
      <w:r>
        <w:t xml:space="preserve"> </w:t>
      </w:r>
      <w:r>
        <w:rPr>
          <w:i/>
        </w:rPr>
        <w:t xml:space="preserve">Cday</w:t>
      </w:r>
      <w:r>
        <w:t xml:space="preserve"> </w:t>
      </w:r>
      <w:r>
        <w:t xml:space="preserve">(described below). The change in individual component biomass (</w:t>
      </w:r>
      <w:r>
        <w:rPr>
          <w:i/>
        </w:rPr>
        <w:t xml:space="preserve">M</w:t>
      </w:r>
      <w:r>
        <w:rPr>
          <w:vertAlign w:val="subscript"/>
        </w:rPr>
        <w:t xml:space="preserve">c,i</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θ</m:t>
              </m:r>
            </m:e>
            <m:sub>
              <m:r>
                <m:rPr>
                  <m:sty m:val="p"/>
                </m:rPr>
                <m:t>c</m:t>
              </m:r>
            </m:sub>
          </m:sSub>
          <m:r>
            <m:rPr/>
            <m:t> </m:t>
          </m:r>
          <m:sSub>
            <m:e>
              <m:r>
                <m:rPr/>
                <m:t>P</m:t>
              </m:r>
            </m:e>
            <m:sub>
              <m:r>
                <m:rPr>
                  <m:sty m:val="p"/>
                </m:rPr>
                <m:t>i</m:t>
              </m:r>
            </m:sub>
          </m:sSub>
          <m:r>
            <m:rPr/>
            <m:t>(</m:t>
          </m:r>
          <m:r>
            <m:rPr/>
            <m:t>t</m:t>
          </m:r>
          <m:r>
            <m:rPr/>
            <m:t>)</m:t>
          </m:r>
          <m:r>
            <m:rPr/>
            <m:t> </m:t>
          </m:r>
          <m:r>
            <m:rPr/>
            <m:t>−</m:t>
          </m:r>
          <m:r>
            <m:rPr/>
            <m:t> </m:t>
          </m:r>
          <m:r>
            <m:rPr/>
            <m:t>(</m:t>
          </m:r>
          <m:sSub>
            <m:e>
              <m:r>
                <m:rPr/>
                <m:t>Λ</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m:oMath>
        <m:r>
          <m:rPr/>
          <m:t>θ</m:t>
        </m:r>
      </m:oMath>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BodyText"/>
      </w:pPr>
      <w:r>
        <w:br w:type="textWrapping"/>
      </w:r>
      <w:r>
        <w:rPr>
          <w:i/>
        </w:rPr>
        <w:t xml:space="preserve">Cday</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Cday</w:t>
      </w:r>
      <w:r>
        <w:t xml:space="preserve"> </w:t>
      </w:r>
      <w:r>
        <w:t xml:space="preserve">for each soil volume treatment, one value for each day of the experiment. Thus, each daily time step for model runs included a value of</w:t>
      </w:r>
      <w:r>
        <w:t xml:space="preserve"> </w:t>
      </w:r>
      <w:r>
        <w:rPr>
          <w:i/>
        </w:rPr>
        <w:t xml:space="preserve">Cday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Cday</w:t>
      </w:r>
      <w:r>
        <w:rPr>
          <w:vertAlign w:val="subscript"/>
        </w:rPr>
        <w:t xml:space="preserve">i</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Cday</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Cday</w:t>
      </w:r>
      <w:r>
        <w:rPr>
          <w:vertAlign w:val="subscript"/>
        </w:rPr>
        <w:t xml:space="preserve">i</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Cday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over-predictions of seedling C mass. Running the model with observed treatment-specific LMF values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nonetheless overestimated mass C 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As leaf N reductions were detected with TNC-free leaf mass, it is likely that physical root restriction or decreased supply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drive changes in root N 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(a) leaf mass fraction set to treatment-specific final harvest values and (b) increases in respiration of non-leaf tissue components by 50 %. Open and filled symbols represent default model and harvest values, respectively,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0b3c4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6c75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