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7.png" ContentType="image/png"/>
  <Override PartName="/word/media/rId48.png" ContentType="image/png"/>
  <Override PartName="/word/media/rId46.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w:t>
      </w:r>
      <w:r>
        <w:br w:type="textWrapping"/>
      </w:r>
      <w:r>
        <w:t xml:space="preserve">6 figures (6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The difficulty in quantifying all components of plant carbon (C) balance inhibits our ability to interpret growth limitation in woody species.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too small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is driven by the allocation of photosynthate from source leaves among these different tissue sinks. At long enough time scales leaf photosynthesis (</w:t>
      </w:r>
      <w:r>
        <w:rPr>
          <w:i/>
        </w:rPr>
        <w:t xml:space="preserve">A</w:t>
      </w:r>
      <w:r>
        <w:rPr>
          <w:vertAlign w:val="subscript"/>
        </w:rPr>
        <w:t xml:space="preserve">n</w:t>
      </w:r>
      <w:r>
        <w:t xml:space="preserve">) and respiratory losses together determine net C balance and plant growth. At shorter temporal scales growth can instead be mediated by tissue C storage pools</w:t>
      </w:r>
      <w:r>
        <w:t xml:space="preserve"> </w:t>
      </w:r>
      <w:r>
        <w:t xml:space="preserve">(Chapin</w:t>
      </w:r>
      <w:r>
        <w:t xml:space="preserve"> </w:t>
      </w:r>
      <w:r>
        <w:rPr>
          <w:i/>
        </w:rPr>
        <w:t xml:space="preserve">et al.</w:t>
      </w:r>
      <w:r>
        <w:t xml:space="preserve">, 1990)</w:t>
      </w:r>
      <w:r>
        <w:t xml:space="preserve">, which disrupts the coordination between</w:t>
      </w:r>
      <w:r>
        <w:t xml:space="preserve"> </w:t>
      </w:r>
      <w:r>
        <w:rPr>
          <w:i/>
        </w:rPr>
        <w:t xml:space="preserve">A</w:t>
      </w:r>
      <w:r>
        <w:rPr>
          <w:vertAlign w:val="subscript"/>
        </w:rPr>
        <w:t xml:space="preserve">n</w:t>
      </w:r>
      <w:r>
        <w:t xml:space="preserve"> </w:t>
      </w:r>
      <w:r>
        <w:t xml:space="preserve">and growth. This discrepancy has led to the current debate on how strongly plant growth is controlled by either source or sink activity. As plant growth cannot be simply determined by</w:t>
      </w:r>
      <w:r>
        <w:t xml:space="preserve"> </w:t>
      </w:r>
      <w:r>
        <w:rPr>
          <w:i/>
        </w:rPr>
        <w:t xml:space="preserve">A</w:t>
      </w:r>
      <w:r>
        <w:rPr>
          <w:vertAlign w:val="subscript"/>
        </w:rPr>
        <w:t xml:space="preserve">n</w:t>
      </w:r>
      <w:r>
        <w:t xml:space="preserve">,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Whether growth limitation in woody species is driven mostly by</w:t>
      </w:r>
      <w:r>
        <w:t xml:space="preserve"> </w:t>
      </w:r>
      <w:r>
        <w:rPr>
          <w:i/>
        </w:rPr>
        <w:t xml:space="preserve">A</w:t>
      </w:r>
      <w:r>
        <w:rPr>
          <w:vertAlign w:val="subscript"/>
        </w:rPr>
        <w:t xml:space="preserve">n</w:t>
      </w:r>
      <w:r>
        <w:t xml:space="preserve"> </w:t>
      </w:r>
      <w:r>
        <w:t xml:space="preserve">or other components of the C balance remains largely uncertain.</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w:t>
      </w:r>
      <w:r>
        <w:t xml:space="preserve"> </w:t>
      </w:r>
      <w:r>
        <w:t xml:space="preserve">and regulatory sugar signaling</w:t>
      </w:r>
      <w:r>
        <w:t xml:space="preserve"> </w:t>
      </w:r>
      <w:r>
        <w:t xml:space="preserve">(Eyles</w:t>
      </w:r>
      <w:r>
        <w:t xml:space="preserve"> </w:t>
      </w:r>
      <w:r>
        <w:rPr>
          <w:i/>
        </w:rPr>
        <w:t xml:space="preserve">et al.</w:t>
      </w:r>
      <w:r>
        <w:t xml:space="preserve">)</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content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w:t>
      </w:r>
      <w:r>
        <w:t xml:space="preserve">, stem</w:t>
      </w:r>
      <w:r>
        <w:rPr>
          <w:vertAlign w:val="subscript"/>
        </w:rPr>
        <w:t xml:space="preserve">0</w:t>
      </w:r>
      <w:r>
        <w:t xml:space="preserve"> </w:t>
      </w:r>
      <w:r>
        <w:t xml:space="preserve">and root</w:t>
      </w:r>
      <w:r>
        <w:rPr>
          <w:vertAlign w:val="subscript"/>
        </w:rPr>
        <w:t xml:space="preserve">0</w:t>
      </w:r>
      <w:r>
        <w:t xml:space="preserve">) and a starting leaf area (L</w:t>
      </w:r>
      <w:r>
        <w:rPr>
          <w:vertAlign w:val="subscript"/>
        </w:rPr>
        <w:t xml:space="preserve">0</w:t>
      </w:r>
      <w:r>
        <w:t xml:space="preserve">) measured prior to planting. The initial biomass of roots was divided evenly between fine and coarse roots. The daily net biomass production of seedlings (</w:t>
      </w:r>
      <w:r>
        <w:rPr>
          <w:i/>
        </w:rPr>
        <w:t xml:space="preserve">G</w:t>
      </w:r>
      <w:r>
        <w:t xml:space="preserve">), from</w:t>
      </w:r>
      <w:r>
        <w:t xml:space="preserve"> </w:t>
      </w:r>
      <w:r>
        <w:t xml:space="preserve">Mäkelä (1997)</w:t>
      </w:r>
      <w:r>
        <w:t xml:space="preserve">, is then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f>
            <m:fPr>
              <m:type m:val="bar"/>
            </m:fPr>
            <m:num>
              <m:r>
                <m:rPr/>
                <m:t>L</m:t>
              </m:r>
              <m:r>
                <m:rPr/>
                <m:t> </m:t>
              </m:r>
              <m:r>
                <m:rPr/>
                <m:t>P</m:t>
              </m:r>
              <m:r>
                <m:rPr/>
                <m:t> </m:t>
              </m:r>
              <m:r>
                <m:rPr/>
                <m:t>σ</m:t>
              </m:r>
              <m:r>
                <m:rPr/>
                <m:t>−</m:t>
              </m:r>
              <m:r>
                <m:rPr/>
                <m:t>R</m:t>
              </m:r>
            </m:num>
            <m:den>
              <m:r>
                <m:rPr/>
                <m:t>ϵ</m:t>
              </m:r>
            </m:den>
          </m:f>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t</m:t>
          </m:r>
          <m:r>
            <m:rPr/>
            <m:t>)</m:t>
          </m:r>
          <m:r>
            <m:rPr/>
            <m:t>=</m:t>
          </m:r>
          <m:sSub>
            <m:e>
              <m:r>
                <m:rPr/>
                <m:t>R</m:t>
              </m:r>
            </m:e>
            <m:sub>
              <m:r>
                <m:rPr>
                  <m:sty m:val="p"/>
                </m:rPr>
                <m:t>s</m:t>
              </m:r>
            </m:sub>
          </m:sSub>
          <m:sSub>
            <m:e>
              <m:r>
                <m:rPr/>
                <m:t>M</m:t>
              </m:r>
            </m:e>
            <m:sub>
              <m:r>
                <m:rPr>
                  <m:sty m:val="p"/>
                </m:rPr>
                <m:t>s</m:t>
              </m:r>
            </m:sub>
          </m:sSub>
          <m:r>
            <m:rPr/>
            <m:t> </m:t>
          </m:r>
          <m:r>
            <m:rPr/>
            <m:t>+</m:t>
          </m:r>
          <m:r>
            <m:rPr/>
            <m:t> </m:t>
          </m:r>
          <m:sSub>
            <m:e>
              <m:r>
                <m:rPr/>
                <m:t>R</m:t>
              </m:r>
            </m:e>
            <m:sub>
              <m:r>
                <m:rPr>
                  <m:sty m:val="p"/>
                </m:rPr>
                <m:t>f</m:t>
              </m:r>
              <m:r>
                <m:rPr>
                  <m:sty m:val="p"/>
                </m:rPr>
                <m:t>r</m:t>
              </m:r>
            </m:sub>
          </m:sSub>
          <m:sSub>
            <m:e>
              <m:r>
                <m:rPr/>
                <m:t>M</m:t>
              </m:r>
            </m:e>
            <m:sub>
              <m:r>
                <m:rPr>
                  <m:sty m:val="p"/>
                </m:rPr>
                <m:t>f</m:t>
              </m:r>
              <m:r>
                <m:rPr>
                  <m:sty m:val="p"/>
                </m:rPr>
                <m:t>r</m:t>
              </m:r>
            </m:sub>
          </m:sSub>
          <m:r>
            <m:rPr/>
            <m:t> </m:t>
          </m:r>
          <m:r>
            <m:rPr/>
            <m:t>+</m:t>
          </m:r>
          <m:r>
            <m:rPr/>
            <m:t> </m:t>
          </m:r>
          <m:sSub>
            <m:e>
              <m:r>
                <m:rPr/>
                <m:t>R</m:t>
              </m:r>
            </m:e>
            <m:sub>
              <m:r>
                <m:rPr>
                  <m:sty m:val="p"/>
                </m:rPr>
                <m:t>c</m:t>
              </m:r>
              <m:r>
                <m:rPr>
                  <m:sty m:val="p"/>
                </m:rPr>
                <m:t>r</m:t>
              </m:r>
            </m:sub>
          </m:sSub>
          <m:sSub>
            <m:e>
              <m:r>
                <m:rPr/>
                <m:t>M</m:t>
              </m:r>
            </m:e>
            <m:sub>
              <m:r>
                <m:rPr>
                  <m:sty m:val="p"/>
                </m:rPr>
                <m:t>c</m:t>
              </m:r>
              <m:r>
                <m:rPr>
                  <m:sty m:val="p"/>
                </m:rPr>
                <m:t>r</m:t>
              </m:r>
            </m:sub>
          </m:sSub>
        </m:oMath>
      </m:oMathPara>
    </w:p>
    <w:p>
      <w:pPr>
        <w:pStyle w:val="BodyText"/>
      </w:pPr>
      <w:r>
        <w:t xml:space="preserve">where</w:t>
      </w:r>
      <w:r>
        <w:t xml:space="preserve"> </w:t>
      </w:r>
      <w:r>
        <w:rPr>
          <w:i/>
        </w:rPr>
        <w:t xml:space="preserve">R</w:t>
      </w:r>
      <w:r>
        <w:t xml:space="preserve"> </w:t>
      </w:r>
      <w:r>
        <w:t xml:space="preserve">is published or measured tissue respiration rates (g C g mass</w:t>
      </w:r>
      <w:r>
        <w:rPr>
          <w:vertAlign w:val="superscript"/>
        </w:rPr>
        <w:t xml:space="preserve">-1</w:t>
      </w:r>
      <w:r>
        <w:t xml:space="preserve"> </w:t>
      </w:r>
      <w:r>
        <w:t xml:space="preserve">d</w:t>
      </w:r>
      <w:r>
        <w:rPr>
          <w:vertAlign w:val="superscript"/>
        </w:rPr>
        <w:t xml:space="preserve">-1</w:t>
      </w:r>
      <w:r>
        <w:t xml:space="preserve">) of stems (s), fine roots (fr) and coarse roots (cr) and</w:t>
      </w:r>
      <w:r>
        <w:t xml:space="preserve"> </w:t>
      </w:r>
      <w:r>
        <w:rPr>
          <w:i/>
        </w:rPr>
        <w:t xml:space="preserve">M</w:t>
      </w:r>
      <w:r>
        <w:t xml:space="preserve"> </w:t>
      </w:r>
      <w:r>
        <w:t xml:space="preserve">is the modelled standing biomass for each tissue component (g). Leaf respiration is included in the calculation of</w:t>
      </w:r>
      <w:r>
        <w:t xml:space="preserve"> </w:t>
      </w:r>
      <w:r>
        <w:rPr>
          <w:i/>
        </w:rPr>
        <w:t xml:space="preserve">P</w:t>
      </w:r>
      <w:r>
        <w:t xml:space="preserve">. The change in each tissue component biomass (</w:t>
      </w:r>
      <w:r>
        <w:rPr>
          <w:i/>
        </w:rPr>
        <w:t xml:space="preserve">M</w:t>
      </w:r>
      <w:r>
        <w:t xml:space="preserve">) on daily time steps, including leaves, stems, fine roots and coarse roots, is given by</w:t>
      </w:r>
    </w:p>
    <w:p>
      <w:pPr>
        <w:pStyle w:val="BodyText"/>
      </w:pPr>
      <w:r>
        <w:br w:type="textWrapping"/>
      </w:r>
      <w:r>
        <w:t xml:space="preserve">(3)</w:t>
      </w:r>
    </w:p>
    <w:p>
      <w:pPr>
        <w:pStyle w:val="BodyText"/>
      </w:pPr>
      <m:oMathPara>
        <m:oMathParaPr>
          <m:jc m:val="center"/>
        </m:oMathParaPr>
        <m:oMath>
          <m:f>
            <m:fPr>
              <m:type m:val="bar"/>
            </m:fPr>
            <m:num>
              <m:r>
                <m:rPr/>
                <m:t>d</m:t>
              </m:r>
              <m:r>
                <m:rPr/>
                <m:t>M</m:t>
              </m:r>
            </m:num>
            <m:den>
              <m:r>
                <m:rPr/>
                <m:t>d</m:t>
              </m:r>
              <m:r>
                <m:rPr/>
                <m:t>t</m:t>
              </m:r>
            </m:den>
          </m:f>
          <m:r>
            <m:rPr/>
            <m:t>=</m:t>
          </m:r>
          <m:r>
            <m:rPr/>
            <m:t>θ</m:t>
          </m:r>
          <m:r>
            <m:rPr/>
            <m:t> </m:t>
          </m:r>
          <m:r>
            <m:rPr/>
            <m:t>P</m:t>
          </m:r>
          <m:r>
            <m:rPr/>
            <m:t>(</m:t>
          </m:r>
          <m:r>
            <m:rPr/>
            <m:t>t</m:t>
          </m:r>
          <m:r>
            <m:rPr/>
            <m:t>)</m:t>
          </m:r>
          <m:r>
            <m:rPr/>
            <m:t> </m:t>
          </m:r>
          <m:r>
            <m:rPr/>
            <m:t>−</m:t>
          </m:r>
          <m:r>
            <m:rPr/>
            <m:t> </m:t>
          </m:r>
          <m:r>
            <m:rPr/>
            <m:t>(</m:t>
          </m:r>
          <m:r>
            <m:rPr/>
            <m:t>Λ</m:t>
          </m:r>
          <m:r>
            <m:rPr/>
            <m:t> </m:t>
          </m:r>
          <m:r>
            <m:rPr/>
            <m:t>M</m:t>
          </m:r>
          <m:r>
            <m:rPr/>
            <m:t>)</m:t>
          </m:r>
        </m:oMath>
      </m:oMathPara>
    </w:p>
    <w:p>
      <w:pPr>
        <w:pStyle w:val="BodyText"/>
      </w:pPr>
      <w:r>
        <w:t xml:space="preserve">where</w:t>
      </w:r>
      <w:r>
        <w:t xml:space="preserve"> </w:t>
      </w:r>
      <m:oMath>
        <m:r>
          <m:rPr/>
          <m:t>θ</m:t>
        </m:r>
      </m:oMath>
      <w:r>
        <w:t xml:space="preserve"> </w:t>
      </w:r>
      <w:r>
        <w:t xml:space="preserve">is the component specific biomass partitioning to whole plant biomass (%) and</w:t>
      </w:r>
      <w:r>
        <w:t xml:space="preserve"> </w:t>
      </w:r>
      <m:oMath>
        <m:r>
          <m:rPr/>
          <m:t>Λ</m:t>
        </m:r>
      </m:oMath>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Heading2"/>
      </w:pPr>
      <w:bookmarkStart w:id="32" w:name="model-parameters-and-simulations"/>
      <w:bookmarkEnd w:id="32"/>
      <w:r>
        <w:t xml:space="preserve">Model parameters and simulations</w:t>
      </w:r>
    </w:p>
    <w:p>
      <w:pPr>
        <w:pStyle w:val="FirstParagraph"/>
      </w:pP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seedlings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P</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P</w:t>
      </w:r>
      <w:r>
        <w:t xml:space="preserve"> </w:t>
      </w:r>
      <w:r>
        <w:t xml:space="preserve">by first scaling values to the free seedling control.</w:t>
      </w:r>
    </w:p>
    <w:p>
      <w:pPr>
        <w:pStyle w:val="Heading2"/>
      </w:pPr>
      <w:bookmarkStart w:id="33" w:name="data-analysis"/>
      <w:bookmarkEnd w:id="33"/>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4" w:name="results"/>
      <w:bookmarkEnd w:id="34"/>
      <w:r>
        <w:t xml:space="preserve">Results</w:t>
      </w:r>
    </w:p>
    <w:p>
      <w:pPr>
        <w:pStyle w:val="Heading2"/>
      </w:pPr>
      <w:bookmarkStart w:id="35" w:name="growth-and-morphology"/>
      <w:bookmarkEnd w:id="35"/>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6" w:name="leaf-and-root-chemistry"/>
      <w:bookmarkEnd w:id="36"/>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7" w:name="gas-exchange-and-photosynthetic-parameters"/>
      <w:bookmarkEnd w:id="37"/>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similarity indicates that nutrient leaching from free seedlings or from draining of containers following natural rainfall events did not differ between treatments.</w:t>
      </w:r>
    </w:p>
    <w:p>
      <w:pPr>
        <w:pStyle w:val="Heading2"/>
      </w:pPr>
      <w:bookmarkStart w:id="38" w:name="modelling-seedling-biomass"/>
      <w:bookmarkEnd w:id="38"/>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9" w:name="discussion"/>
      <w:bookmarkEnd w:id="39"/>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0" w:name="reductions-in-growth-and-physiology-under-sink-limitation"/>
      <w:bookmarkEnd w:id="40"/>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nutrient content or water availability,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it is likely that nutrient uptake was affected in the smallest containers instead of TNC dilution in leaves. It it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1" w:name="biomass-partitioning-under-sink-limitation"/>
      <w:bookmarkEnd w:id="41"/>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2" w:name="do-reductions-in-photosynthesis-explain-reductions-in-seedling-growth"/>
      <w:bookmarkEnd w:id="42"/>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noteworty as partial accounting of the different mechaninsms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3" w:name="conclusions"/>
      <w:bookmarkEnd w:id="43"/>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Although biomass partitioning was conserved, our empirical and model results suggest that the amount of photosynthate allocated to non-biomass pools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 C. Although this may be true, our results imply that quantifying the fate of assimilated C into known pools of growth, storage and C loss are needed prior to addressing this debate.</w:t>
      </w:r>
    </w:p>
    <w:p>
      <w:pPr>
        <w:pStyle w:val="BodyText"/>
      </w:pPr>
      <w:r>
        <w:t xml:space="preserve">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w:t>
      </w:r>
    </w:p>
    <w:p>
      <w:pPr>
        <w:pStyle w:val="BodyText"/>
      </w:pPr>
      <w:r>
        <w:t xml:space="preserve">The approach used here has the flexibility to account for multiple drivers of C allocation and provides an avenue to address future questions regarding the impact of environmental change on plant growth.</w:t>
      </w:r>
    </w:p>
    <w:p>
      <w:pPr>
        <w:pStyle w:val="Heading1"/>
      </w:pPr>
      <w:bookmarkStart w:id="44" w:name="tables"/>
      <w:bookmarkEnd w:id="44"/>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w:t>
            </w:r>
            <w:r>
              <w:rPr>
                <w:vertAlign w:val="subscript"/>
                <w:b/>
              </w:rPr>
              <w:t xml:space="preserve">cmax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5" w:name="figures"/>
      <w:bookmarkEnd w:id="45"/>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8"/>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2" w:name="supporting-information"/>
      <w:bookmarkEnd w:id="52"/>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P</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Chapin FS</w:t>
      </w:r>
      <w:r>
        <w:rPr>
          <w:b/>
        </w:rPr>
        <w:t xml:space="preserve">,</w:t>
      </w:r>
      <w:r>
        <w:rPr>
          <w:b/>
        </w:rPr>
        <w:t xml:space="preserve"> </w:t>
      </w:r>
      <w:r>
        <w:rPr>
          <w:b w:val="0"/>
          <w:b/>
        </w:rPr>
        <w:t xml:space="preserve">Schulze E-D</w:t>
      </w:r>
      <w:r>
        <w:rPr>
          <w:b/>
        </w:rPr>
        <w:t xml:space="preserve">,</w:t>
      </w:r>
      <w:r>
        <w:rPr>
          <w:b/>
        </w:rPr>
        <w:t xml:space="preserve"> </w:t>
      </w:r>
      <w:r>
        <w:rPr>
          <w:b w:val="0"/>
          <w:b/>
        </w:rPr>
        <w:t xml:space="preserve">Mooney HA</w:t>
      </w:r>
      <w:r>
        <w:t xml:space="preserve">.</w:t>
      </w:r>
      <w:r>
        <w:t xml:space="preserve"> </w:t>
      </w:r>
      <w:r>
        <w:rPr>
          <w:b/>
        </w:rPr>
        <w:t xml:space="preserve">1990</w:t>
      </w:r>
      <w:r>
        <w:t xml:space="preserve">. The ecology and economics of storage in plants.</w:t>
      </w:r>
      <w:r>
        <w:t xml:space="preserve"> </w:t>
      </w:r>
      <w:r>
        <w:rPr>
          <w:i/>
        </w:rPr>
        <w:t xml:space="preserve">Annual review of ecology and systematics</w:t>
      </w:r>
      <w:r>
        <w:t xml:space="preserve"> </w:t>
      </w:r>
      <w:r>
        <w:rPr>
          <w:b/>
        </w:rPr>
        <w:t xml:space="preserve">21</w:t>
      </w:r>
      <w:r>
        <w:t xml:space="preserve">: 423–447.</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m:oMath>
        <m:r>
          <m:rPr/>
          <m:t>∖</m:t>
        </m:r>
      </m:oMath>
      <w:r>
        <w:t xml:space="preserve">textit{Eucalyptus} 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m:oMath>
        <m:r>
          <m:rPr/>
          <m:t>∖</m:t>
        </m:r>
      </m:oMath>
      <w:r>
        <w:t xml:space="preserve">textit{Metasequoia glyptostroboides} 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m:oMath>
        <m:r>
          <m:rPr/>
          <m:t>∖</m:t>
        </m:r>
      </m:oMath>
      <w:r>
        <w:t xml:space="preserve">textit{Eucalyptus grandis} 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m:oMath>
        <m:r>
          <m:rPr/>
          <m:t>∖</m:t>
        </m:r>
      </m:oMath>
      <w:r>
        <w:t xml:space="preserve">textit{Prunus cerasus} 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m:oMath>
        <m:r>
          <m:rPr/>
          <m:t>∖</m:t>
        </m:r>
      </m:oMath>
      <w:r>
        <w:t xml:space="preserve">textit{Betula pubescens}.</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m:oMath>
        <m:r>
          <m:rPr/>
          <m:t>∖</m:t>
        </m:r>
      </m:oMath>
      <w:r>
        <w:t xml:space="preserve">textit{Betula pendula} 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m:oMath>
        <m:r>
          <m:rPr/>
          <m:t>∖</m:t>
        </m:r>
      </m:oMath>
      <w:r>
        <w:t xml:space="preserve">textit{Betula pendula} 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m:oMath>
        <m:r>
          <m:rPr/>
          <m:t>∖</m:t>
        </m:r>
      </m:oMath>
      <w:r>
        <w:t xml:space="preserve">textit{Eucalyptus nitens} (Deane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 Cucumis sativus 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m:oMath>
        <m:r>
          <m:rPr/>
          <m:t>∖</m:t>
        </m:r>
      </m:oMath>
      <w:r>
        <w:t xml:space="preserve">textit{Coffea arabica} 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m:oMath>
        <m:r>
          <m:rPr/>
          <m:t>∖</m:t>
        </m:r>
      </m:oMath>
      <w:r>
        <w:t xml:space="preserve">textit{Eucalyptus globulus} 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d8156d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b50c58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