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 Main text: Introduction: Materials and methods: Results: Discussion: Acknowledgements: 7 figures (6 color), 3 tables Supporting information: 1 table</w:t>
      </w:r>
    </w:p>
    <w:p>
      <w:pPr>
        <w:pStyle w:val="Heading1"/>
      </w:pPr>
      <w:bookmarkStart w:id="22" w:name="summary"/>
      <w:bookmarkEnd w:id="22"/>
      <w:r>
        <w:t xml:space="preserve">Summary</w:t>
      </w:r>
    </w:p>
    <w:p>
      <w:pPr>
        <w:numPr>
          <w:numId w:val="1001"/>
          <w:ilvl w:val="0"/>
        </w:numPr>
      </w:pPr>
      <w:r>
        <w:t xml:space="preserve">Interpreting limitations to plant growth requires accounting of carbon (C) mass balance between uptake and allocation.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both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not large enough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 C balance and will correlate to plant growth. At shorter temporal scales, however, growth can instead be mediated by tissue C storage pools. This discrepancy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w:t>
      </w:r>
      <w:r>
        <w:t xml:space="preserve"> </w:t>
      </w:r>
      <w:r>
        <w:rPr>
          <w:i/>
        </w:rPr>
        <w:t xml:space="preserve">et al.</w:t>
      </w:r>
      <w:r>
        <w:t xml:space="preserve">, 2008)</w:t>
      </w:r>
      <w:r>
        <w:t xml:space="preserve">. Despite a wealth of studies, large uncertainties still remain regarding the coordination of C supply and growth of woody species.</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([N])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0,i</w:t>
      </w:r>
      <w:r>
        <w:t xml:space="preserve">, stem</w:t>
      </w:r>
      <w:r>
        <w:rPr>
          <w:vertAlign w:val="subscript"/>
        </w:rPr>
        <w:t xml:space="preserve">0,i</w:t>
      </w:r>
      <w:r>
        <w:t xml:space="preserve"> </w:t>
      </w:r>
      <w:r>
        <w:t xml:space="preserve">and root</w:t>
      </w:r>
      <w:r>
        <w:rPr>
          <w:vertAlign w:val="subscript"/>
        </w:rPr>
        <w:t xml:space="preserve">0,i</w:t>
      </w:r>
      <w:r>
        <w:t xml:space="preserve">) and a starting leaf area (L</w:t>
      </w:r>
      <w:r>
        <w:rPr>
          <w:vertAlign w:val="subscript"/>
        </w:rPr>
        <w:t xml:space="preserve">0,i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w:r>
        <w:t xml:space="preserve">$$P_i(t) = \frac{L_i(t-1)~Cday_i}~\sigma - R_i}{\epsilon}$$</w:t>
      </w:r>
    </w:p>
    <w:p>
      <w:pPr>
        <w:pStyle w:val="BodyText"/>
      </w:pPr>
      <w:r>
        <w:t xml:space="preserve">where</w:t>
      </w:r>
      <w:r>
        <w:t xml:space="preserve"> </w:t>
      </w:r>
      <w:r>
        <w:rPr>
          <w:i/>
        </w:rPr>
        <w:t xml:space="preserve">L</w:t>
      </w:r>
      <w:r>
        <w:rPr>
          <w:vertAlign w:val="subscript"/>
        </w:rPr>
        <w:t xml:space="preserve">i</w:t>
      </w:r>
      <w:r>
        <w:t xml:space="preserve"> </w:t>
      </w:r>
      <w:r>
        <w:t xml:space="preserve">is modelled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rPr>
          <w:vertAlign w:val="subscript"/>
        </w:rPr>
        <w:t xml:space="preserve">i</w:t>
      </w:r>
      <w:r>
        <w:t xml:space="preserve"> </w:t>
      </w:r>
      <w:r>
        <w:t xml:space="preserve">is the mass based total respiration of all tissue components (g C d</w:t>
      </w:r>
      <w:r>
        <w:rPr>
          <w:vertAlign w:val="superscript"/>
        </w:rPr>
        <w:t xml:space="preserve">-1</w:t>
      </w:r>
      <w:r>
        <w:t xml:space="preserve">). Here, i represents model runs for each experimental treatment (1:7). Total respiration was calculated as</w:t>
      </w:r>
    </w:p>
    <w:p>
      <w:pPr>
        <w:pStyle w:val="BodyText"/>
      </w:pPr>
      <w:r>
        <w:br w:type="textWrapping"/>
      </w:r>
      <w:r>
        <w:t xml:space="preserve">(2)</w:t>
      </w:r>
    </w:p>
    <w:p>
      <w:pPr>
        <w:pStyle w:val="BodyText"/>
      </w:pPr>
      <m:oMathPara>
        <m:oMathParaPr>
          <m:jc m:val="center"/>
        </m:oMathParaPr>
        <m:oMath>
          <m:sSub>
            <m:e>
              <m:r>
                <m:rPr/>
                <m:t>R</m:t>
              </m:r>
            </m:e>
            <m:sub>
              <m:r>
                <m:rPr/>
                <m:t>i</m:t>
              </m:r>
            </m:sub>
          </m:sSub>
          <m:r>
            <m:rPr/>
            <m:t>(</m:t>
          </m:r>
          <m:r>
            <m:rPr/>
            <m:t>t</m:t>
          </m:r>
          <m:r>
            <m:rPr/>
            <m:t>)</m:t>
          </m:r>
          <m:r>
            <m:rPr/>
            <m:t>=</m:t>
          </m:r>
          <m:sSubSup>
            <m:e>
              <m:r>
                <m:rPr/>
                <m:t>Σ</m:t>
              </m:r>
            </m:e>
            <m:sub>
              <m:r>
                <m:rPr/>
                <m:t>c</m:t>
              </m:r>
              <m:r>
                <m:rPr/>
                <m:t>=</m:t>
              </m:r>
              <m:r>
                <m:rPr/>
                <m:t>1</m:t>
              </m:r>
            </m:sub>
            <m:sup>
              <m:r>
                <m:rPr/>
                <m:t>3</m:t>
              </m:r>
            </m:sup>
          </m:sSubSup>
          <m:r>
            <m:rPr/>
            <m:t>(</m:t>
          </m:r>
          <m:sSub>
            <m:e>
              <m:r>
                <m:rPr/>
                <m:t>R</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measured tissue respiration rates of each woody tissue component, including fine roots, coarse roots and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c,i</w:t>
      </w:r>
      <w:r>
        <w:t xml:space="preserve"> </w:t>
      </w:r>
      <w:r>
        <w:t xml:space="preserve">is the modelled standing biomass of each component (g). Leaf respiration is included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c,i</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θ</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r>
                <m:rPr>
                  <m:sty m:val="p"/>
                </m:rPr>
                <m:t>,</m:t>
              </m:r>
              <m:r>
                <m:rPr>
                  <m:sty m:val="p"/>
                </m:rPr>
                <m:t>i</m:t>
              </m:r>
            </m:sub>
          </m:sSub>
          <m:r>
            <m:rPr/>
            <m:t>)</m:t>
          </m:r>
        </m:oMath>
      </m:oMathPara>
    </w:p>
    <w:p>
      <w:pPr>
        <w:pStyle w:val="BodyText"/>
      </w:pPr>
      <w:r>
        <w:t xml:space="preserve">where</w:t>
      </w:r>
      <w:r>
        <w:t xml:space="preserve"> </w:t>
      </w:r>
      <m:oMath>
        <m:r>
          <m:rPr/>
          <m:t>θ</m:t>
        </m:r>
      </m:oMath>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BodyText"/>
      </w:pPr>
      <w:r>
        <w:br w:type="textWrapping"/>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C</w:t>
      </w:r>
      <w:r>
        <w:rPr>
          <w:vertAlign w:val="subscript"/>
        </w:rPr>
        <w:t xml:space="preserve">day,i</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C</w:t>
      </w:r>
      <w:r>
        <w:rPr>
          <w:vertAlign w:val="subscript"/>
        </w:rPr>
        <w:t xml:space="preserve">day</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C</w:t>
      </w:r>
      <w:r>
        <w:rPr>
          <w:vertAlign w:val="subscript"/>
        </w:rPr>
        <w:t xml:space="preserve">day,i</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 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 content 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 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 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 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0.1 %. Using this optimized LMF, the modeled total biomass of seedlings for each soil volume treatment (</w:t>
      </w:r>
      <w:r>
        <w:rPr>
          <w:i/>
        </w:rPr>
        <w:t xml:space="preserve">M</w:t>
      </w:r>
      <w:r>
        <w:rPr>
          <w:vertAlign w:val="subscript"/>
        </w:rPr>
        <w:t xml:space="preserve">pots</w:t>
      </w:r>
      <w:r>
        <w:t xml:space="preserve">) was on average 23±2.4 g C more than measured seedling biomass when compared against predicted total net leaf C 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Next, we performed a series of model simulations to test possible C allocation scenarios to account for the over-predictions of seedling C mass. Running the model with observed treatment-specific LMF values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nonetheless overestimated mass C 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 and leaf N was considerably reduced for seedlings in containers. As leaf N reductions were detected with TNC-free leaf mass, it is likely that physical root restriction or decreased supply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drive changes in root N 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&amp;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w:t>
      </w:r>
      <w:r>
        <w:rPr>
          <w:i/>
        </w:rPr>
        <w:t xml:space="preserve">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w:t>
      </w:r>
      <w:r>
        <w:t xml:space="preserve"> </w:t>
      </w:r>
      <w:r>
        <w:rPr>
          <w:i/>
        </w:rPr>
        <w:t xml:space="preserve">et al.</w:t>
      </w:r>
      <w:r>
        <w:t xml:space="preserve">,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 C dynamics can easily lead to erroneous conclusions</w:t>
      </w:r>
      <w:r>
        <w:t xml:space="preserve"> </w:t>
      </w:r>
      <w:r>
        <w:t xml:space="preserve">(Valentini</w:t>
      </w:r>
      <w:r>
        <w:t xml:space="preserve"> </w:t>
      </w:r>
      <w:r>
        <w:rPr>
          <w:i/>
        </w:rPr>
        <w:t xml:space="preserve">et al.</w:t>
      </w:r>
      <w:r>
        <w:t xml:space="preserve">,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(a) leaf mass fraction set to treatment-specific final harvest values and (b) increases in respiration of non-leaf tissue components by 50 %. Open and filled symbols represent default model and harvest values, respectively,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DeLucia E</w:t>
      </w:r>
      <w:r>
        <w:rPr>
          <w:b/>
        </w:rPr>
        <w:t xml:space="preserve">,</w:t>
      </w:r>
      <w:r>
        <w:rPr>
          <w:b/>
        </w:rPr>
        <w:t xml:space="preserve"> </w:t>
      </w:r>
      <w:r>
        <w:rPr>
          <w:b w:val="0"/>
          <w:b/>
        </w:rPr>
        <w:t xml:space="preserve">Drake JE</w:t>
      </w:r>
      <w:r>
        <w:rPr>
          <w:b/>
        </w:rPr>
        <w:t xml:space="preserve">,</w:t>
      </w:r>
      <w:r>
        <w:rPr>
          <w:b/>
        </w:rPr>
        <w:t xml:space="preserve"> </w:t>
      </w:r>
      <w:r>
        <w:rPr>
          <w:b w:val="0"/>
          <w:b/>
        </w:rPr>
        <w:t xml:space="preserve">Thomas RB</w:t>
      </w:r>
      <w:r>
        <w:rPr>
          <w:b/>
        </w:rPr>
        <w:t xml:space="preserve">,</w:t>
      </w:r>
      <w:r>
        <w:rPr>
          <w:b/>
        </w:rPr>
        <w:t xml:space="preserve"> </w:t>
      </w:r>
      <w:r>
        <w:rPr>
          <w:b w:val="0"/>
          <w:b/>
        </w:rPr>
        <w:t xml:space="preserve">Gonzalez-Meler M</w:t>
      </w:r>
      <w:r>
        <w:t xml:space="preserve">.</w:t>
      </w:r>
      <w:r>
        <w:t xml:space="preserve"> </w:t>
      </w:r>
      <w:r>
        <w:rPr>
          <w:b/>
        </w:rPr>
        <w:t xml:space="preserve">2007</w:t>
      </w:r>
      <w:r>
        <w:t xml:space="preserve">.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1157–1167.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Lohier T</w:t>
      </w:r>
      <w:r>
        <w:rPr>
          <w:b/>
        </w:rPr>
        <w:t xml:space="preserve">,</w:t>
      </w:r>
      <w:r>
        <w:rPr>
          <w:b/>
        </w:rPr>
        <w:t xml:space="preserve"> </w:t>
      </w:r>
      <w:r>
        <w:rPr>
          <w:b w:val="0"/>
          <w:b/>
        </w:rPr>
        <w:t xml:space="preserve">Jabot F</w:t>
      </w:r>
      <w:r>
        <w:rPr>
          <w:b/>
        </w:rPr>
        <w:t xml:space="preserve">,</w:t>
      </w:r>
      <w:r>
        <w:rPr>
          <w:b/>
        </w:rPr>
        <w:t xml:space="preserve"> </w:t>
      </w:r>
      <w:r>
        <w:rPr>
          <w:b w:val="0"/>
          <w:b/>
        </w:rPr>
        <w:t xml:space="preserve">Meziane D</w:t>
      </w:r>
      <w:r>
        <w:rPr>
          <w:b/>
        </w:rPr>
        <w:t xml:space="preserve">,</w:t>
      </w:r>
      <w:r>
        <w:rPr>
          <w:b/>
        </w:rPr>
        <w:t xml:space="preserve"> </w:t>
      </w:r>
      <w:r>
        <w:rPr>
          <w:b w:val="0"/>
          <w:b/>
        </w:rPr>
        <w:t xml:space="preserve">Shipley B</w:t>
      </w:r>
      <w:r>
        <w:rPr>
          <w:b/>
        </w:rPr>
        <w:t xml:space="preserve">,</w:t>
      </w:r>
      <w:r>
        <w:rPr>
          <w:b/>
        </w:rPr>
        <w:t xml:space="preserve"> </w:t>
      </w:r>
      <w:r>
        <w:rPr>
          <w:b w:val="0"/>
          <w:b/>
        </w:rPr>
        <w:t xml:space="preserve">Reich PB</w:t>
      </w:r>
      <w:r>
        <w:rPr>
          <w:b/>
        </w:rPr>
        <w:t xml:space="preserve">,</w:t>
      </w:r>
      <w:r>
        <w:rPr>
          <w:b/>
        </w:rPr>
        <w:t xml:space="preserve"> </w:t>
      </w:r>
      <w:r>
        <w:rPr>
          <w:b w:val="0"/>
          <w:b/>
        </w:rPr>
        <w:t xml:space="preserve">Deffuant G</w:t>
      </w:r>
      <w:r>
        <w:t xml:space="preserve">.</w:t>
      </w:r>
      <w:r>
        <w:t xml:space="preserve"> </w:t>
      </w:r>
      <w:r>
        <w:rPr>
          <w:b/>
        </w:rPr>
        <w:t xml:space="preserve">2014</w:t>
      </w:r>
      <w:r>
        <w:t xml:space="preserve">. Explaining ontogenetic shifts in root–shoot scaling with transient dynamics.</w:t>
      </w:r>
      <w:r>
        <w:t xml:space="preserve"> </w:t>
      </w:r>
      <w:r>
        <w:rPr>
          <w:i/>
        </w:rPr>
        <w:t xml:space="preserve">Annals of Botany</w:t>
      </w:r>
      <w:r>
        <w:t xml:space="preserve"> </w:t>
      </w:r>
      <w:r>
        <w:rPr>
          <w:b/>
        </w:rPr>
        <w:t xml:space="preserve">114</w:t>
      </w:r>
      <w:r>
        <w:t xml:space="preserve">: 513–524.</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165e4f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bde92c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