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1,2</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r>
        <w:br w:type="textWrapping"/>
      </w:r>
      <w:r>
        <w:rPr>
          <w:vertAlign w:val="superscript"/>
        </w:rPr>
        <w:t xml:space="preserve">2</w:t>
      </w:r>
      <w:r>
        <w:t xml:space="preserve"> </w:t>
      </w:r>
      <w:r>
        <w:t xml:space="preserve">Corresponding author (</w:t>
      </w:r>
      <w:hyperlink r:id="rId21">
        <w:r>
          <w:rPr>
            <w:rStyle w:val="Hyperlink"/>
          </w:rPr>
          <w:t xml:space="preserve">courtneycampany@gmail.com</w:t>
        </w:r>
      </w:hyperlink>
      <w:r>
        <w:t xml:space="preserve">)</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RUNNING HEAD: SINK LIMITATION ALTERS SEEDLING CARBON BALANCE</w:t>
      </w:r>
    </w:p>
    <w:p>
      <w:pPr>
        <w:pStyle w:val="Heading1"/>
      </w:pPr>
      <w:bookmarkStart w:id="22" w:name="abstract"/>
      <w:bookmarkEnd w:id="22"/>
      <w:r>
        <w:t xml:space="preserve">Abstract</w:t>
      </w:r>
    </w:p>
    <w:p>
      <w:pPr>
        <w:pStyle w:val="FirstParagraph"/>
      </w:pPr>
      <w:r>
        <w:t xml:space="preserve">Interpreting limitations to plant growth requires understanding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reduced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Although belowground sink limitation resulted in a reduction of</w:t>
      </w:r>
      <w:r>
        <w:t xml:space="preserve"> </w:t>
      </w:r>
      <w:r>
        <w:rPr>
          <w:i/>
        </w:rPr>
        <w:t xml:space="preserve">A</w:t>
      </w:r>
      <w:r>
        <w:rPr>
          <w:vertAlign w:val="subscript"/>
        </w:rPr>
        <w:t xml:space="preserve">n</w:t>
      </w:r>
      <w:r>
        <w:t xml:space="preserve">, the model concluded that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an unaccounted for pool of photosynthetic</w:t>
      </w:r>
      <w:r>
        <w:t xml:space="preserve"> </w:t>
      </w:r>
      <w:r>
        <w:rPr>
          <w:i/>
        </w:rPr>
        <w:t xml:space="preserve">C</w:t>
      </w:r>
      <w:r>
        <w:t xml:space="preserve"> </w:t>
      </w:r>
      <w:r>
        <w:t xml:space="preserve">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 </w:t>
      </w:r>
      <w:r>
        <w:t xml:space="preserve"> </w:t>
      </w:r>
      <w:r>
        <w:t xml:space="preserve"> </w:t>
      </w:r>
      <w:r>
        <w:t xml:space="preserve"> </w:t>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correspond with proportional responses in growth.</w:t>
      </w:r>
    </w:p>
    <w:p>
      <w:pPr>
        <w:pStyle w:val="BodyText"/>
      </w:pPr>
      <w:r>
        <w:br w:type="textWrapping"/>
      </w:r>
      <w:r>
        <w:t xml:space="preserve"> </w:t>
      </w:r>
      <w:r>
        <w:t xml:space="preserve"> </w:t>
      </w:r>
      <w:r>
        <w:t xml:space="preserve"> </w:t>
      </w:r>
      <w:r>
        <w:t xml:space="preserve"> </w:t>
      </w:r>
      <w:r>
        <w:t xml:space="preserve">Alternatively, manipulating plant tissue</w:t>
      </w:r>
      <w:r>
        <w:t xml:space="preserve"> </w:t>
      </w:r>
      <w:r>
        <w:rPr>
          <w:i/>
        </w:rPr>
        <w:t xml:space="preserve">C</w:t>
      </w:r>
      <w:r>
        <w:t xml:space="preserve"> </w:t>
      </w:r>
      <w:r>
        <w:t xml:space="preserve">sinks is often used to investigate the correlation between</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 </w:t>
      </w:r>
      <w:r>
        <w:t xml:space="preserve"> </w:t>
      </w:r>
      <w:r>
        <w:t xml:space="preserve"> </w:t>
      </w:r>
      <w:r>
        <w:t xml:space="preserve"> </w:t>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 </w:t>
      </w:r>
      <w:r>
        <w:t xml:space="preserve"> </w:t>
      </w:r>
      <w:r>
        <w:t xml:space="preserve"> </w:t>
      </w:r>
      <w:r>
        <w:t xml:space="preserve"> </w:t>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 </w:t>
      </w:r>
      <w:r>
        <w:t xml:space="preserve"> </w:t>
      </w:r>
      <w:r>
        <w:t xml:space="preserve"> </w:t>
      </w:r>
      <w:r>
        <w:t xml:space="preserve"> </w:t>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w:t>
      </w:r>
      <w:r>
        <w:t xml:space="preserve"> </w:t>
      </w:r>
      <w:r>
        <w:rPr>
          <w:i/>
        </w:rPr>
        <w:t xml:space="preserve">A</w:t>
      </w:r>
      <w:r>
        <w:rPr>
          <w:vertAlign w:val="subscript"/>
          <w:i/>
        </w:rPr>
        <w:t xml:space="preserve">n</w:t>
      </w:r>
      <w:r>
        <w:t xml:space="preserve">.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 </w:t>
      </w:r>
      <w:r>
        <w:t xml:space="preserve"> </w:t>
      </w:r>
      <w:r>
        <w:t xml:space="preserve"> </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 </w:t>
      </w:r>
      <w:r>
        <w:t xml:space="preserve"> </w:t>
      </w:r>
      <w:r>
        <w:t xml:space="preserve"> </w:t>
      </w:r>
      <w:r>
        <w:t xml:space="preserve"> </w:t>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 </w:t>
      </w:r>
      <w:r>
        <w:t xml:space="preserve"> </w:t>
      </w:r>
      <w:r>
        <w:t xml:space="preserve"> </w:t>
      </w:r>
      <w:r>
        <w:t xml:space="preserve"> </w:t>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 </w:t>
      </w:r>
      <w:r>
        <w:t xml:space="preserve"> </w:t>
      </w:r>
      <w:r>
        <w:t xml:space="preserve"> </w:t>
      </w:r>
      <w:r>
        <w:t xml:space="preserve"> </w:t>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BodyText"/>
      </w:pPr>
      <w:r>
        <w:br w:type="textWrapping"/>
      </w:r>
      <w:r>
        <w:t xml:space="preserve"> </w:t>
      </w:r>
      <w:r>
        <w:t xml:space="preserve"> </w:t>
      </w:r>
      <w:r>
        <w:t xml:space="preserve"> </w:t>
      </w:r>
      <w:r>
        <w:t xml:space="preserve"> </w:t>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 </w:t>
      </w:r>
      <w:r>
        <w:t xml:space="preserve"> </w:t>
      </w:r>
      <w:r>
        <w:t xml:space="preserve"> </w:t>
      </w:r>
      <w:r>
        <w:t xml:space="preserve"> </w:t>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num>
                <m:den>
                  <m:sSub>
                    <m:e>
                      <m:r>
                        <m:rPr/>
                        <m:t>ϵ</m:t>
                      </m:r>
                    </m:e>
                    <m:sub>
                      <m:r>
                        <m:rPr>
                          <m:sty m:val="p"/>
                        </m:rPr>
                        <m:t>c</m:t>
                      </m:r>
                    </m:sub>
                  </m:sSub>
                </m:den>
              </m:f>
            </m:e>
          </m:d>
          <m:r>
            <m:rPr/>
            <m:t>−</m:t>
          </m:r>
          <m:r>
            <m:rPr/>
            <m:t>R</m:t>
          </m:r>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 </w:t>
      </w:r>
      <w:r>
        <w:t xml:space="preserve"> </w:t>
      </w:r>
      <w:r>
        <w:t xml:space="preserve"> </w:t>
      </w:r>
      <w:r>
        <w:t xml:space="preserve"> </w:t>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 </w:t>
      </w:r>
      <w:r>
        <w:t xml:space="preserve"> </w:t>
      </w:r>
      <w:r>
        <w:t xml:space="preserve"> </w:t>
      </w:r>
      <w:r>
        <w:t xml:space="preserve"> </w:t>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pPr>
        <w:pStyle w:val="BodyText"/>
      </w:pPr>
      <w:r>
        <w:br w:type="textWrapping"/>
      </w:r>
      <w:r>
        <w:t xml:space="preserve"> </w:t>
      </w:r>
      <w:r>
        <w:t xml:space="preserve"> </w:t>
      </w:r>
      <w:r>
        <w:t xml:space="preserve"> </w:t>
      </w:r>
      <w:r>
        <w:t xml:space="preserve"> </w:t>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dry mass for both modeled and observed seedlings.</w:t>
      </w:r>
    </w:p>
    <w:p>
      <w:pPr>
        <w:pStyle w:val="BodyText"/>
      </w:pPr>
      <w:r>
        <w:br w:type="textWrapping"/>
      </w:r>
      <w:r>
        <w:t xml:space="preserve"> </w:t>
      </w:r>
      <w:r>
        <w:t xml:space="preserve"> </w:t>
      </w:r>
      <w:r>
        <w:t xml:space="preserve"> </w:t>
      </w:r>
      <w:r>
        <w:t xml:space="preserve"> </w:t>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 </w:t>
      </w:r>
      <w:r>
        <w:t xml:space="preserve"> </w:t>
      </w:r>
      <w:r>
        <w:t xml:space="preserve"> </w:t>
      </w:r>
      <w:r>
        <w:t xml:space="preserve"> </w:t>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3c).</w:t>
      </w:r>
    </w:p>
    <w:p>
      <w:pPr>
        <w:pStyle w:val="BodyText"/>
      </w:pPr>
      <w:r>
        <w:br w:type="textWrapping"/>
      </w:r>
      <w:r>
        <w:t xml:space="preserve"> </w:t>
      </w:r>
      <w:r>
        <w:t xml:space="preserve"> </w:t>
      </w:r>
      <w:r>
        <w:t xml:space="preserve"> </w:t>
      </w:r>
      <w:r>
        <w:t xml:space="preserve"> </w:t>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 </w:t>
      </w:r>
      <w:r>
        <w:t xml:space="preserve"> </w:t>
      </w:r>
      <w:r>
        <w:t xml:space="preserve"> </w:t>
      </w:r>
      <w:r>
        <w:t xml:space="preserve"> </w:t>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 </w:t>
      </w:r>
      <w:r>
        <w:t xml:space="preserve"> </w:t>
      </w:r>
      <w:r>
        <w:t xml:space="preserve"> </w:t>
      </w:r>
      <w:r>
        <w:t xml:space="preserve"> </w:t>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 (</w:t>
      </w:r>
      <w:r>
        <w:rPr>
          <w:i/>
        </w:rPr>
        <w:t xml:space="preserve">M</w:t>
      </w:r>
      <w:r>
        <w:rPr>
          <w:vertAlign w:val="subscript"/>
        </w:rPr>
        <w:t xml:space="preserve">free</w:t>
      </w:r>
      <w:r>
        <w:t xml:space="preserve">), successfully optimized a LMF (22.8 %)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 </w:t>
      </w:r>
      <w:r>
        <w:t xml:space="preserve"> </w:t>
      </w:r>
      <w:r>
        <w:t xml:space="preserve"> </w:t>
      </w:r>
      <w:r>
        <w:t xml:space="preserve"> </w:t>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likely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 </w:t>
      </w:r>
      <w:r>
        <w:t xml:space="preserve"> </w:t>
      </w:r>
      <w:r>
        <w:t xml:space="preserve"> </w:t>
      </w:r>
      <w:r>
        <w:t xml:space="preserve"> </w:t>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 </w:t>
      </w:r>
      <w:r>
        <w:t xml:space="preserve"> </w:t>
      </w:r>
      <w:r>
        <w:t xml:space="preserve"> </w:t>
      </w:r>
      <w:r>
        <w:t xml:space="preserve"> </w:t>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 </w:t>
      </w:r>
      <w:r>
        <w:t xml:space="preserve"> </w:t>
      </w:r>
      <w:r>
        <w:t xml:space="preserve"> </w:t>
      </w:r>
      <w:r>
        <w:t xml:space="preserve"> </w:t>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 </w:t>
      </w:r>
      <w:r>
        <w:t xml:space="preserve"> </w:t>
      </w:r>
      <w:r>
        <w:t xml:space="preserve"> </w:t>
      </w:r>
      <w:r>
        <w:t xml:space="preserve"> </w:t>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 </w:t>
      </w:r>
      <w:r>
        <w:t xml:space="preserve"> </w:t>
      </w:r>
      <w:r>
        <w:t xml:space="preserve"> </w:t>
      </w:r>
      <w:r>
        <w:t xml:space="preserve"> </w:t>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 </w:t>
      </w:r>
      <w:r>
        <w:t xml:space="preserve"> </w:t>
      </w:r>
      <w:r>
        <w:t xml:space="preserve"> </w:t>
      </w:r>
      <w:r>
        <w:t xml:space="preserve"> </w:t>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 </w:t>
      </w:r>
      <w:r>
        <w:t xml:space="preserve"> </w:t>
      </w:r>
      <w:r>
        <w:t xml:space="preserve"> </w:t>
      </w:r>
      <w:r>
        <w:t xml:space="preserve"> </w:t>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imply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m:oMath>
        <m:r>
          <m:rPr/>
          <m:t>∖</m:t>
        </m:r>
      </m:oMath>
      <w:r>
        <w:t xml:space="preserve">textit{Eucalyptus} species. Global Change Biology 21:459–472.</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YplantQMC: Plant architectural analysis with Yplant and QuasiMC.</w:t>
      </w:r>
      <w:r>
        <w:t xml:space="preserve"> </w:t>
      </w:r>
      <w:hyperlink r:id="rId55">
        <w:r>
          <w:rPr>
            <w:rStyle w:val="Hyperlink"/>
          </w:rPr>
          <w:t xml:space="preserve">http://www.remkoduursma.com/yplantqmc, https://www.bitbucket.org/remkoduursma/yplantqmc/</w:t>
        </w:r>
      </w:hyperlink>
    </w:p>
    <w:p>
      <w:pPr>
        <w:pStyle w:val="Bibliography"/>
      </w:pPr>
      <w:r>
        <w:t xml:space="preserve">Duursma RA (2015) Plantecophys - An R Package for Analysing and Modelling Leaf Gas Exchange Data. PLoS ONE 10</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m:oMath>
        <m:r>
          <m:rPr/>
          <m:t>∖</m:t>
        </m:r>
      </m:oMath>
      <w:r>
        <w:t xml:space="preserve">textit{Metasequoia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Biological Reviews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m:oMath>
        <m:r>
          <m:rPr/>
          <m:t>∖</m:t>
        </m:r>
      </m:oMath>
      <w:r>
        <w:t xml:space="preserve">textit{Eucalyptus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w:t>
      </w:r>
    </w:p>
    <w:p>
      <w:pPr>
        <w:pStyle w:val="Bibliography"/>
      </w:pPr>
      <w:r>
        <w:t xml:space="preserve">Layne DR, Flore JA (1995) End-product inhibition of photosynthesis in</w:t>
      </w:r>
      <w:r>
        <w:t xml:space="preserve"> </w:t>
      </w:r>
      <m:oMath>
        <m:r>
          <m:rPr/>
          <m:t>∖</m:t>
        </m:r>
      </m:oMath>
      <w:r>
        <w:t xml:space="preserve">textit{Prunus cerasus} 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w:t>
      </w:r>
      <w:r>
        <w:t xml:space="preserve"> </w:t>
      </w:r>
      <m:oMath>
        <m:r>
          <m:rPr/>
          <m:t>∖</m:t>
        </m:r>
      </m:oMath>
      <w:r>
        <w:t xml:space="preserve">textit{Betula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 72:94–103.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m:oMath>
        <m:r>
          <m:rPr/>
          <m:t>∖</m:t>
        </m:r>
      </m:oMath>
      <w:r>
        <w:t xml:space="preserve">textit{Betula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m:oMath>
        <m:r>
          <m:rPr/>
          <m:t>∖</m:t>
        </m:r>
      </m:oMath>
      <w:r>
        <w:t xml:space="preserve">textit{Betula pendula} 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w:t>
      </w:r>
      <w:r>
        <w:t xml:space="preserve"> </w:t>
      </w:r>
      <w:hyperlink r:id="rId56">
        <w:r>
          <w:rPr>
            <w:rStyle w:val="Hyperlink"/>
          </w:rPr>
          <w:t xml:space="preserve">http://cran.r-project.org/package=nlme</w:t>
        </w:r>
      </w:hyperlink>
    </w:p>
    <w:p>
      <w:pPr>
        <w:pStyle w:val="Bibliography"/>
      </w:pPr>
      <w:r>
        <w:t xml:space="preserve">Pinkard EA, Beadle CL, Davidson NJ, Battaglia M (1998) Photosynthetic responses of</w:t>
      </w:r>
      <w:r>
        <w:t xml:space="preserve"> </w:t>
      </w:r>
      <m:oMath>
        <m:r>
          <m:rPr/>
          <m:t>∖</m:t>
        </m:r>
      </m:oMath>
      <w:r>
        <w:t xml:space="preserve">textit{Eucalyptus nitens} (Deane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7">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m:oMath>
        <m:r>
          <m:rPr/>
          <m:t>∖</m:t>
        </m:r>
      </m:oMath>
      <w:r>
        <w:t xml:space="preserve">textit{Coffea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w:t>
      </w:r>
      <w:r>
        <w:rPr>
          <w:vertAlign w:val="subscript"/>
        </w:rPr>
        <w:t xml:space="preserve">2</w:t>
      </w:r>
      <w:r>
        <w:t xml:space="preserve"> </w:t>
      </w:r>
      <w:r>
        <w:t xml:space="preserve">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m:oMath>
        <m:r>
          <m:rPr/>
          <m:t>∖</m:t>
        </m:r>
      </m:oMath>
      <w:r>
        <w:t xml:space="preserve">textit{Eucalyptus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003B7">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510dec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