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48.png" ContentType="image/png"/>
  <Override PartName="/word/media/rId49.png" ContentType="image/png"/>
  <Override PartName="/word/media/rId47.png" ContentType="image/png"/>
  <Override PartName="/word/media/rId50.png" ContentType="image/png"/>
  <Override PartName="/word/media/rId52.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t xml:space="preserve">Eucalyptus</w:t>
      </w:r>
      <w:r>
        <w:t xml:space="preserve"> </w:t>
      </w:r>
      <w:r>
        <w:t xml:space="preserve">seedlings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This study used manipulations of soil volume to test how growth is coupled to physiology, C 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sown (free) seedlings. We developed a seedling growth model that utilized leaf photosynthesis rates (</w:t>
      </w:r>
      <w:r>
        <w:rPr>
          <w:i/>
        </w:rPr>
        <w:t xml:space="preserve">A</w:t>
      </w:r>
      <w:r>
        <w:t xml:space="preserve">) to allocate daily C 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leaf nitrogen content and starch accumulation. We then asked whether the observed reductions in</w:t>
      </w:r>
      <w:r>
        <w:t xml:space="preserve"> </w:t>
      </w:r>
      <w:r>
        <w:rPr>
          <w:i/>
        </w:rPr>
        <w:t xml:space="preserve">A</w:t>
      </w:r>
      <w:r>
        <w:t xml:space="preserve"> </w:t>
      </w:r>
      <w:r>
        <w:t xml:space="preserve">explained the observed differences in seedling biomass. We found that although belowground sink limitation resulted in down regulation of</w:t>
      </w:r>
      <w:r>
        <w:t xml:space="preserve"> </w:t>
      </w:r>
      <w:r>
        <w:rPr>
          <w:i/>
        </w:rPr>
        <w:t xml:space="preserve">A</w:t>
      </w:r>
      <w:r>
        <w:t xml:space="preserve">, these reductions were not large enough to explain observed growth responses. Thus, as</w:t>
      </w:r>
      <w:r>
        <w:t xml:space="preserve"> </w:t>
      </w:r>
      <w:r>
        <w:rPr>
          <w:i/>
        </w:rPr>
        <w:t xml:space="preserve">A</w:t>
      </w:r>
      <w:r>
        <w:t xml:space="preserve"> </w:t>
      </w:r>
      <w:r>
        <w:t xml:space="preserve">and growth were not tightly coordinated, excess photosynthetic C not attributed to biomass resulted in seedlings with soil volume restriction. These results highlight the need to further utilize mass balance approaches when evaluating plant C allocation and confirms that important feedbacks exist between belowground sink strength and leaf C uptake.</w:t>
      </w:r>
    </w:p>
    <w:p>
      <w:pPr>
        <w:pStyle w:val="Heading2"/>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and its relationship to C assimilation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photosynthesis (</w:t>
      </w:r>
      <w:r>
        <w:rPr>
          <w:i/>
        </w:rPr>
        <w:t xml:space="preserve">A</w:t>
      </w:r>
      <w:r>
        <w:t xml:space="preserve">) and respiratory losses together determine net C balance and will be coordinated to plant growth. At shorter temporal scales, however, growth can instead be mediated by tissue C storage pools. This has led to the current debate on how strongly plant growth is controlled by either source or sink activity. Consequently, plant growth cannot always be simply determined by the photosynthesis rate, making it complex to understand and challenging to model</w:t>
      </w:r>
      <w:r>
        <w:t xml:space="preserve"> </w:t>
      </w:r>
      <w:r>
        <w:t xml:space="preserve">(Fourcaud et al. 2008)</w:t>
      </w:r>
      <w:r>
        <w:t xml:space="preserve">. Despite a wealth of studies, large uncertainties still remain regarding the coordination of C supply and growth of woody species.</w:t>
      </w:r>
    </w:p>
    <w:p>
      <w:r>
        <w:br w:type="textWrapping"/>
      </w:r>
      <w:r>
        <w:t xml:space="preserve">In woody species, the coordination of</w:t>
      </w:r>
      <w:r>
        <w:t xml:space="preserve"> </w:t>
      </w:r>
      <w:r>
        <w:rPr>
          <w:i/>
        </w:rPr>
        <w:t xml:space="preserve">A</w:t>
      </w:r>
      <w:r>
        <w:t xml:space="preserve"> </w:t>
      </w:r>
      <w:r>
        <w:t xml:space="preserve">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t xml:space="preserve"> </w:t>
      </w:r>
      <w:r>
        <w:t xml:space="preserve">of the remaining foliage are commonly shown, yet are attributed to various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 2013)</w:t>
      </w:r>
      <w:r>
        <w:t xml:space="preserve">. However, increases in</w:t>
      </w:r>
      <w:r>
        <w:t xml:space="preserve"> </w:t>
      </w:r>
      <w:r>
        <w:rPr>
          <w:i/>
        </w:rPr>
        <w:t xml:space="preserve">A</w:t>
      </w:r>
      <w:r>
        <w:t xml:space="preserve"> </w:t>
      </w:r>
      <w:r>
        <w:t xml:space="preserve">in defoliation experiments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w:t>
      </w:r>
      <w:r>
        <w:t xml:space="preserve"> </w:t>
      </w:r>
      <w:r>
        <w:rPr>
          <w:i/>
        </w:rPr>
        <w:t xml:space="preserve">A</w:t>
      </w:r>
      <w:r>
        <w:t xml:space="preserve"> </w:t>
      </w:r>
      <w:r>
        <w:t xml:space="preserve">do not always infer similar responses in growth.</w:t>
      </w:r>
    </w:p>
    <w:p>
      <w:r>
        <w:br w:type="textWrapping"/>
      </w:r>
      <w:r>
        <w:t xml:space="preserve">Alternatively, manipulating plant tissue C sinks is often used to investigate the correlation of</w:t>
      </w:r>
      <w:r>
        <w:t xml:space="preserve"> </w:t>
      </w:r>
      <w:r>
        <w:rPr>
          <w:i/>
        </w:rPr>
        <w:t xml:space="preserve">A</w:t>
      </w:r>
      <w:r>
        <w:t xml:space="preserve"> </w:t>
      </w:r>
      <w:r>
        <w:t xml:space="preserve">and growth. This is because metabolic signaling networks, relaying information on C and N status of different tissues, can regulate photosynthetic activity</w:t>
      </w:r>
      <w:r>
        <w:t xml:space="preserve"> </w:t>
      </w:r>
      <w:r>
        <w:t xml:space="preserve">(Paul and Foyer 2001)</w:t>
      </w:r>
      <w:r>
        <w:t xml:space="preserve">. If sink inhibition of</w:t>
      </w:r>
      <w:r>
        <w:t xml:space="preserve"> </w:t>
      </w:r>
      <w:r>
        <w:rPr>
          <w:i/>
        </w:rPr>
        <w:t xml:space="preserve">A</w:t>
      </w:r>
      <w:r>
        <w:t xml:space="preserve"> </w:t>
      </w:r>
      <w:r>
        <w:t xml:space="preserve">occurs, a close coordination between declines in</w:t>
      </w:r>
      <w:r>
        <w:t xml:space="preserve"> </w:t>
      </w:r>
      <w:r>
        <w:rPr>
          <w:i/>
        </w:rPr>
        <w:t xml:space="preserve">A</w:t>
      </w:r>
      <w:r>
        <w:t xml:space="preserve"> </w:t>
      </w:r>
      <w:r>
        <w:t xml:space="preserve">and growth should be expected. Whether photosynthetic down regulation is evident in woody species has been tested through fruit removal, phloem girdling and low temperatures at high elevations. In these studies, down regulation of</w:t>
      </w:r>
      <w:r>
        <w:t xml:space="preserve"> </w:t>
      </w:r>
      <w:r>
        <w:rPr>
          <w:i/>
        </w:rPr>
        <w:t xml:space="preserve">A</w:t>
      </w:r>
      <w:r>
        <w:t xml:space="preserve"> </w:t>
      </w:r>
      <w:r>
        <w:t xml:space="preserve">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w:t>
      </w:r>
      <w:r>
        <w:t xml:space="preserve"> </w:t>
      </w:r>
      <w:r>
        <w:rPr>
          <w:i/>
        </w:rPr>
        <w:t xml:space="preserve">A</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r>
        <w:br w:type="textWrapping"/>
      </w:r>
      <w:r>
        <w:t xml:space="preserve">An alternative experimental approach is to reduce belowground C sink strength in tree seedlings by manipulating rooting volume, by varying the container size</w:t>
      </w:r>
      <w:r>
        <w:t xml:space="preserve"> </w:t>
      </w:r>
      <w:r>
        <w:t xml:space="preserve">(Arp 1991, NeSmith and Duval 1998, Poorter et al. 2012a)</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t xml:space="preserve">, water relations, nutrient uptake and respiration</w:t>
      </w:r>
      <w:r>
        <w:t xml:space="preserve"> </w:t>
      </w:r>
      <w:r>
        <w:t xml:space="preserve">(NeSmith and Duval 1998, Poorter et al. 2012a and references therein)</w:t>
      </w:r>
      <w:r>
        <w:t xml:space="preserve">. Inadequate rooting volume may decrease C 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(2012a)</w:t>
      </w:r>
      <w:r>
        <w:t xml:space="preserve"> </w:t>
      </w:r>
      <w:r>
        <w:t xml:space="preserve">concluded that</w:t>
      </w:r>
      <w:r>
        <w:t xml:space="preserve"> </w:t>
      </w:r>
      <w:r>
        <w:rPr>
          <w:i/>
        </w:rPr>
        <w:t xml:space="preserve">A</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t xml:space="preserve"> </w:t>
      </w:r>
      <w:r>
        <w:t xml:space="preserve">are coordinated.</w:t>
      </w:r>
    </w:p>
    <w:p>
      <w:r>
        <w:br w:type="textWrapping"/>
      </w:r>
      <w:r>
        <w:t xml:space="preserve">This study utilizes a novel field design to investigate the coordination between growth and</w:t>
      </w:r>
      <w:r>
        <w:t xml:space="preserve"> </w:t>
      </w:r>
      <w:r>
        <w:rPr>
          <w:i/>
        </w:rPr>
        <w:t xml:space="preserve">A</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w:t>
      </w:r>
      <w:r>
        <w:t xml:space="preserve"> </w:t>
      </w:r>
      <w:r>
        <w:rPr>
          <w:i/>
        </w:rPr>
        <w:t xml:space="preserve">A</w:t>
      </w:r>
      <w:r>
        <w:t xml:space="preserve">, to quantify seedling dry mass production over the 120 day experiment.</w:t>
      </w:r>
    </w:p>
    <w:p>
      <w:r>
        <w:br w:type="textWrapping"/>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r>
        <w:t xml:space="preserve">2). As the finite pool of rooting volume and soil nutrients will decline faster in trees growing in small containers, we expected reductions in partitioning to fine root mass relative to tree size with decreasing container size.</w:t>
      </w:r>
    </w:p>
    <w:p>
      <w:r>
        <w:t xml:space="preserve">3). Reduced sink strength was expected to lead to accumulation of leaf non-structural carbohydrates, and a resulting down regulation of A. We therefore expected a correlation between carbohydrate accumulation and photosynthetic capacity as a function of soil volume.</w:t>
      </w:r>
    </w:p>
    <w:p>
      <w:r>
        <w:t xml:space="preserve">4). Last, observed seedling mass was expected to correspond to growth model mass predicted from a simple C 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roots.Previous pot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containers was inspected after every rainfall event to determine if pooling had occurred.</w:t>
      </w:r>
    </w:p>
    <w:p>
      <w:pPr>
        <w:pStyle w:val="Heading2"/>
      </w:pPr>
      <w:bookmarkStart w:id="27" w:name="growth-and-morphology-metrics"/>
      <w:bookmarkEnd w:id="27"/>
      <w:r>
        <w:t xml:space="preserve">Growth and morphology metrics</w:t>
      </w:r>
    </w:p>
    <w:p>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r>
        <w:t xml:space="preserve">Leaf gas exchange measurements were performed fortnightly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and averaged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w:t>
      </w:r>
      <w:r>
        <w:t xml:space="preserve">2011)</w:t>
      </w:r>
      <w:r>
        <w:t xml:space="preserve">.</w:t>
      </w:r>
    </w:p>
    <w:p>
      <w:r>
        <w:br w:type="textWrapping"/>
      </w:r>
      <w:r>
        <w:t xml:space="preserve">Leaf dark respiration rates (R)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 are standardized rates at 25 °C using a 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w:t>
      </w:r>
      <w:r>
        <w:rPr>
          <w:vertAlign w:val="subscript"/>
        </w:rPr>
        <w:t xml:space="preserve">d</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certified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 N content. Similarly, TNC-free leaf N (N</w:t>
      </w:r>
      <w:r>
        <w:rPr>
          <w:vertAlign w:val="subscript"/>
        </w:rPr>
        <w:t xml:space="preserve">f</w:t>
      </w:r>
      <w:r>
        <w:t xml:space="preserve">, %) was calculated on all gas exchange leaves from leaf mass without TNC and leaf N content.</w:t>
      </w:r>
    </w:p>
    <w:p>
      <w:pPr>
        <w:pStyle w:val="Heading2"/>
      </w:pPr>
      <w:bookmarkStart w:id="31" w:name="seedling-growth-model"/>
      <w:bookmarkEnd w:id="31"/>
      <w:r>
        <w:t xml:space="preserve">Seedling growth model</w:t>
      </w:r>
    </w:p>
    <w:p>
      <w:r>
        <w:t xml:space="preserve">We developed a simple seedling growth model that utilized leaf</w:t>
      </w:r>
      <w:r>
        <w:t xml:space="preserve"> </w:t>
      </w:r>
      <w:r>
        <w:rPr>
          <w:i/>
        </w:rPr>
        <w:t xml:space="preserve">A</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C g mass</w:t>
      </w:r>
      <w:r>
        <w:rPr>
          <w:vertAlign w:val="superscript"/>
        </w:rPr>
        <w:t xml:space="preserve">-1</w:t>
      </w:r>
      <w:r>
        <w:t xml:space="preserve"> </w:t>
      </w:r>
      <w:r>
        <w:t xml:space="preserve">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 (explained below),</w:t>
      </w:r>
      <w:r>
        <w:t xml:space="preserve"> </w:t>
      </w:r>
      <m:oMath>
        <m:r>
          <m:rPr>
            <m:sty m:val="p"/>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 R is the mass based total respiration of all tissue components (g C d</w:t>
      </w:r>
      <w:r>
        <w:rPr>
          <w:vertAlign w:val="superscript"/>
        </w:rPr>
        <w:t xml:space="preserve">-1</w:t>
      </w:r>
      <w:r>
        <w:t xml:space="preserve">).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 in R with the mean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w:t>
      </w:r>
      <w:r>
        <w:rPr>
          <w:vertAlign w:val="subscript"/>
        </w:rPr>
        <w:t xml:space="preserve">d</w:t>
      </w:r>
      <w:r>
        <w:t xml:space="preserve"> </w:t>
      </w:r>
      <w:r>
        <w:t xml:space="preserve">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 g</w:t>
      </w:r>
      <w:r>
        <w:rPr>
          <w:vertAlign w:val="subscript"/>
        </w:rPr>
        <w:t xml:space="preserve">s</w:t>
      </w:r>
      <w:r>
        <w:t xml:space="preserve"> </w:t>
      </w:r>
      <w:r>
        <w:t xml:space="preserve">values. Methods of the coupled leaf gas exchange model are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t xml:space="preserve"> </w:t>
      </w:r>
      <w:r>
        <w:t xml:space="preserve">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w:t>
      </w:r>
      <w:r>
        <w:t xml:space="preserve"> </w:t>
      </w:r>
      <w:r>
        <w:rPr>
          <w:i/>
        </w:rPr>
        <w:t xml:space="preserve">A</w:t>
      </w:r>
      <w:r>
        <w:t xml:space="preserve"> </w:t>
      </w:r>
      <w:r>
        <w:t xml:space="preserve">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w:t>
      </w:r>
      <w:r>
        <w:t xml:space="preserve">Cieslak, Mik. Uses code by Robert Pearcy</w:t>
      </w:r>
      <w:r>
        <w:t xml:space="preserve"> </w:t>
      </w:r>
      <w:r>
        <w:t xml:space="preserve">and Medlyn.)</w:t>
      </w:r>
      <w:r>
        <w:t xml:space="preserve"> </w:t>
      </w:r>
      <w:r>
        <w:t xml:space="preserve">in R to build a 3D plant structure based on digitized metrics of plant allometry and crown structure. Inputting the same treatment specific physiological parameters listed above, 'YplantQMC' outputs total</w:t>
      </w:r>
      <w:r>
        <w:t xml:space="preserve"> </w:t>
      </w:r>
      <w:r>
        <w:rPr>
          <w:i/>
        </w:rPr>
        <w:t xml:space="preserve">A</w:t>
      </w:r>
      <w:r>
        <w:t xml:space="preserve">, using total leaf area, for seedlings assuming self-shading as well as for a full sun large horizontal leaf. The ratio of total</w:t>
      </w:r>
      <w:r>
        <w:t xml:space="preserve"> </w:t>
      </w:r>
      <w:r>
        <w:rPr>
          <w:i/>
        </w:rPr>
        <w:t xml:space="preserve">A</w:t>
      </w:r>
      <w:r>
        <w:t xml:space="preserve"> </w:t>
      </w:r>
      <w:r>
        <w:t xml:space="preserve">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r>
        <w:br w:type="textWrapping"/>
      </w:r>
      <w:r>
        <w:t xml:space="preserve">We then utilized this model to test the hypothesis that the effects of belowground sink limitation on rates of leaf</w:t>
      </w:r>
      <w:r>
        <w:t xml:space="preserve"> </w:t>
      </w:r>
      <w:r>
        <w:rPr>
          <w:i/>
        </w:rPr>
        <w:t xml:space="preserve">A</w:t>
      </w:r>
      <w:r>
        <w:t xml:space="preserve"> </w:t>
      </w:r>
      <w:r>
        <w:t xml:space="preserve">where sufficient to accurately predict overall seedling biomass production after 120 days. Each model run utilized changes in</w:t>
      </w:r>
      <w:r>
        <w:t xml:space="preserve"> </w:t>
      </w:r>
      <w:r>
        <w:rPr>
          <w:i/>
        </w:rPr>
        <w:t xml:space="preserve">A</w:t>
      </w:r>
      <w:r>
        <w:t xml:space="preserve"> </w:t>
      </w:r>
      <w:r>
        <w:t xml:space="preserve">and leaf mass fraction (LMF), with values of stem and root respiration rates, to generate total seedling mass and leaf area after 120 days. Cumulative net leaf C gain for each treatment was equal to the sum of each value of C</w:t>
      </w:r>
      <w:r>
        <w:rPr>
          <w:vertAlign w:val="subscript"/>
        </w:rPr>
        <w:t xml:space="preserve">day,i</w:t>
      </w:r>
      <w:r>
        <w:t xml:space="preserve"> </w:t>
      </w:r>
      <w:r>
        <w:t xml:space="preserve">over 120 days and final seedling C was assumed to equal half of the final mass for both modeled and observed seedlings.</w:t>
      </w:r>
    </w:p>
    <w:p>
      <w:r>
        <w:br w:type="textWrapping"/>
      </w:r>
      <w:r>
        <w:t xml:space="preserve">First, a default model was fitted with mean photosynthetic parameters from the free seedlings and then optimized to produce a LMF which correctly predicted both the leaf mass and total biomass of the harvested free seedling (M</w:t>
      </w:r>
      <w:r>
        <w:rPr>
          <w:vertAlign w:val="subscript"/>
        </w:rPr>
        <w:t xml:space="preserve">free</w:t>
      </w:r>
      <w:r>
        <w:t xml:space="preserve">). This optimized LMF was then used to constrain model runs with soil volume treatment specific C</w:t>
      </w:r>
      <w:r>
        <w:rPr>
          <w:vertAlign w:val="subscript"/>
        </w:rPr>
        <w:t xml:space="preserve">day</w:t>
      </w:r>
      <w:r>
        <w:t xml:space="preserve">, while keeping tissue respiration and turnover parameters constant, to determine if changes in leaf A alone could predict biomass of seedlings in containers (M</w:t>
      </w:r>
      <w:r>
        <w:rPr>
          <w:vertAlign w:val="subscript"/>
        </w:rPr>
        <w:t xml:space="preserve">pots</w:t>
      </w:r>
      <w:r>
        <w:t xml:space="preserve">). Next, model sensitivity to different C allocation scenarios, including observed treatment specific LMF and up regulation of non-leaf tissue respiration by 50 % of default values (M</w:t>
      </w:r>
      <w:r>
        <w:rPr>
          <w:vertAlign w:val="subscript"/>
        </w:rPr>
        <w:t xml:space="preserve">S1</w:t>
      </w:r>
      <w:r>
        <w:t xml:space="preserve"> </w:t>
      </w:r>
      <w:r>
        <w:t xml:space="preserve">and M</w:t>
      </w:r>
      <w:r>
        <w:rPr>
          <w:vertAlign w:val="subscript"/>
        </w:rPr>
        <w:t xml:space="preserve">S2</w:t>
      </w:r>
      <w:r>
        <w:t xml:space="preserve">, respectively), was used to improve model biomass predictions compared to measured harvest biomass. For all cases, seedling biomass production was compared between model output and harvested seedlings with treatment specific mean 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 A</w:t>
      </w:r>
      <w:r>
        <w:rPr>
          <w:vertAlign w:val="subscript"/>
        </w:rPr>
        <w:t xml:space="preserve">max</w:t>
      </w:r>
      <w:r>
        <w:t xml:space="preserve"> </w:t>
      </w:r>
      <w:r>
        <w:t xml:space="preserve">and leaf chemistry was performed using the 'nlme' package</w:t>
      </w:r>
      <w:r>
        <w:t xml:space="preserve"> </w:t>
      </w:r>
      <w:r>
        <w:t xml:space="preserve">(Pinheiro et al. 2014)</w:t>
      </w:r>
      <w:r>
        <w:t xml:space="preserve"> </w:t>
      </w:r>
      <w:r>
        <w:t xml:space="preserve">in R. Explained variance (R</w:t>
      </w:r>
      <w:r>
        <w:rPr>
          <w:vertAlign w:val="superscript"/>
        </w:rPr>
        <w:t xml:space="preserve">2</w:t>
      </w:r>
      <w:r>
        <w:t xml:space="preserve">) of mixed models were computed as in</w:t>
      </w:r>
      <w:r>
        <w:t xml:space="preserve"> </w:t>
      </w:r>
      <w:r>
        <w:t xml:space="preserve">(Nakagawa and Schielzeth 2013)</w:t>
      </w:r>
      <w:r>
        <w:t xml:space="preserve">.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 alpha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r>
        <w:t xml:space="preserve">Plant height, diameter and leaf area diverged between container volumes soon after start of the experiment (Figure 1). First, seedling leaf area significantly diverged between soil volumes (P &lt;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 &lt;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(Figure 1). Seedlings maintained diameter growth throughout the experiment, although marginal with smaller soil volumes in the final month. Final seedling height significantly increased with increasing soil volume (P &lt; 0.001). Increases in both final stem diameter (P &lt; 0.001) and cumulative leaf area (both P &lt; 0.001) were found with increasing soil volume and these differences were driven mainly by the largest container and the free seedling treatments.</w:t>
      </w:r>
    </w:p>
    <w:p>
      <w:r>
        <w:br w:type="textWrapping"/>
      </w:r>
      <w:r>
        <w:t xml:space="preserve">Total seedling biomass at harvest was significantly different across container volumes (P &lt; 0.001) and between container treatments and free seedlings (P &lt; 0.001, Table 1). On average, harvested biomass of free seedlings was 84% higher than seedlings in containers. Plant biomass was positively correlated with total leaf area across all treatments (R</w:t>
      </w:r>
      <w:r>
        <w:rPr>
          <w:vertAlign w:val="superscript"/>
        </w:rPr>
        <w:t xml:space="preserve">2</w:t>
      </w:r>
      <w:r>
        <w:t xml:space="preserve"> </w:t>
      </w:r>
      <w:r>
        <w:t xml:space="preserve">= 0.97, P &lt;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sty m:val="p"/>
              </m:rPr>
              <m:t>x</m:t>
            </m:r>
          </m:e>
        </m:bar>
      </m:oMath>
      <w:r>
        <w:t xml:space="preserve"> </w:t>
      </w:r>
      <w:r>
        <w:t xml:space="preserve">= 0.904, 95% CI = [0.846,1.119]) and a near identical ratio of leaf to fine root mass (Figure 3c).</w:t>
      </w:r>
    </w:p>
    <w:p>
      <w:r>
        <w:br w:type="textWrapping"/>
      </w:r>
      <w:r>
        <w:t xml:space="preserve">Overall, SRL was higher in seedlings in containers compared to free seedlings but only in some of the container size treatments (Table 2, P = 0.009). Fine root length density was significantly higher in the two smallest container sizes and was the lowest in the largest container size (Table 2, P &lt; 0.001). Over the duration of the experiment SLA</w:t>
      </w:r>
      <w:r>
        <w:rPr>
          <w:vertAlign w:val="subscript"/>
        </w:rPr>
        <w:t xml:space="preserve">f</w:t>
      </w:r>
      <w:r>
        <w:t xml:space="preserve"> </w:t>
      </w:r>
      <w:r>
        <w:t xml:space="preserve">was higher in free seedlings, but was not different across containers sizes (Table 1, P &lt; 0.001) and this pattern was evident beginning in the first gas exchange measurement campaign (P &lt; 0.001).</w:t>
      </w:r>
    </w:p>
    <w:p>
      <w:pPr>
        <w:pStyle w:val="Heading2"/>
      </w:pPr>
      <w:bookmarkStart w:id="35" w:name="leaf-and-root-chemistry"/>
      <w:bookmarkEnd w:id="35"/>
      <w:r>
        <w:t xml:space="preserve">Leaf and root chemistry</w:t>
      </w:r>
    </w:p>
    <w:p>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 P &lt; 0.001). Throughout the remainder of the experiment the smallest container volume had a significant reduction in leaf N</w:t>
      </w:r>
      <w:r>
        <w:rPr>
          <w:vertAlign w:val="subscript"/>
        </w:rPr>
        <w:t xml:space="preserve">f</w:t>
      </w:r>
      <w:r>
        <w:t xml:space="preserve"> </w:t>
      </w:r>
      <w:r>
        <w:t xml:space="preserve">compared to other soil volumes, while free seedlings maintained the highest leaf N</w:t>
      </w:r>
      <w:r>
        <w:rPr>
          <w:vertAlign w:val="subscript"/>
        </w:rPr>
        <w:t xml:space="preserve">f</w:t>
      </w:r>
      <w:r>
        <w:t xml:space="preserve"> </w:t>
      </w:r>
      <w:r>
        <w:t xml:space="preserve">(Table 1, P &lt; 0.001). Leaf starch content in the smallest container was ca. double that of free seedlings (P = 0.039), while leaf soluble sugars did not differ across treatments throughout the experiment (Table 1). Differences in leaf starch between the free seedling and the smallest container were evident during the first gas exchange campaign (P =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r>
        <w:t xml:space="preserve">At the first measurement campaign, both A</w:t>
      </w:r>
      <w:r>
        <w:rPr>
          <w:vertAlign w:val="subscript"/>
        </w:rPr>
        <w:t xml:space="preserve">sat</w:t>
      </w:r>
      <w:r>
        <w:t xml:space="preserve"> </w:t>
      </w:r>
      <w:r>
        <w:t xml:space="preserve">and A</w:t>
      </w:r>
      <w:r>
        <w:rPr>
          <w:vertAlign w:val="subscript"/>
        </w:rPr>
        <w:t xml:space="preserve">max</w:t>
      </w:r>
      <w:r>
        <w:t xml:space="preserve"> </w:t>
      </w:r>
      <w:r>
        <w:t xml:space="preserve">were significantly higher in the free seedling treatment compared to seedlings in containers (both P &lt; 0.001). Across all measurement campaigns mean A</w:t>
      </w:r>
      <w:r>
        <w:rPr>
          <w:vertAlign w:val="subscript"/>
        </w:rPr>
        <w:t xml:space="preserve">sat</w:t>
      </w:r>
      <w:r>
        <w:t xml:space="preserve"> </w:t>
      </w:r>
      <w:r>
        <w:t xml:space="preserve">(Figure 4) and 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 N on a mass basis was marginally significant (P = 0.058) but A</w:t>
      </w:r>
      <w:r>
        <w:rPr>
          <w:vertAlign w:val="subscript"/>
        </w:rPr>
        <w:t xml:space="preserve">max</w:t>
      </w:r>
      <w:r>
        <w:t xml:space="preserve"> </w:t>
      </w:r>
      <w:r>
        <w:t xml:space="preserve">on a mass basis was highly correlated to both leaf N content and leaf starch (both P &lt; 0.001). We used predictions from the linear mixed effect model equation to visualize these relationship of A</w:t>
      </w:r>
      <w:r>
        <w:rPr>
          <w:vertAlign w:val="subscript"/>
        </w:rPr>
        <w:t xml:space="preserve">max</w:t>
      </w:r>
      <w:r>
        <w:t xml:space="preserve"> </w:t>
      </w:r>
      <w:r>
        <w:t xml:space="preserve">to either leaf N content or leaf starch at multiple bin levels (n=5) of the co-variate parameter (Figure 5). Across all measurement campaigns and treatments A</w:t>
      </w:r>
      <w:r>
        <w:rPr>
          <w:vertAlign w:val="subscript"/>
        </w:rPr>
        <w:t xml:space="preserve">max</w:t>
      </w:r>
      <w:r>
        <w:t xml:space="preserve"> </w:t>
      </w:r>
      <w:r>
        <w:t xml:space="preserve">was higher when leaf N was also higher, usually associated with low levels of leaf starch (Figure 5a). A</w:t>
      </w:r>
      <w:r>
        <w:rPr>
          <w:vertAlign w:val="subscript"/>
        </w:rPr>
        <w:t xml:space="preserve">max</w:t>
      </w:r>
      <w:r>
        <w:t xml:space="preserve"> </w:t>
      </w:r>
      <w:r>
        <w:t xml:space="preserve">was also lower when leaf starch was high as higher leaf N often did not coincide with high leaf starch (Figure 5b). Overall, A</w:t>
      </w:r>
      <w:r>
        <w:rPr>
          <w:vertAlign w:val="subscript"/>
        </w:rPr>
        <w:t xml:space="preserve">max</w:t>
      </w:r>
      <w:r>
        <w:t xml:space="preserve"> </w:t>
      </w:r>
      <w:r>
        <w:t xml:space="preserve">was positively correlated with final harvest biomass across all seedlings (P &lt; 0.001).</w:t>
      </w:r>
    </w:p>
    <w:p>
      <w:r>
        <w:br w:type="textWrapping"/>
      </w:r>
      <w:r>
        <w:t xml:space="preserve">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 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g</w:t>
      </w:r>
      <w:r>
        <w:rPr>
          <w:vertAlign w:val="subscript"/>
        </w:rPr>
        <w:t xml:space="preserve">s</w:t>
      </w:r>
      <w:r>
        <w:t xml:space="preserve"> </w:t>
      </w:r>
      <w:r>
        <w:t xml:space="preserve">in free seedlings was generally higher than those in containers (Table 3. P &lt;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sty m:val="p"/>
              </m:rPr>
              <m:t>x</m:t>
            </m:r>
          </m:e>
        </m:bar>
      </m:oMath>
      <w:r>
        <w:t xml:space="preserve"> </w:t>
      </w:r>
      <w:r>
        <w:t xml:space="preserve">= 4.5 %), with minimal decreases from pre-planting value (</w:t>
      </w:r>
      <m:oMath>
        <m:bar>
          <m:barPr>
            <m:pos m:val="top"/>
          </m:barPr>
          <m:e>
            <m:r>
              <m:rPr>
                <m:sty m:val="p"/>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The default model M</w:t>
      </w:r>
      <w:r>
        <w:rPr>
          <w:vertAlign w:val="subscript"/>
        </w:rPr>
        <w:t xml:space="preserve">free</w:t>
      </w:r>
      <w:r>
        <w:t xml:space="preserve">, successfully optimized a LMF (21.6 %) which then allowed the model to predict mean harvest total biomass of free seedlings within 1.2 %. Using this optimized LMF, the total biomass of modeled seedlings for each soil volume treatment (M</w:t>
      </w:r>
      <w:r>
        <w:rPr>
          <w:vertAlign w:val="subscript"/>
        </w:rPr>
        <w:t xml:space="preserve">pots</w:t>
      </w:r>
      <w:r>
        <w:t xml:space="preserve">) were on average 23±2.4 g C more than measured seedling biomass when compared against predicted total net leaf C gain (Figure 6a). Thus, seedling C mass was overestimated by an average of 50±8.7 % in modeled seedlings across the soil volume treatments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r>
        <w:br w:type="textWrapping"/>
      </w:r>
      <w:r>
        <w:t xml:space="preserve">Next, we performed a series of model simulations to test possible C allocation scenarios to account for the over predictions of seedling C mass. Testing the sensitivity of the model to observed treatment-specific LMF from the final harvest (M</w:t>
      </w:r>
      <w:r>
        <w:rPr>
          <w:vertAlign w:val="subscript"/>
        </w:rPr>
        <w:t xml:space="preserve">S1</w:t>
      </w:r>
      <w:r>
        <w:t xml:space="preserve">), which were each lower than the optimized LMF value (see Figure 3a), improved model predictions of seedling C mass but still overestimated seedling total C by 32±11.1 % (Figure S1a). Using harvest values of LMF, however, does not capture the observed increase in leaf turnover of seedlings in small containers (Figure 1c). Thus, the use of harvest LMF values for seedlings in containers in M</w:t>
      </w:r>
      <w:r>
        <w:rPr>
          <w:vertAlign w:val="subscript"/>
        </w:rPr>
        <w:t xml:space="preserve">S1</w:t>
      </w:r>
      <w:r>
        <w:t xml:space="preserve"> </w:t>
      </w:r>
      <w:r>
        <w:t xml:space="preserve">likely underestimates daily C allocation to leaves over the final months of the experiment. Increases of 50 % in non-leaf tissue respiration (M</w:t>
      </w:r>
      <w:r>
        <w:rPr>
          <w:vertAlign w:val="subscript"/>
        </w:rPr>
        <w:t xml:space="preserve">S2</w:t>
      </w:r>
      <w:r>
        <w:t xml:space="preserve">) improved biomass estimates slightly but overestimated mass C by an average of 46±9.3 % in seedlings with soil volume restriction (Figure S1b). With 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t xml:space="preserve"> </w:t>
      </w:r>
      <w:r>
        <w:t xml:space="preserve">and growth by complementing empirical results with a C mass balance model. We found that reductions in leaf</w:t>
      </w:r>
      <w:r>
        <w:t xml:space="preserve"> </w:t>
      </w:r>
      <w:r>
        <w:rPr>
          <w:i/>
        </w:rPr>
        <w:t xml:space="preserve">A</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t xml:space="preserve">. However, there are several possible mechanisms that can explain reduced</w:t>
      </w:r>
      <w:r>
        <w:t xml:space="preserve"> </w:t>
      </w:r>
      <w:r>
        <w:rPr>
          <w:i/>
        </w:rPr>
        <w:t xml:space="preserve">A</w:t>
      </w:r>
      <w:r>
        <w:t xml:space="preserve"> </w:t>
      </w:r>
      <w:r>
        <w:t xml:space="preserve">in small containers including nutrient content, water or reduced sink strength</w:t>
      </w:r>
      <w:r>
        <w:t xml:space="preserve"> </w:t>
      </w:r>
      <w:r>
        <w:t xml:space="preserve">(Poorter et al. 2012a)</w:t>
      </w:r>
      <w:r>
        <w:t xml:space="preserve">. It was therefore necessary to examine each of these factors to determine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t xml:space="preserve">.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t xml:space="preserve"> </w:t>
      </w:r>
      <w:r>
        <w:t xml:space="preserve">in coffee plants were not attributed to impacts of container size on leaf water potentials or 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r>
        <w:br w:type="textWrapping"/>
      </w:r>
      <w:r>
        <w:t xml:space="preserve">Here, reductions in</w:t>
      </w:r>
      <w:r>
        <w:t xml:space="preserve"> </w:t>
      </w:r>
      <w:r>
        <w:rPr>
          <w:i/>
        </w:rPr>
        <w:t xml:space="preserve">A</w:t>
      </w:r>
      <w:r>
        <w:t xml:space="preserve"> </w:t>
      </w:r>
      <w:r>
        <w:t xml:space="preserve">were positively correlated with decreases in leaf N and leaf N was considerably reduced for seedlings in containers. As leaf N reductions were detected with TNC-free leaf mass, this suggests that physical root restriction or decreased supply likely affected seedling N uptake instead of TNC dilution in leaves in the smallest containers. Root N at the end of the experiment was on average higher in free seedlings but not consistently higher than every container volume treatment. Unrestricted mycorrhizal recruitment could have instead facilitated the increases in leaf N in free seedlings, but this effect is unknown. Combined with the fact that soil N declined evenly across all treatments, there was no clear mechanism present to identify changes in root N uptake between free seedlings and seedlings in containers. In these already low quality soils, it is possible that seedlings in containers simply grew into increasing N limitation which negatively affected belowground sink strength. Although no clear feedback could be determined between the available soil N pool and decreases in leaf N, the affects of belowground sink limitation on</w:t>
      </w:r>
      <w:r>
        <w:t xml:space="preserve"> </w:t>
      </w:r>
      <w:r>
        <w:rPr>
          <w:i/>
        </w:rPr>
        <w:t xml:space="preserve">A</w:t>
      </w:r>
      <w:r>
        <w:t xml:space="preserve"> </w:t>
      </w:r>
      <w:r>
        <w:t xml:space="preserve">of seedlings in containers was evident throughout the experiment.</w:t>
      </w:r>
    </w:p>
    <w:p>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t xml:space="preserve"> </w:t>
      </w:r>
      <w:r>
        <w:t xml:space="preserve">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r>
        <w:t xml:space="preserve">As biomass partitioning is likely controlled by the source and sink strength of all organs</w:t>
      </w:r>
      <w:r>
        <w:t xml:space="preserve"> </w:t>
      </w:r>
      <w:r>
        <w:t xml:space="preserve">(Poorter et al.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allocation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r>
        <w:br w:type="textWrapping"/>
      </w:r>
      <w:r>
        <w:t xml:space="preserve">As partitioning to fine roots did not change this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show that FRLD was highest in smallest containers suggesting that root restriction likely occurred as simple function of available rooting space. Alternatively, physical restriction of root proliferation could also have impacted root development and morphology prior to shifts in mass partitioning. Here, increases in SRL where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r>
        <w:t xml:space="preserve">Our model used a simple approach to drive seedling growth with measured reductions in leaf</w:t>
      </w:r>
      <w:r>
        <w:t xml:space="preserve"> </w:t>
      </w:r>
      <w:r>
        <w:rPr>
          <w:i/>
        </w:rPr>
        <w:t xml:space="preserve">A</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t xml:space="preserve"> </w:t>
      </w:r>
      <w:r>
        <w:t xml:space="preserve">can not fully explain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w:t>
      </w:r>
      <w:r>
        <w:t xml:space="preserve">Le Roux</w:t>
      </w:r>
      <w:r>
        <w:t xml:space="preserve"> </w:t>
      </w:r>
      <w:r>
        <w:t xml:space="preserve">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t xml:space="preserve">, however, the robust empirical based methods used to generate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t xml:space="preserve"> </w:t>
      </w:r>
      <w:r>
        <w:t xml:space="preserve">affect models which distinguish the fate of assimilate C within a plant. Doing so will provide valuable input to future models as assimilate allocation is a key component in carbon-balance driven plant growth models, yet C partitioning remains a key weakness</w:t>
      </w:r>
      <w:r>
        <w:t xml:space="preserve"> </w:t>
      </w:r>
      <w:r>
        <w:t xml:space="preserve">(Lacointe 2000)</w:t>
      </w:r>
      <w:r>
        <w:t xml:space="preserve">. To address this issue, we utilized the flexibility of this model to test plausible fates of the pool of simulated non-biomass C unaccounted for with observed mass balance. Similar to Lohier et al.</w:t>
      </w:r>
      <w:r>
        <w:t xml:space="preserve"> </w:t>
      </w:r>
      <w:r>
        <w:t xml:space="preserve">(2014)</w:t>
      </w:r>
      <w:r>
        <w:t xml:space="preserve"> </w:t>
      </w:r>
      <w:r>
        <w:t xml:space="preserve">we manipulated processes contributing to modeled seedling C mass balance, including changes to leaf C allocation or non-leaf tissue respiration, to quantitatively test their respective influences on model predictions.</w:t>
      </w:r>
    </w:p>
    <w:p>
      <w:r>
        <w:br w:type="textWrapping"/>
      </w:r>
      <w:r>
        <w:t xml:space="preserve">Using measured LMF from the harvest, instead of the optimized seedling control (M</w:t>
      </w:r>
      <w:r>
        <w:rPr>
          <w:vertAlign w:val="subscript"/>
        </w:rPr>
        <w:t xml:space="preserve">S1</w:t>
      </w:r>
      <w:r>
        <w:t xml:space="preserve">), improved biomass predictions and provided insight into how sink limitation can impact leaf C allocation beyond</w:t>
      </w:r>
      <w:r>
        <w:t xml:space="preserve"> </w:t>
      </w:r>
      <w:r>
        <w:rPr>
          <w:i/>
        </w:rPr>
        <w:t xml:space="preserve">A</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t xml:space="preserve"> </w:t>
      </w:r>
      <w:r>
        <w:t xml:space="preserve">and the fate of C allocated to growth, respiration and C storage in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S2</w:t>
      </w:r>
      <w:r>
        <w:t xml:space="preserve">) improved biomass predictions but to a far lesser extent than changes to leaf C 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 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 C balance is a delicate equilibrium between fluxes of</w:t>
      </w:r>
      <w:r>
        <w:t xml:space="preserve"> </w:t>
      </w:r>
      <w:r>
        <w:rPr>
          <w:i/>
        </w:rPr>
        <w:t xml:space="preserve">A</w:t>
      </w:r>
      <w:r>
        <w:t xml:space="preserve"> </w:t>
      </w:r>
      <w:r>
        <w:t xml:space="preserve">and respiration, partial accounting of C dynamics can easily lead to erroneous conclusions (Valentini et al. 2000). These results infer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r>
        <w:t xml:space="preserve">With a novel field-based design we detected a massive effect of container volume on seedling growth, not between containers but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non-photosynthesis parameters were kept constant changes in</w:t>
      </w:r>
      <w:r>
        <w:t xml:space="preserve"> </w:t>
      </w:r>
      <w:r>
        <w:rPr>
          <w:i/>
        </w:rPr>
        <w:t xml:space="preserve">A</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t xml:space="preserve"> </w:t>
      </w:r>
      <w:r>
        <w:t xml:space="preserve">through the demand for C. Although this may be true, our results infer that quantifying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The approach used here has the flexibility to account for multiple drivers of C allocation and provides an avenue to address future questions regarding the impact of environmental change on plant growth.</w:t>
      </w:r>
    </w:p>
    <w:p>
      <w:pPr>
        <w:pStyle w:val="Heading1"/>
      </w:pPr>
      <w:bookmarkStart w:id="43" w:name="list-of-tables"/>
      <w:bookmarkEnd w:id="43"/>
      <w:r>
        <w:t xml:space="preserve">List of 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2.</w:t>
      </w:r>
      <w:r>
        <w:t xml:space="preserve"> </w:t>
      </w:r>
      <w:r>
        <w:t xml:space="preserve">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are only calculated for seedlings in containers as free seedlings have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p>
      <w:r>
        <w:br w:type="textWrapping"/>
      </w:r>
      <w:r>
        <w:rPr>
          <w:b/>
        </w:rPr>
        <w:t xml:space="preserve">Table S1</w:t>
      </w:r>
      <w:r>
        <w:t xml:space="preserve">. Seedling growth model default parameters.</w:t>
      </w:r>
    </w:p>
    <w:p>
      <w:pPr>
        <w:pStyle w:val="Heading1"/>
      </w:pPr>
      <w:bookmarkStart w:id="44" w:name="list-of-figures"/>
      <w:bookmarkEnd w:id="44"/>
      <w:r>
        <w:t xml:space="preserve">List of Figures</w:t>
      </w:r>
    </w:p>
    <w:p>
      <w:r>
        <w:rPr>
          <w:b/>
        </w:rPr>
        <w:t xml:space="preserve">Figure 1</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br w:type="textWrapping"/>
      </w:r>
      <w:r>
        <w:rPr>
          <w:b/>
        </w:rPr>
        <w:t xml:space="preserve">Figure 2</w:t>
      </w:r>
      <w:r>
        <w:t xml:space="preserve">. Daily maximum and minimum temperature (a), total daily PPFD (b), and daily maximum vapour pressure deficit (c) across the experiment duration in 2013.</w:t>
      </w:r>
    </w:p>
    <w:p>
      <w:r>
        <w:br w:type="textWrapping"/>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(R</w:t>
      </w:r>
      <w:r>
        <w:rPr>
          <w:vertAlign w:val="superscript"/>
        </w:rPr>
        <w:t xml:space="preserve">2</w:t>
      </w:r>
      <w:r>
        <w:t xml:space="preserve"> </w:t>
      </w:r>
      <w:r>
        <w:t xml:space="preserve">= 0.82) with equation: log(x) = 0.983(log(y)) - 0.036.</w:t>
      </w:r>
    </w:p>
    <w:p>
      <w:r>
        <w:br w:type="textWrapping"/>
      </w:r>
      <w:r>
        <w:rPr>
          <w:b/>
        </w:rPr>
        <w:t xml:space="preserve">Figure 4</w:t>
      </w:r>
      <w:r>
        <w:t xml:space="preserve">. Soil volume treatment means ± standard error, across all measurement campaigns (n = 6), of light saturated rates of photosynthesis at 25°C. Different letters represent significant differences between treatments.</w:t>
      </w:r>
    </w:p>
    <w:p>
      <w:r>
        <w:br w:type="textWrapping"/>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br w:type="textWrapping"/>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r>
        <w:br w:type="textWrapping"/>
      </w:r>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45" w:name="tables"/>
      <w:bookmarkEnd w:id="45"/>
      <w:r>
        <w:t xml:space="preserve">Tables</w:t>
      </w:r>
    </w:p>
    <w:p>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mean(standard error) for each treatment. Seedling mass and leaf</w:t>
      </w:r>
      <w:r>
        <w:t xml:space="preserve"> </w:t>
      </w:r>
      <m:oMath>
        <m:r>
          <m:rPr>
            <m:sty m:val="p"/>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 d</w:t>
            </w:r>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r>
        <w:rPr>
          <w:b/>
        </w:rPr>
        <w:t xml:space="preserve">Table 2.</w:t>
      </w:r>
      <w:r>
        <w:t xml:space="preserve"> </w:t>
      </w:r>
      <w:r>
        <w:t xml:space="preserve">Responses of root characteristics of</w:t>
      </w:r>
      <w:r>
        <w:t xml:space="preserve"> </w:t>
      </w:r>
      <w:r>
        <w:rPr>
          <w:i/>
        </w:rPr>
        <w:t xml:space="preserve">Eucalyptus tereticornis</w:t>
      </w:r>
      <w:r>
        <w:t xml:space="preserve"> </w:t>
      </w:r>
      <w:r>
        <w:t xml:space="preserve">seedlings to soil volume treatments. Each value reflects the mean(standard error) for each treatment. All values are from the final harvest. Values for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Pr>
              <w:pStyle w:val="Compact"/>
            </w:pPr>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r>
        <w:br w:type="textWrapping"/>
      </w:r>
      <w:r>
        <w:rPr>
          <w:b/>
        </w:rPr>
        <w:t xml:space="preserve">Table 3.</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A</w:t>
      </w:r>
      <w:r>
        <w:rPr>
          <w:vertAlign w:val="subscript"/>
        </w:rPr>
        <w:t xml:space="preserve">max</w:t>
      </w:r>
      <w:r>
        <w:t xml:space="preserve">, R and g</w:t>
      </w:r>
      <w:r>
        <w:rPr>
          <w:vertAlign w:val="subscript"/>
        </w:rPr>
        <w:t xml:space="preserve">s</w:t>
      </w:r>
      <w:r>
        <w:t xml:space="preserve"> </w:t>
      </w:r>
      <w:r>
        <w:t xml:space="preserve">are each measured at 25 °C.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A</w:t>
            </w:r>
            <w:r>
              <w:rPr>
                <w:vertAlign w:val="subscript"/>
                <w:b/>
              </w:rPr>
              <w:t xml:space="preserve">max</w:t>
            </w:r>
            <w:r>
              <w:rPr>
                <w:b/>
              </w:rPr>
              <w:t xml:space="preserve"> </w:t>
            </w:r>
            <w:r>
              <w:rPr>
                <w:b/>
              </w:rPr>
              <w:t xml:space="preserve">(</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sty m:val="p"/>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6" w:name="figures"/>
      <w:bookmarkEnd w:id="46"/>
      <w:r>
        <w:t xml:space="preserve">Figures</w:t>
      </w:r>
    </w:p>
    <w:p>
      <w:r>
        <w:drawing>
          <wp:inline>
            <wp:extent cx="5440680" cy="7074141"/>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7"/>
                    <a:stretch>
                      <a:fillRect/>
                    </a:stretch>
                  </pic:blipFill>
                  <pic:spPr bwMode="auto">
                    <a:xfrm>
                      <a:off x="0" y="0"/>
                      <a:ext cx="5440680" cy="7074141"/>
                    </a:xfrm>
                    <a:prstGeom prst="rect">
                      <a:avLst/>
                    </a:prstGeom>
                    <a:noFill/>
                    <a:ln w="9525">
                      <a:noFill/>
                      <a:headEnd/>
                      <a:tailEnd/>
                    </a:ln>
                  </pic:spPr>
                </pic:pic>
              </a:graphicData>
            </a:graphic>
          </wp:inline>
        </w:drawing>
      </w:r>
    </w:p>
    <w:p>
      <w:r>
        <w:rPr>
          <w:b/>
        </w:rPr>
        <w:t xml:space="preserve">Figure 1</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8"/>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9"/>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51"/>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pPr>
        <w:pStyle w:val="Heading1"/>
      </w:pPr>
      <w:bookmarkStart w:id="53" w:name="supporting-information"/>
      <w:bookmarkEnd w:id="53"/>
      <w:r>
        <w:t xml:space="preserve">Supporting Information</w:t>
      </w:r>
    </w:p>
    <w:p>
      <w:r>
        <w:rPr>
          <w:b/>
        </w:rPr>
        <w:t xml:space="preserve">Table S1</w:t>
      </w:r>
      <w:r>
        <w:t xml:space="preserve">.Seedling growth model default parameters.</w:t>
      </w:r>
    </w:p>
    <w:tbl>
      <w:tblPr>
        <w:tblStyle w:val="TableNormal"/>
        <w:tblW w:type="pct" w:w="0.0"/>
      </w:tblPr>
      <w:tblGrid/>
      <w:t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sty m:val="p"/>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sty m:val="p"/>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4"/>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w:t>
      </w:r>
    </w:p>
    <w:p>
      <w:pPr>
        <w:pStyle w:val="Heading1"/>
      </w:pPr>
      <w:bookmarkStart w:id="55" w:name="references"/>
      <w:bookmarkEnd w:id="55"/>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Cieslak, Mik. Uses code by Robert Pearcy</w:t>
      </w:r>
      <w:r>
        <w:t xml:space="preserve"> </w:t>
      </w:r>
      <w:r>
        <w:t xml:space="preserve">RDQ, Medlyn. B YplantQMC: Plant architectural analysis with Yplant and QuasiMC.</w:t>
      </w:r>
      <w:r>
        <w:t xml:space="preserve"> </w:t>
      </w:r>
      <w:hyperlink r:id="rId56">
        <w:r>
          <w:rPr>
            <w:rStyle w:val="Link"/>
          </w:rPr>
          <w:t xml:space="preserve">http://www.remkoduursma.com/yplantqmc, https://www.bitbucket.org/remkoduursma/yplantqmc/</w:t>
        </w:r>
      </w:hyperlink>
    </w:p>
    <w:p>
      <w:pPr>
        <w:pStyle w:val="Bibliography"/>
      </w:pPr>
      <w:r>
        <w:t xml:space="preserve">Crous KY, Quentin AG, Lin Y-S, Medlyn BE, Williams DG, Barton CVM, Ellsworth DS (2013) Photosynthesis of temperate 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RA (2015) Plantecophys - An R Package for Analysing and Modelling Leaf Gas Exchange Data. PLoS ONE 10:e0143346.</w:t>
      </w:r>
      <w:r>
        <w:t xml:space="preserve"> </w:t>
      </w:r>
      <w:hyperlink r:id="rId57">
        <w:r>
          <w:rPr>
            <w:rStyle w:val="Link"/>
          </w:rPr>
          <w:t xml:space="preserve">http://dx.doi.org/10.1371{\%}2Fjournal.pone.0143346</w:t>
        </w:r>
      </w:hyperlink>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 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r>
        <w:t xml:space="preserve"> </w:t>
      </w:r>
      <w:hyperlink r:id="rId58">
        <w:r>
          <w:rPr>
            <w:rStyle w:val="Link"/>
          </w:rPr>
          <w:t xml:space="preserve">http://dx.doi.org/10.1007/978-0-387-78341-3\_5</w:t>
        </w:r>
      </w:hyperlink>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Le Roux</w:t>
      </w:r>
      <w:r>
        <w:t xml:space="preserve"> </w:t>
      </w:r>
      <w:r>
        <w:t xml:space="preserve">X, Lacointe A, Escobar-Gutiérrez A,</w:t>
      </w:r>
      <w:r>
        <w:t xml:space="preserve"> </w:t>
      </w:r>
      <w:r>
        <w:t xml:space="preserve">Le Dizès</w:t>
      </w:r>
      <w:r>
        <w:t xml:space="preserve"> </w:t>
      </w:r>
      <w:r>
        <w:t xml:space="preserve">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w:t>
      </w:r>
      <w:r>
        <w:rPr>
          <w:vertAlign w:val="superscript"/>
        </w:rPr>
        <w:t xml:space="preserve">2</w:t>
      </w:r>
      <w:r>
        <w:t xml:space="preserve"> </w:t>
      </w:r>
      <w:r>
        <w:t xml:space="preserve">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431:169–177.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(2014) {nlme}: Linear and Nonlinear Mixed Effects Models.</w:t>
      </w:r>
      <w:r>
        <w:t xml:space="preserve"> </w:t>
      </w:r>
      <w:hyperlink r:id="rId59">
        <w:r>
          <w:rPr>
            <w:rStyle w:val="Link"/>
          </w:rPr>
          <w:t xml:space="preserve">http://cran.r-project.org/package=nlme</w:t>
        </w:r>
      </w:hyperlink>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(2012a)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(2012b)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0">
        <w:r>
          <w:rPr>
            <w:rStyle w:val="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CO2 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236eb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hyperlink" Id="rId59" Target="http://cran.r-project.org/package=nlme" TargetMode="External" /><Relationship Type="http://schemas.openxmlformats.org/officeDocument/2006/relationships/hyperlink" Id="rId58" Target="http://dx.doi.org/10.1007/978-0-387-78341-3\_5" TargetMode="External" /><Relationship Type="http://schemas.openxmlformats.org/officeDocument/2006/relationships/hyperlink" Id="rId57" Target="http://dx.doi.org/10.1371{\%}2Fjournal.pone.0143346" TargetMode="External" /><Relationship Type="http://schemas.openxmlformats.org/officeDocument/2006/relationships/hyperlink" Id="rId60"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9" Target="http://cran.r-project.org/package=nlme" TargetMode="External" /><Relationship Type="http://schemas.openxmlformats.org/officeDocument/2006/relationships/hyperlink" Id="rId58" Target="http://dx.doi.org/10.1007/978-0-387-78341-3\_5" TargetMode="External" /><Relationship Type="http://schemas.openxmlformats.org/officeDocument/2006/relationships/hyperlink" Id="rId57" Target="http://dx.doi.org/10.1371{\%}2Fjournal.pone.0143346" TargetMode="External" /><Relationship Type="http://schemas.openxmlformats.org/officeDocument/2006/relationships/hyperlink" Id="rId60" Target="http://www.r-project.org" TargetMode="External" /><Relationship Type="http://schemas.openxmlformats.org/officeDocument/2006/relationships/hyperlink" Id="rId56"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