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Heading1"/>
      </w:pPr>
      <w:bookmarkStart w:id="22" w:name="summary"/>
      <w:bookmarkEnd w:id="22"/>
      <w:r>
        <w:t xml:space="preserve">Summary</w:t>
      </w:r>
    </w:p>
    <w:p>
      <w:pPr>
        <w:pStyle w:val="FirstParagraph"/>
      </w:pPr>
      <w:r>
        <w:t xml:space="preserve">Sink limitation is known to reduce plant growth, but it is not known how plant carbon (C) balance is affected, limiting our ability to predict growth under sink-limited conditions. 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seedlings. Container volume negatively affected aboveground growth throughout the experiment, but after 120 days, biomass distribution in leaves, stems and roots was not different. Photosynthetic capacity was significantly reduced in containerized seedlings, and was related to both reduced leaf nitrogen content and starch accumulation. However, the reduction in net leaf photosynthesis over the growth period was insufficient to explain the reduction in growth, so that we also observed a reduction in whole-plant C use efficiency (CUE) with container size. Our results show that sink limitation affects plant growth through feedbacks to both photosynthesis and CUE. Mass balance approaches to predicting plant growth under sink-limited conditions need to incorporate both of these feedbacks.</w:t>
      </w:r>
      <w:r>
        <w:t xml:space="preserve"> </w:t>
      </w:r>
      <w:r>
        <w:rPr>
          <w:i/>
        </w:rPr>
        <w:t xml:space="preserve">quantitative results and refer to figure</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and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and Foyer 2001, Ainsworth et al. 2004, Ronchi et al. 2006, Nebauer et al. 2011)</w:t>
      </w:r>
      <w:r>
        <w:t xml:space="preserve">, but there is also evidence that photosynthesis and growth are decoupled under sink limitation</w:t>
      </w:r>
      <w:r>
        <w:t xml:space="preserve"> </w:t>
      </w:r>
      <w:r>
        <w:t xml:space="preserve">(Muller et al. 2011, Leuzinger et al.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(Fatichi et al.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 et al.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 et al. 1997, Ainsworth and Rogers 2007)</w:t>
      </w:r>
      <w:r>
        <w:t xml:space="preserve">. This increased photosynthetic uptake is often observed to drive an increase in plant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 et al. 1998, Hamilton et al. 2002, Schäfer et al.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and Flore 1995)</w:t>
      </w:r>
      <w:r>
        <w:t xml:space="preserve"> </w:t>
      </w:r>
      <w:r>
        <w:t xml:space="preserve">or enhanced leaf nutrient status</w:t>
      </w:r>
      <w:r>
        <w:t xml:space="preserve"> </w:t>
      </w:r>
      <w:r>
        <w:t xml:space="preserve">(Turnbull et al. 2007, Pinkard et al. 2011)</w:t>
      </w:r>
      <w:r>
        <w:t xml:space="preserve">, or more direct effects of modified sink-source balance such as, reduction in end-product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 Pinkard et al. 2011)</w:t>
      </w:r>
      <w:r>
        <w:t xml:space="preserve">, and regulatory sugar signaling</w:t>
      </w:r>
      <w:r>
        <w:t xml:space="preserve"> </w:t>
      </w:r>
      <w:r>
        <w:t xml:space="preserve">(Eyles et al.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 Walls, et al. 1993, Markkola et al. 2004, Palacio et al.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 et al. 2002, Urban and Alphonsout 2007, Haouari et al.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and Duval 1998, Poorter, Bühler, et al. 2012)</w:t>
      </w:r>
      <w:r>
        <w:t xml:space="preserve">. Inadequate rooting volume can decrease C sink strength by progressively restricting root growth in growing plants</w:t>
      </w:r>
      <w:r>
        <w:t xml:space="preserve"> </w:t>
      </w:r>
      <w:r>
        <w:t xml:space="preserve">(Thomas and Strain 1991)</w:t>
      </w:r>
      <w:r>
        <w:t xml:space="preserve">. In a comprehensive meta-analysis, Poorter</w:t>
      </w:r>
      <w:r>
        <w:t xml:space="preserve"> </w:t>
      </w:r>
      <w:r>
        <w:rPr>
          <w:i/>
        </w:rPr>
        <w:t xml:space="preserve">et al.</w:t>
      </w:r>
      <w:r>
        <w:t xml:space="preserve"> </w:t>
      </w:r>
      <w:r>
        <w:t xml:space="preserve">(2012)</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and Bazzaz 1991, Gunderson and Wullschleger 1994, Sage 1994, Maina et al. 2002, Ronchi et al. 2006)</w:t>
      </w:r>
      <w:r>
        <w:t xml:space="preserve">. Poorter</w:t>
      </w:r>
      <w:r>
        <w:t xml:space="preserve"> </w:t>
      </w:r>
      <w:r>
        <w:rPr>
          <w:i/>
        </w:rPr>
        <w:t xml:space="preserve">et al.</w:t>
      </w:r>
      <w:r>
        <w:t xml:space="preserve"> </w:t>
      </w:r>
      <w:r>
        <w:t xml:space="preserve">(2012)</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which physiological process best explains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(western Sydney) cohort. Six additional seedlings were harvested before planting to measure initial leaf area and dry mass of leaves, stems and roots. Six container volumes were used ranging from 5 L to 35 L, with a 22.5 cm diameter, and lengths ranging from 15 to 100 cm. Containers were constructed of PVC pipe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artefact.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 30 min).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Leaves used in each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 et al.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and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w:t>
      </w:r>
      <w:r>
        <w:t xml:space="preserve"> </w:t>
      </w:r>
      <w:r>
        <w:rPr>
          <w:i/>
        </w:rPr>
        <w:t xml:space="preserve">J</w:t>
      </w:r>
      <w:r>
        <w:rPr>
          <w:vertAlign w:val="subscript"/>
        </w:rPr>
        <w:t xml:space="preserve">max</w:t>
      </w:r>
      <w:r>
        <w:t xml:space="preserve"> </w:t>
      </w:r>
      <w:r>
        <w:t xml:space="preserve">/</w:t>
      </w:r>
      <w:r>
        <w:t xml:space="preserve"> </w:t>
      </w:r>
      <w:r>
        <w:rPr>
          <w:i/>
        </w:rPr>
        <w:t xml:space="preserve">V</w:t>
      </w:r>
      <w:r>
        <w:rPr>
          <w:vertAlign w:val="subscript"/>
        </w:rPr>
        <w:t xml:space="preserve">cmax</w:t>
      </w:r>
      <w:r>
        <w:t xml:space="preserve"> </w:t>
      </w:r>
      <w:r>
        <w:t xml:space="preserve">ratio was conserved across all treatments (1.6±0.02), which is consistent with findings across many tree species</w:t>
      </w:r>
      <w:r>
        <w:t xml:space="preserve"> </w:t>
      </w:r>
      <w:r>
        <w:t xml:space="preserve">(Medlyn 1996, Leuning 1997, Medlyn et al. 1999, Warren et al. 2003, Crous et al.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(mean of .045 %), with minimal decreases from pre-planting values (mean of =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growth.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 Bühler, et al. 2012)</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and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 et al.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 et al.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content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once ontogenetic drift was taken into account (Figure 3a,b). A conserved ratio of fine root mass to leaf mass was observed across all treatments, suggesting that seedlings maintained homeostasis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 et al. 2008)</w:t>
      </w:r>
      <w:r>
        <w:t xml:space="preserve">. Here, we found that fine root length density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specific root length were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reveals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 et al. 2000)</w:t>
      </w:r>
      <w:r>
        <w:t xml:space="preserve">. For example, the fraction of photosynthate used in respiration is known to vary depending on species and local environmental conditions</w:t>
      </w:r>
      <w:r>
        <w:t xml:space="preserve"> </w:t>
      </w:r>
      <w:r>
        <w:t xml:space="preserve">(Lambers et al.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that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novel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author-contributions"/>
      <w:bookmarkEnd w:id="44"/>
      <w:r>
        <w:t xml:space="preserve">Author Contributions</w:t>
      </w:r>
    </w:p>
    <w:p>
      <w:pPr>
        <w:pStyle w:val="FirstParagraph"/>
      </w:pPr>
      <w:r>
        <w:t xml:space="preserve">CC contributed to the design of the research, data analysis, collection, interpretation and writing the manuscript. BM contributed to the design of the research, interpretation and writing the manuscript. RD contributed to the design of the research, data analysis, interpretation and writing the manuscript.</w:t>
      </w:r>
    </w:p>
    <w:p>
      <w:pPr>
        <w:pStyle w:val="Heading1"/>
      </w:pPr>
      <w:bookmarkStart w:id="45" w:name="tables"/>
      <w:bookmarkEnd w:id="45"/>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1319.444444444443"/>
        <w:tblLook w:firstRow="1"/>
      </w:tblPr>
      <w:tblGrid>
        <w:gridCol w:w="2750"/>
        <w:gridCol w:w="2530"/>
        <w:gridCol w:w="2860"/>
        <w:gridCol w:w="2310"/>
        <w:gridCol w:w="2310"/>
        <w:gridCol w:w="2090"/>
        <w:gridCol w:w="308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5625.0"/>
        <w:tblLook w:firstRow="1"/>
      </w:tblPr>
      <w:tblGrid>
        <w:gridCol w:w="2750"/>
        <w:gridCol w:w="1760"/>
        <w:gridCol w:w="2090"/>
        <w:gridCol w:w="231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15277.777777777777"/>
        <w:tblLook w:firstRow="1"/>
      </w:tblPr>
      <w:tblGrid>
        <w:gridCol w:w="2750"/>
        <w:gridCol w:w="4069"/>
        <w:gridCol w:w="4180"/>
        <w:gridCol w:w="4069"/>
        <w:gridCol w:w="4180"/>
        <w:gridCol w:w="3300"/>
        <w:gridCol w:w="165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6" w:name="figures"/>
      <w:bookmarkEnd w:id="46"/>
      <w:r>
        <w:t xml:space="preserve">Figures</w:t>
      </w:r>
    </w:p>
    <w:p>
      <w:pPr>
        <w:pStyle w:val="FirstParagraph"/>
      </w:pPr>
      <w:r>
        <w:rPr>
          <w:b/>
        </w:rPr>
        <w:t xml:space="preserve">Figure 1</w:t>
      </w:r>
      <w:r>
        <w:t xml:space="preserve">. Seedling growth over the duration of the experiment was strongly reduced in containerized seedlings compared to freely rooted seedlings. Height growth (a), diameter growth (b), and seedling leaf area estimated from leaf counts (c) measured weekly on</w:t>
      </w:r>
      <w:r>
        <w:t xml:space="preserve"> </w:t>
      </w:r>
      <w:r>
        <w:rPr>
          <w:i/>
        </w:rPr>
        <w:t xml:space="preserve">Eucalyptus tereticornis</w:t>
      </w:r>
      <w:r>
        <w:t xml:space="preserve"> </w:t>
      </w:r>
      <w:r>
        <w:t xml:space="preserve">seedlings across the experiment duration in 2013. Shown are soil volume treatment means ± standard error.</w:t>
      </w:r>
      <w:r>
        <w:br w:type="textWrapping"/>
      </w:r>
      <w:r>
        <w:t xml:space="preserve"> </w:t>
      </w:r>
      <w:r>
        <w:rPr>
          <w:b/>
        </w:rPr>
        <w:t xml:space="preserve">Figure 2</w:t>
      </w:r>
      <w:r>
        <w:t xml:space="preserve">. Environmental drivers over the course of the experiment. Daily maximum and minimum temperature (a), total daily PPFD (b), and daily maximum vapour pressure deficit (c) in 2013.</w:t>
      </w:r>
      <w:r>
        <w:br w:type="textWrapping"/>
      </w:r>
      <w:r>
        <w:t xml:space="preserve"> </w:t>
      </w:r>
      <w:r>
        <w:rPr>
          <w:b/>
        </w:rPr>
        <w:t xml:space="preserve">Figure 3</w:t>
      </w:r>
      <w:r>
        <w:t xml:space="preserve">. Biomass partitioning at final harvest did not respond strongly to soil volume treatment. (a) Relative partitioning to leaves, stems, and roots at the final harvest, shown as treatment means (standard errors omitted for clarity). (b) Bi-variate relationships between mass partitioning to leaves and stems + roots. Each symbol is a plant. Lines represent standardized major axis fitting of the log-transformed allometric relationships of leaf mass fraction by treatment. (c) Total plant leaf mass as a function of fine root biomass with ± standard error. The dashed line is a 1:1 line and the solid line represents the significant log-log model fit (</w:t>
      </w:r>
      <w:r>
        <w:rPr>
          <w:i/>
        </w:rPr>
        <w:t xml:space="preserve">R</w:t>
      </w:r>
      <w:r>
        <w:rPr>
          <w:vertAlign w:val="superscript"/>
        </w:rPr>
        <w:t xml:space="preserve">2</w:t>
      </w:r>
      <w:r>
        <w:t xml:space="preserve"> </w:t>
      </w:r>
      <w:r>
        <w:t xml:space="preserve">= 0.82) with equation: log(x) = -0.36 + 0.983 * log(y).</w:t>
      </w:r>
      <w:r>
        <w:br w:type="textWrapping"/>
      </w:r>
      <w:r>
        <w:t xml:space="preserve"> </w:t>
      </w:r>
      <w:r>
        <w:rPr>
          <w:b/>
        </w:rPr>
        <w:t xml:space="preserve">Figure 4</w:t>
      </w:r>
      <w:r>
        <w:t xml:space="preserve">. Light-saturated photosynthesis (A</w:t>
      </w:r>
      <w:r>
        <w:rPr>
          <w:vertAlign w:val="subscript"/>
        </w:rPr>
        <w:t xml:space="preserve">sat</w:t>
      </w:r>
      <w:r>
        <w:t xml:space="preserve">) was reduced in containerized seedlings compared to freely-rooted seedlings ('Free'). Shown are soil volume treatment means ± standard error, across all measurement campaigns (n = 6), of light saturated rates of photosynthesis at 25 °C. Different letters represent significant differences between treatments (p &lt; 0.05).</w:t>
      </w:r>
      <w:r>
        <w:br w:type="textWrapping"/>
      </w:r>
      <w:r>
        <w:t xml:space="preserve"> </w:t>
      </w:r>
      <w:r>
        <w:rPr>
          <w:b/>
        </w:rPr>
        <w:t xml:space="preserve">Figure 5</w:t>
      </w:r>
      <w:r>
        <w:t xml:space="preserve">. Photosynthetic capacity on a leaf mass basis (A</w:t>
      </w:r>
      <w:r>
        <w:rPr>
          <w:vertAlign w:val="subscript"/>
        </w:rPr>
        <w:t xml:space="preserve">mass</w:t>
      </w:r>
      <w:r>
        <w:t xml:space="preserve">, measured at saturating light and [CO</w:t>
      </w:r>
      <w:r>
        <w:rPr>
          <w:vertAlign w:val="subscript"/>
        </w:rPr>
        <w:t xml:space="preserve">2</w:t>
      </w:r>
      <w:r>
        <w:t xml:space="preserve">]) was correlated to both leaf starch and nitrogen content. (a) A</w:t>
      </w:r>
      <w:r>
        <w:rPr>
          <w:vertAlign w:val="subscript"/>
        </w:rPr>
        <w:t xml:space="preserve">mass</w:t>
      </w:r>
      <w:r>
        <w:t xml:space="preserve"> </w:t>
      </w:r>
      <w:r>
        <w:t xml:space="preserve">was negatively related to leaf starch (shown as percentage of dry mass), in particular for leaves with higher nitrogen content (N</w:t>
      </w:r>
      <w:r>
        <w:rPr>
          <w:vertAlign w:val="subscript"/>
        </w:rPr>
        <w:t xml:space="preserve">mass</w:t>
      </w:r>
      <w:r>
        <w:t xml:space="preserve">). (b) A</w:t>
      </w:r>
      <w:r>
        <w:rPr>
          <w:vertAlign w:val="subscript"/>
        </w:rPr>
        <w:t xml:space="preserve">mass</w:t>
      </w:r>
      <w:r>
        <w:t xml:space="preserve"> </w:t>
      </w:r>
      <w:r>
        <w:t xml:space="preserve">was positively related to N</w:t>
      </w:r>
      <w:r>
        <w:rPr>
          <w:vertAlign w:val="subscript"/>
        </w:rPr>
        <w:t xml:space="preserve">mass</w:t>
      </w:r>
      <w:r>
        <w:t xml:space="preserve"> </w:t>
      </w:r>
      <w:r>
        <w:t xml:space="preserve">(expressed as N per unit mass after subtracting TNC content). In both panels, each symbol is an individual measurement of A</w:t>
      </w:r>
      <w:r>
        <w:rPr>
          <w:vertAlign w:val="subscript"/>
        </w:rPr>
        <w:t xml:space="preserve">mass</w:t>
      </w:r>
      <w:r>
        <w:t xml:space="preserve"> </w:t>
      </w:r>
      <w:r>
        <w:t xml:space="preserve">(data across all campaigns are shown).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- 221.96 + 28.58(N) - 3.31(Starch) - 0.87(N*Starch).</w:t>
      </w:r>
      <w:r>
        <w:br w:type="textWrapping"/>
      </w:r>
      <w:r>
        <w:t xml:space="preserve"> </w:t>
      </w:r>
      <w:r>
        <w:rPr>
          <w:b/>
        </w:rPr>
        <w:t xml:space="preserve">Figure 6</w:t>
      </w:r>
      <w:r>
        <w:t xml:space="preserve">. The final biomass attained per unit total photosynthesis over the duration of the experiment. Note the higher ratio for the freely rooted seedlings compared to the containerized seedlings, indicating a higher carbon-use efficiency. Shown are treatment means, as the model scaling instantaneous leaf photosynthesis to total plant photosynthesis was run once for every treatment.</w:t>
      </w:r>
    </w:p>
    <w:p>
      <w:pPr>
        <w:pStyle w:val="Heading1"/>
      </w:pPr>
      <w:bookmarkStart w:id="47" w:name="references"/>
      <w:bookmarkEnd w:id="47"/>
      <w:r>
        <w:t xml:space="preserve">References</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Ainsworth EA, Rogers A, Nelson R, Long SP (2004) Testing the ‘source–sink’ hypothesis of down-regulation of photosynthesis in elevated [CO</w:t>
      </w:r>
      <w:r>
        <w:rPr>
          <w:vertAlign w:val="subscript"/>
        </w:rPr>
        <w:t xml:space="preserve">2</w:t>
      </w:r>
      <w:r>
        <w:t xml:space="preserve">] in the field with single gene substitutions in Glycine max. Agricultural and Forest Meteorology 122:85–94.</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Walters MB, Ellsworth DS (2008)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 Tree Physiology 28:607–614.</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YplantQMC: Plant architectural analysis with Yplant and QuasiMC.</w:t>
      </w:r>
      <w:r>
        <w:t xml:space="preserve"> </w:t>
      </w:r>
      <w:hyperlink r:id="rId48">
        <w:r>
          <w:rPr>
            <w:rStyle w:val="Hyperlink"/>
          </w:rPr>
          <w:t xml:space="preserve">http://www.remkoduursma.com/yplantqmc, https://www.bitbucket.org/remkoduursma/yplantqmc/</w:t>
        </w:r>
      </w:hyperlink>
    </w:p>
    <w:p>
      <w:pPr>
        <w:pStyle w:val="Bibliography"/>
      </w:pPr>
      <w:r>
        <w:t xml:space="preserve">Duursma RA (2015) Plantecophys - An R Package for Analysing and Modelling Leaf Gas Exchange Data. PLoS ONE 10:e0143346.</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Biological Reviews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Hamilton JG, DeLucia EH, George K, Naidu SL, Finzi AC, Schlesinger WH (2002) Forest carbon balance under elevated CO</w:t>
      </w:r>
      <w:r>
        <w:rPr>
          <w:vertAlign w:val="subscript"/>
        </w:rPr>
        <w:t xml:space="preserve">2</w:t>
      </w:r>
      <w:r>
        <w:t xml:space="preserve">. Oecologia 131:250–260.</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Körner C (2013) Growth controls photosynthesis–mostly. Nova Acta Leopoldina 114:273–283.</w:t>
      </w:r>
    </w:p>
    <w:p>
      <w:pPr>
        <w:pStyle w:val="Bibliography"/>
      </w:pPr>
      <w:r>
        <w:t xml:space="preserve">Körner C (2015) Paradigm shift in plant growth control. Current Opinion in Plant Biology 25:107–114.</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Leuning R (1997) Scaling to a common temperature improves the correlation between the photosynthesis parameters Jmax and Vcmax. Journal of Experimental Botany 48:345–347.</w:t>
      </w:r>
    </w:p>
    <w:p>
      <w:pPr>
        <w:pStyle w:val="Bibliography"/>
      </w:pPr>
      <w:r>
        <w:t xml:space="preserve">Leuzinger S, Manusch C, Bugmann H, Wolf A (2013) A sink-limited growth model improves biomass estimation along boreal and alpine tree lines. Global Ecology and Biogeography 22:924–932.</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w:t>
      </w:r>
      <w:r>
        <w:t xml:space="preserve"> </w:t>
      </w:r>
      <w:r>
        <w:rPr>
          <w:i/>
        </w:rPr>
        <w:t xml:space="preserve">Betula pubescens</w:t>
      </w:r>
      <w:r>
        <w:t xml:space="preserve">. Oecologia 140:234–240.</w:t>
      </w:r>
    </w:p>
    <w:p>
      <w:pPr>
        <w:pStyle w:val="Bibliography"/>
      </w:pPr>
      <w:r>
        <w:t xml:space="preserve">Mäkelä A (1997) A carbon balance model of growth and self-pruning in trees based on structural relationships. Forest Science 43:7–24.</w:t>
      </w:r>
    </w:p>
    <w:p>
      <w:pPr>
        <w:pStyle w:val="Bibliography"/>
      </w:pPr>
      <w:r>
        <w:t xml:space="preserve">McCleary BV, Gibson TS, Mugford DC (1997) Measurement of total starch in cereal products by amyloglucosidase-</w:t>
      </w:r>
      <m:oMath>
        <m:r>
          <m:rPr/>
          <m:t>α</m:t>
        </m:r>
      </m:oMath>
      <w:r>
        <w:t xml:space="preserve">-amylase method: Collaborative study. Journal of AOAC International 80:571–579.</w:t>
      </w:r>
    </w:p>
    <w:p>
      <w:pPr>
        <w:pStyle w:val="Bibliography"/>
      </w:pPr>
      <w:r>
        <w:t xml:space="preserve">McConnaughay KDM, Bazzaz FA (1991) Is physical space a soil resource? Ecology 72:94–103.</w:t>
      </w:r>
    </w:p>
    <w:p>
      <w:pPr>
        <w:pStyle w:val="Bibliography"/>
      </w:pPr>
      <w:r>
        <w:t xml:space="preserve">Medlyn BE (1996) The optimal allocation of nitrogen within the C3 photosynthetic system at elevated CO</w:t>
      </w:r>
      <w:r>
        <w:rPr>
          <w:vertAlign w:val="subscript"/>
        </w:rPr>
        <w:t xml:space="preserve">2</w:t>
      </w:r>
      <w:r>
        <w:t xml:space="preserve">. Functional Plant Biology 23:593–603.</w:t>
      </w:r>
    </w:p>
    <w:p>
      <w:pPr>
        <w:pStyle w:val="Bibliography"/>
      </w:pPr>
      <w:r>
        <w:t xml:space="preserve">Medlyn BE, Badeck F-W, De Pury DGG, Barton CVM, Broadmeadow M, Ceulemans R, De Angelis P, Forstreuter M, Jach ME, Kellomäki S, Others (1999) Effects of elevated [CO</w:t>
      </w:r>
      <w:r>
        <w:rPr>
          <w:vertAlign w:val="subscript"/>
        </w:rPr>
        <w:t xml:space="preserve">2</w:t>
      </w:r>
      <w:r>
        <w:t xml:space="preserve">] on photosynthesis in European forest species: a meta-analysis of model parameters. Plant, Cell &amp; Environment 22:1475–1495.</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Muller B, Pantin F, Génard M, Turc O, Freixes S, Piques M, Gibon Y (2011) Water deficits uncouple growth from photosynthesis, increase C content, and modify the relationships between C and growth in sink organs. Journal of Experimental Botany 62:1715–1729.</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(2015) {nlme}: Linear and nonlinear mixed effects models.</w:t>
      </w:r>
      <w:r>
        <w:t xml:space="preserve"> </w:t>
      </w:r>
      <w:hyperlink r:id="rId49">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Pinkard EA, Eyles A, O’Grady AP (2011) Are gas exchange responses to resource limitation and defoliation linked to source: sink relationships? Plant, Cell &amp; Environment 34:1652–1665.</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 R (2016) R: A language and environment for statistical computing Team RDC (ed). 1:409.</w:t>
      </w:r>
      <w:r>
        <w:t xml:space="preserve"> </w:t>
      </w:r>
      <w:hyperlink r:id="rId50">
        <w:r>
          <w:rPr>
            <w:rStyle w:val="Hyperlink"/>
          </w:rPr>
          <w:t xml:space="preserve">http://www.r-project.org</w:t>
        </w:r>
      </w:hyperlink>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Schäfer KVR, Oren R, Ellsworth DS, Lai C-T, Herrick JD, Finzi AC, Richter DD, Katul GG (2003) Exposure to an enriched CO</w:t>
      </w:r>
      <w:r>
        <w:rPr>
          <w:vertAlign w:val="subscript"/>
        </w:rPr>
        <w:t xml:space="preserve">2</w:t>
      </w:r>
      <w:r>
        <w:t xml:space="preserve"> </w:t>
      </w:r>
      <w:r>
        <w:t xml:space="preserve">atmosphere alters carbon assimilation and allocation in a pine forest ecosystem. Global Change Biology 9:1378–1400.</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Wang YP, Rey A, Jarvis PG (1998) Carbon balance of young birch trees grown in ambient and elevated atmospheric CO</w:t>
      </w:r>
      <w:r>
        <w:rPr>
          <w:vertAlign w:val="subscript"/>
        </w:rPr>
        <w:t xml:space="preserve">2</w:t>
      </w:r>
      <w:r>
        <w:t xml:space="preserve"> </w:t>
      </w:r>
      <w:r>
        <w:t xml:space="preserve">concentrations. Global Change Biology 4:797–807.</w:t>
      </w:r>
    </w:p>
    <w:p>
      <w:pPr>
        <w:pStyle w:val="Bibliography"/>
      </w:pPr>
      <w:r>
        <w:t xml:space="preserve">Warren CR, Dreyer E, Adams MA (2003)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 Trees 17:359–366.</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D1508">
          <w:rPr>
            <w:noProof/>
          </w:rPr>
          <w:t>9</w:t>
        </w:r>
        <w:r>
          <w:rPr>
            <w:noProof/>
          </w:rPr>
          <w:fldChar w:fldCharType="end"/>
        </w:r>
      </w:p>
    </w:sdtContent>
  </w:sdt>
  <w:p w:rsidR="006710CF" w:rsidRDefault="00EA09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15f59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49" Target="http://cran.r-project.org/package=nlme" TargetMode="External" /><Relationship Type="http://schemas.openxmlformats.org/officeDocument/2006/relationships/hyperlink" Id="rId50" Target="http://www.r-project.org" TargetMode="External" /><Relationship Type="http://schemas.openxmlformats.org/officeDocument/2006/relationships/hyperlink" Id="rId48"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49" Target="http://cran.r-project.org/package=nlme" TargetMode="External" /><Relationship Type="http://schemas.openxmlformats.org/officeDocument/2006/relationships/hyperlink" Id="rId50" Target="http://www.r-project.org" TargetMode="External" /><Relationship Type="http://schemas.openxmlformats.org/officeDocument/2006/relationships/hyperlink" Id="rId48"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