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7.png" ContentType="image/png"/>
  <Override PartName="/word/media/rId48.png" ContentType="image/png"/>
  <Override PartName="/word/media/rId46.png" ContentType="image/png"/>
  <Override PartName="/word/media/rId49.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w:t>
      </w:r>
      <w:r>
        <w:br w:type="textWrapping"/>
      </w:r>
      <w:r>
        <w:t xml:space="preserve">Main text:</w:t>
      </w:r>
      <w:r>
        <w:br w:type="textWrapping"/>
      </w:r>
      <w:r>
        <w:t xml:space="preserve">Summary: 200</w:t>
      </w:r>
      <w:r>
        <w:br w:type="textWrapping"/>
      </w:r>
      <w:r>
        <w:t xml:space="preserve">Introduction:</w:t>
      </w:r>
      <w:r>
        <w:br w:type="textWrapping"/>
      </w:r>
      <w:r>
        <w:t xml:space="preserve">Materials and methods:</w:t>
      </w:r>
      <w:r>
        <w:br w:type="textWrapping"/>
      </w:r>
      <w:r>
        <w:t xml:space="preserve">Results:</w:t>
      </w:r>
      <w:r>
        <w:br w:type="textWrapping"/>
      </w:r>
      <w:r>
        <w:t xml:space="preserve">Discussion:</w:t>
      </w:r>
      <w:r>
        <w:br w:type="textWrapping"/>
      </w:r>
      <w:r>
        <w:t xml:space="preserve">Acknowledgements: 30</w:t>
      </w:r>
      <w:r>
        <w:br w:type="textWrapping"/>
      </w:r>
      <w:r>
        <w:t xml:space="preserve">6 figures (5 color), 3 tables</w:t>
      </w:r>
      <w:r>
        <w:br w:type="textWrapping"/>
      </w:r>
      <w:r>
        <w:t xml:space="preserve">Supporting information: 1 table</w:t>
      </w:r>
    </w:p>
    <w:p>
      <w:pPr>
        <w:pStyle w:val="Heading1"/>
      </w:pPr>
      <w:bookmarkStart w:id="22" w:name="summary"/>
      <w:bookmarkEnd w:id="22"/>
      <w:r>
        <w:t xml:space="preserve">Summary</w:t>
      </w:r>
    </w:p>
    <w:p>
      <w:pPr>
        <w:numPr>
          <w:numId w:val="1001"/>
          <w:ilvl w:val="0"/>
        </w:numPr>
      </w:pPr>
      <w:r>
        <w:t xml:space="preserve">The difficulty in quantifying all components of plant carbon (C) balance inhibits our ability to interpret growth limitation in woody species. This study manipulated soil volume to test how growth is coupled to physiology, C allocation, and sink activity in</w:t>
      </w:r>
      <w:r>
        <w:t xml:space="preserve"> </w:t>
      </w:r>
      <w:r>
        <w:rPr>
          <w:i/>
        </w:rPr>
        <w:t xml:space="preserve">Eucalyptus tereticornis</w:t>
      </w:r>
      <w:r>
        <w:t xml:space="preserve"> </w:t>
      </w:r>
      <w:r>
        <w:t xml:space="preserve">seedlings.</w:t>
      </w:r>
    </w:p>
    <w:p>
      <w:pPr>
        <w:numPr>
          <w:numId w:val="1001"/>
          <w:ilvl w:val="0"/>
        </w:numPr>
      </w:pPr>
      <w:r>
        <w:t xml:space="preserve">Seedlings were grown in a range of container sizes and containers were planted flush to the soil alongside freely-rooted (free) seedlings. We developed a growth model that utilized net leaf photosynthesis rates (</w:t>
      </w:r>
      <w:r>
        <w:rPr>
          <w:i/>
        </w:rPr>
        <w:t xml:space="preserve">A</w:t>
      </w:r>
      <w:r>
        <w:rPr>
          <w:vertAlign w:val="subscript"/>
        </w:rPr>
        <w:t xml:space="preserve">n</w:t>
      </w:r>
      <w:r>
        <w:t xml:space="preserve">) to allocate daily C uptake towards mass growth of stems, leaves and roots.</w:t>
      </w:r>
    </w:p>
    <w:p>
      <w:pPr>
        <w:numPr>
          <w:numId w:val="1001"/>
          <w:ilvl w:val="0"/>
        </w:numPr>
      </w:pPr>
      <w:r>
        <w:t xml:space="preserve">Container volume negatively affected aboveground growth throughout the experiment, yet, mass partitioning to leaves, stems and roots was unchanged after 120 days. Photosynthetic capacity was significantly reduced in containered seedlings, and was related to reduced leaf nitrogen content and starch accumulation. Although belowground sink limitation reduced</w:t>
      </w:r>
      <w:r>
        <w:t xml:space="preserve"> </w:t>
      </w:r>
      <w:r>
        <w:rPr>
          <w:i/>
        </w:rPr>
        <w:t xml:space="preserve">A</w:t>
      </w:r>
      <w:r>
        <w:rPr>
          <w:vertAlign w:val="subscript"/>
        </w:rPr>
        <w:t xml:space="preserve">n</w:t>
      </w:r>
      <w:r>
        <w:t xml:space="preserve">, the model concluded that these reductions were too small to explain observed growth responses.</w:t>
      </w:r>
    </w:p>
    <w:p>
      <w:pPr>
        <w:numPr>
          <w:numId w:val="1001"/>
          <w:ilvl w:val="0"/>
        </w:numPr>
      </w:pPr>
      <w:r>
        <w:t xml:space="preserve">As</w:t>
      </w:r>
      <w:r>
        <w:t xml:space="preserve"> </w:t>
      </w:r>
      <w:r>
        <w:rPr>
          <w:i/>
        </w:rPr>
        <w:t xml:space="preserve">A</w:t>
      </w:r>
      <w:r>
        <w:rPr>
          <w:vertAlign w:val="subscript"/>
        </w:rPr>
        <w:t xml:space="preserve">n</w:t>
      </w:r>
      <w:r>
        <w:t xml:space="preserve"> </w:t>
      </w:r>
      <w:r>
        <w:t xml:space="preserve">and growth were not tightly coordinated, an unaccounted-for pool of photosynthetic C resulted in seedlings with soil volume restriction. These results highlight the need to utilize mass balance approaches when evaluating plant C allocation and confirm that important feedbacks exist between belowground sink strength and leaf C uptake.</w:t>
      </w:r>
    </w:p>
    <w:p>
      <w:pPr>
        <w:pStyle w:val="Heading2"/>
      </w:pPr>
      <w:bookmarkStart w:id="23" w:name="keywords"/>
      <w:bookmarkEnd w:id="23"/>
      <w:r>
        <w:t xml:space="preserve">Keywords</w:t>
      </w:r>
    </w:p>
    <w:p>
      <w:pPr>
        <w:pStyle w:val="FirstParagraph"/>
      </w:pPr>
      <w:r>
        <w:t xml:space="preserve">photosynthesis, plant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 carbon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is driven by the allocation of photosynthate from source leaves among these different tissue sinks. At long enough time scales leaf photosynthesis (</w:t>
      </w:r>
      <w:r>
        <w:rPr>
          <w:i/>
        </w:rPr>
        <w:t xml:space="preserve">A</w:t>
      </w:r>
      <w:r>
        <w:rPr>
          <w:vertAlign w:val="subscript"/>
        </w:rPr>
        <w:t xml:space="preserve">n</w:t>
      </w:r>
      <w:r>
        <w:t xml:space="preserve">) and respiratory losses together determine net C balance and plant growth. At shorter temporal scales growth can instead be mediated by tissue C storage pools</w:t>
      </w:r>
      <w:r>
        <w:t xml:space="preserve"> </w:t>
      </w:r>
      <w:r>
        <w:t xml:space="preserve">(Chapin</w:t>
      </w:r>
      <w:r>
        <w:t xml:space="preserve"> </w:t>
      </w:r>
      <w:r>
        <w:rPr>
          <w:i/>
        </w:rPr>
        <w:t xml:space="preserve">et al.</w:t>
      </w:r>
      <w:r>
        <w:t xml:space="preserve">, 1990)</w:t>
      </w:r>
      <w:r>
        <w:t xml:space="preserve">, which disrupts the coordination between</w:t>
      </w:r>
      <w:r>
        <w:t xml:space="preserve"> </w:t>
      </w:r>
      <w:r>
        <w:rPr>
          <w:i/>
        </w:rPr>
        <w:t xml:space="preserve">A</w:t>
      </w:r>
      <w:r>
        <w:rPr>
          <w:vertAlign w:val="subscript"/>
        </w:rPr>
        <w:t xml:space="preserve">n</w:t>
      </w:r>
      <w:r>
        <w:t xml:space="preserve"> </w:t>
      </w:r>
      <w:r>
        <w:t xml:space="preserve">and growth. This discrepancy has led to the current debate on how strongly plant growth is controlled by either source or sink activity. As plant growth cannot be simply determined by</w:t>
      </w:r>
      <w:r>
        <w:t xml:space="preserve"> </w:t>
      </w:r>
      <w:r>
        <w:rPr>
          <w:i/>
        </w:rPr>
        <w:t xml:space="preserve">A</w:t>
      </w:r>
      <w:r>
        <w:rPr>
          <w:vertAlign w:val="subscript"/>
        </w:rPr>
        <w:t xml:space="preserve">n</w:t>
      </w:r>
      <w:r>
        <w:t xml:space="preserve">, growth models must take into account several simultaneous processes affecting the C balance at any given time</w:t>
      </w:r>
      <w:r>
        <w:t xml:space="preserve"> </w:t>
      </w:r>
      <w:r>
        <w:t xml:space="preserve">(Fourcaud</w:t>
      </w:r>
      <w:r>
        <w:t xml:space="preserve"> </w:t>
      </w:r>
      <w:r>
        <w:rPr>
          <w:i/>
        </w:rPr>
        <w:t xml:space="preserve">et al.</w:t>
      </w:r>
      <w:r>
        <w:t xml:space="preserve">, 2008)</w:t>
      </w:r>
      <w:r>
        <w:t xml:space="preserve">. Whether growth limitation in woody species is driven mostly by</w:t>
      </w:r>
      <w:r>
        <w:t xml:space="preserve"> </w:t>
      </w:r>
      <w:r>
        <w:rPr>
          <w:i/>
        </w:rPr>
        <w:t xml:space="preserve">A</w:t>
      </w:r>
      <w:r>
        <w:rPr>
          <w:vertAlign w:val="subscript"/>
        </w:rPr>
        <w:t xml:space="preserve">n</w:t>
      </w:r>
      <w:r>
        <w:t xml:space="preserve"> </w:t>
      </w:r>
      <w:r>
        <w:t xml:space="preserve">or other components of the C balance remains largely uncertain.</w:t>
      </w:r>
    </w:p>
    <w:p>
      <w:pPr>
        <w:pStyle w:val="BodyText"/>
      </w:pPr>
      <w:r>
        <w:br w:type="textWrapping"/>
      </w:r>
      <w:r>
        <w:t xml:space="preserve">One approach to examine the coordination of</w:t>
      </w:r>
      <w:r>
        <w:t xml:space="preserve"> </w:t>
      </w:r>
      <w:r>
        <w:rPr>
          <w:i/>
        </w:rPr>
        <w:t xml:space="preserve">A</w:t>
      </w:r>
      <w:r>
        <w:rPr>
          <w:vertAlign w:val="subscript"/>
        </w:rPr>
        <w:t xml:space="preserve">n</w:t>
      </w:r>
      <w:r>
        <w:t xml:space="preserve"> </w:t>
      </w:r>
      <w:r>
        <w:t xml:space="preserve">and growth is to manipulate C source activity. Examples include elevated CO</w:t>
      </w:r>
      <w:r>
        <w:rPr>
          <w:vertAlign w:val="subscript"/>
        </w:rPr>
        <w:t xml:space="preserve">2</w:t>
      </w:r>
      <w:r>
        <w:t xml:space="preserve"> </w:t>
      </w:r>
      <w:r>
        <w:t xml:space="preserve">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across four forest Free-Air CO</w:t>
      </w:r>
      <w:r>
        <w:rPr>
          <w:vertAlign w:val="subscript"/>
        </w:rPr>
        <w:t xml:space="preserve">2</w:t>
      </w:r>
      <w:r>
        <w:t xml:space="preserve"> </w:t>
      </w:r>
      <w:r>
        <w:t xml:space="preserve">Enrichment (FACE) experiments this increased photosynthetic uptake resulted in a stimulation of biomass production by 23 % on average</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and are attributed to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 Pinkard</w:t>
      </w:r>
      <w:r>
        <w:t xml:space="preserve"> </w:t>
      </w:r>
      <w:r>
        <w:rPr>
          <w:i/>
        </w:rPr>
        <w:t xml:space="preserve">et al.</w:t>
      </w:r>
      <w:r>
        <w:t xml:space="preserve">, 2011)</w:t>
      </w:r>
      <w:r>
        <w:t xml:space="preserve">, increased stomatal conductance</w:t>
      </w:r>
      <w:r>
        <w:t xml:space="preserve"> </w:t>
      </w:r>
      <w:r>
        <w:t xml:space="preserve">(Layne &amp; Flore, 1995)</w:t>
      </w:r>
      <w:r>
        <w:t xml:space="preserve">, enhanced leaf nutrient status</w:t>
      </w:r>
      <w:r>
        <w:t xml:space="preserve"> </w:t>
      </w:r>
      <w:r>
        <w:t xml:space="preserve">(Turnbull</w:t>
      </w:r>
      <w:r>
        <w:t xml:space="preserve"> </w:t>
      </w:r>
      <w:r>
        <w:rPr>
          <w:i/>
        </w:rPr>
        <w:t xml:space="preserve">et al.</w:t>
      </w:r>
      <w:r>
        <w:t xml:space="preserve">, 2007; Pinkard</w:t>
      </w:r>
      <w:r>
        <w:t xml:space="preserve"> </w:t>
      </w:r>
      <w:r>
        <w:rPr>
          <w:i/>
        </w:rPr>
        <w:t xml:space="preserve">et al.</w:t>
      </w:r>
      <w:r>
        <w:t xml:space="preserve">, 2011)</w:t>
      </w:r>
      <w:r>
        <w:t xml:space="preserve"> </w:t>
      </w:r>
      <w:r>
        <w:t xml:space="preserve">and regulatory sugar signaling</w:t>
      </w:r>
      <w:r>
        <w:t xml:space="preserve"> </w:t>
      </w:r>
      <w:r>
        <w:t xml:space="preserve">(Eyles</w:t>
      </w:r>
      <w:r>
        <w:t xml:space="preserve"> </w:t>
      </w:r>
      <w:r>
        <w:rPr>
          <w:i/>
        </w:rPr>
        <w:t xml:space="preserve">et al.</w:t>
      </w:r>
      <w:r>
        <w:t xml:space="preserve">, 2013)</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w:t>
      </w:r>
      <w:r>
        <w:t xml:space="preserve"> </w:t>
      </w:r>
      <w:r>
        <w:rPr>
          <w:i/>
        </w:rPr>
        <w:t xml:space="preserve">et al.</w:t>
      </w:r>
      <w:r>
        <w:t xml:space="preserve">, 2012)</w:t>
      </w:r>
      <w:r>
        <w:t xml:space="preserve">, C limitation to mycorrhizal colonization</w:t>
      </w:r>
      <w:r>
        <w:t xml:space="preserve"> </w:t>
      </w:r>
      <w:r>
        <w:t xml:space="preserve">(Markkola</w:t>
      </w:r>
      <w:r>
        <w:t xml:space="preserve"> </w:t>
      </w:r>
      <w:r>
        <w:rPr>
          <w:i/>
        </w:rPr>
        <w:t xml:space="preserve">et al.</w:t>
      </w:r>
      <w:r>
        <w:t xml:space="preserve">, 2004)</w:t>
      </w:r>
      <w:r>
        <w:t xml:space="preserve">, or an overall decrease in whole plant C gain</w:t>
      </w:r>
      <w:r>
        <w:t xml:space="preserve"> </w:t>
      </w:r>
      <w:r>
        <w:t xml:space="preserve">(Ovaska</w:t>
      </w:r>
      <w:r>
        <w:t xml:space="preserve"> </w:t>
      </w:r>
      <w:r>
        <w:rPr>
          <w:i/>
        </w:rPr>
        <w:t xml:space="preserve">et al.</w:t>
      </w:r>
      <w:r>
        <w:t xml:space="preserve">, 1993b)</w:t>
      </w:r>
      <w:r>
        <w:t xml:space="preserve">. These manipulations of C source activity demonstrate that changes in</w:t>
      </w:r>
      <w:r>
        <w:t xml:space="preserve"> </w:t>
      </w:r>
      <w:r>
        <w:rPr>
          <w:i/>
        </w:rPr>
        <w:t xml:space="preserve">A</w:t>
      </w:r>
      <w:r>
        <w:rPr>
          <w:vertAlign w:val="subscript"/>
        </w:rPr>
        <w:t xml:space="preserve">n</w:t>
      </w:r>
      <w:r>
        <w:t xml:space="preserve"> </w:t>
      </w:r>
      <w:r>
        <w:t xml:space="preserve">do not always correspond with proportional responses of growth.</w:t>
      </w:r>
    </w:p>
    <w:p>
      <w:pPr>
        <w:pStyle w:val="BodyText"/>
      </w:pPr>
      <w:r>
        <w:br w:type="textWrapping"/>
      </w:r>
      <w:r>
        <w:t xml:space="preserve">Alternatively, manipulation of plant tissue C sinks is often used to investigate the correlation between</w:t>
      </w:r>
      <w:r>
        <w:t xml:space="preserve"> </w:t>
      </w:r>
      <w:r>
        <w:rPr>
          <w:i/>
        </w:rPr>
        <w:t xml:space="preserve">A</w:t>
      </w:r>
      <w:r>
        <w:rPr>
          <w:vertAlign w:val="subscript"/>
        </w:rPr>
        <w:t xml:space="preserve">n</w:t>
      </w:r>
      <w:r>
        <w:t xml:space="preserve"> </w:t>
      </w:r>
      <w:r>
        <w:t xml:space="preserve">and growth. Plant metabolic signalling networks have the ability to regulate photosythetic activity, according to carbon status of different plant tissues</w:t>
      </w:r>
      <w:r>
        <w:t xml:space="preserve"> </w:t>
      </w:r>
      <w:r>
        <w:t xml:space="preserve">(Paul &amp;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The occurrence of photosynthetic down regulation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found to correlate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This lack of continuity among findings is not surprising, as we still know little about the balance between assimilation, storage and growth across temporal scales in plants</w:t>
      </w:r>
      <w:r>
        <w:t xml:space="preserve"> </w:t>
      </w:r>
      <w:r>
        <w:t xml:space="preserve">(Smith &amp;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Container size studies frequently exhibit photosynthetic down-regulation, likely as a result of sink limitation</w:t>
      </w:r>
      <w:r>
        <w:t xml:space="preserve"> </w:t>
      </w:r>
      <w:r>
        <w:t xml:space="preserve">(Arp,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A meta-analysis by Poorter et al.</w:t>
      </w:r>
      <w:r>
        <w:t xml:space="preserve"> </w:t>
      </w:r>
      <w:r>
        <w:t xml:space="preserve">(2012a)</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assimilation rates</w:t>
      </w:r>
      <w:r>
        <w:t xml:space="preserve"> </w:t>
      </w:r>
      <w:r>
        <w:t xml:space="preserve">(Robbins &amp; Pharr, 1988)</w:t>
      </w:r>
      <w:r>
        <w:t xml:space="preserve">. However, evidence in support for a trade-off between C storage and growth in trees is, to date, inconclusive</w:t>
      </w:r>
      <w:r>
        <w:t xml:space="preserve"> </w:t>
      </w:r>
      <w:r>
        <w:t xml:space="preserve">(Palacio</w:t>
      </w:r>
      <w:r>
        <w:t xml:space="preserve"> </w:t>
      </w:r>
      <w:r>
        <w:rPr>
          <w:i/>
        </w:rPr>
        <w:t xml:space="preserve">et al.</w:t>
      </w:r>
      <w:r>
        <w:t xml:space="preserve">, 2014)</w:t>
      </w:r>
      <w:r>
        <w:t xml:space="preserve">. Whether down regulation of</w:t>
      </w:r>
      <w:r>
        <w:t xml:space="preserve"> </w:t>
      </w:r>
      <w:r>
        <w:rPr>
          <w:i/>
        </w:rPr>
        <w:t xml:space="preserve">A</w:t>
      </w:r>
      <w:r>
        <w:rPr>
          <w:vertAlign w:val="subscript"/>
        </w:rPr>
        <w:t xml:space="preserve">n</w:t>
      </w:r>
      <w:r>
        <w:t xml:space="preserve"> </w:t>
      </w:r>
      <w:r>
        <w:t xml:space="preserve">and subsequent reductions of growth are quantitavely similiar has rarely been tested. Based on these previous studies, using a range of container sizes as a sink-strength manipulation provdies a way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We tracked leaf-level gas exchange, leaf carbohydrate accumulation and seedling allometry over the course of 4 months.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Manipulations of container size were expected to induce a belowground sink limitation compared to free seedlings, resulting in growth reductions in the smallest containers. Specifically, reductions in biomass partitioning to root mass, relative to tree size, were predicted to occur with decreasing rooting volume and soil nutrients in container treatments. We also expected a correlation between carbohydrate accumulation and photosynthetic capacity as a function of soil volume, as reduced sink strength would lead to accumulation of leaf non-structural carbohydrates and down regulation of</w:t>
      </w:r>
      <w:r>
        <w:t xml:space="preserve"> </w:t>
      </w:r>
      <w:r>
        <w:rPr>
          <w:i/>
        </w:rPr>
        <w:t xml:space="preserve">A</w:t>
      </w:r>
      <w:r>
        <w:rPr>
          <w:vertAlign w:val="subscript"/>
          <w:i/>
        </w:rPr>
        <w:t xml:space="preserve">n</w:t>
      </w:r>
      <w:r>
        <w:t xml:space="preserve">. Taking into account measured rates of photosynthesis, we expected biomass predictions from the growth model to correspond to observed seedling mass.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matted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percentange of N in samples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Similarly, TNC-free leaf N content (N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0</w:t>
      </w:r>
      <w:r>
        <w:t xml:space="preserve">, stem</w:t>
      </w:r>
      <w:r>
        <w:rPr>
          <w:vertAlign w:val="subscript"/>
        </w:rPr>
        <w:t xml:space="preserve">0</w:t>
      </w:r>
      <w:r>
        <w:t xml:space="preserve"> </w:t>
      </w:r>
      <w:r>
        <w:t xml:space="preserve">and root</w:t>
      </w:r>
      <w:r>
        <w:rPr>
          <w:vertAlign w:val="subscript"/>
        </w:rPr>
        <w:t xml:space="preserve">0</w:t>
      </w:r>
      <w:r>
        <w:t xml:space="preserve">) and a starting leaf area (L</w:t>
      </w:r>
      <w:r>
        <w:rPr>
          <w:vertAlign w:val="subscript"/>
        </w:rPr>
        <w:t xml:space="preserve">0</w:t>
      </w:r>
      <w:r>
        <w:t xml:space="preserve">) measured prior to planting. The initial biomass of roots was divided evenly between fine and coarse roots. The daily net biomass production of seedlings (</w:t>
      </w:r>
      <w:r>
        <w:rPr>
          <w:i/>
        </w:rPr>
        <w:t xml:space="preserve">G</w:t>
      </w:r>
      <w:r>
        <w:t xml:space="preserve">), from</w:t>
      </w:r>
      <w:r>
        <w:t xml:space="preserve"> </w:t>
      </w:r>
      <w:r>
        <w:t xml:space="preserve">Mäkelä (1997)</w:t>
      </w:r>
      <w:r>
        <w:t xml:space="preserve">, is then given by</w:t>
      </w:r>
    </w:p>
    <w:p>
      <w:pPr>
        <w:pStyle w:val="BodyText"/>
      </w:pPr>
      <w:r>
        <w:br w:type="textWrapping"/>
      </w:r>
      <w:r>
        <w:t xml:space="preserve">(1)</w:t>
      </w:r>
    </w:p>
    <w:p>
      <w:pPr>
        <w:pStyle w:val="BodyText"/>
      </w:pPr>
      <m:oMathPara>
        <m:oMathParaPr>
          <m:jc m:val="center"/>
        </m:oMathParaPr>
        <m:oMath>
          <m:r>
            <m:rPr/>
            <m:t>G</m:t>
          </m:r>
          <m:r>
            <m:rPr/>
            <m:t>(</m:t>
          </m:r>
          <m:r>
            <m:rPr/>
            <m:t>t</m:t>
          </m:r>
          <m:r>
            <m:rPr/>
            <m:t>)</m:t>
          </m:r>
          <m:r>
            <m:rPr/>
            <m:t>=</m:t>
          </m:r>
          <m:f>
            <m:fPr>
              <m:type m:val="bar"/>
            </m:fPr>
            <m:num>
              <m:r>
                <m:rPr/>
                <m:t>L</m:t>
              </m:r>
              <m:r>
                <m:rPr/>
                <m:t> </m:t>
              </m:r>
              <m:r>
                <m:rPr/>
                <m:t>P</m:t>
              </m:r>
              <m:r>
                <m:rPr/>
                <m:t> </m:t>
              </m:r>
              <m:r>
                <m:rPr/>
                <m:t>σ</m:t>
              </m:r>
              <m:r>
                <m:rPr/>
                <m:t>−</m:t>
              </m:r>
              <m:r>
                <m:rPr/>
                <m:t>R</m:t>
              </m:r>
            </m:num>
            <m:den>
              <m:r>
                <m:rPr/>
                <m:t>ϵ</m:t>
              </m:r>
            </m:den>
          </m:f>
        </m:oMath>
      </m:oMathPara>
    </w:p>
    <w:p>
      <w:pPr>
        <w:pStyle w:val="BodyText"/>
      </w:pPr>
      <w:r>
        <w:t xml:space="preserve">where</w:t>
      </w:r>
      <w:r>
        <w:t xml:space="preserve"> </w:t>
      </w:r>
      <w:r>
        <w:rPr>
          <w:i/>
        </w:rPr>
        <w:t xml:space="preserve">L</w:t>
      </w:r>
      <w:r>
        <w:t xml:space="preserve"> </w:t>
      </w:r>
      <w:r>
        <w:t xml:space="preserve">is modelled total plant leaf area (m</w:t>
      </w:r>
      <w:r>
        <w:rPr>
          <w:vertAlign w:val="superscript"/>
        </w:rPr>
        <w:t xml:space="preserve">2</w:t>
      </w:r>
      <w:r>
        <w:t xml:space="preserve">),</w:t>
      </w:r>
      <w:r>
        <w:t xml:space="preserve"> </w:t>
      </w:r>
      <w:r>
        <w:rPr>
          <w:i/>
        </w:rPr>
        <w:t xml:space="preserve">P</w:t>
      </w:r>
      <w:r>
        <w:t xml:space="preserve"> </w:t>
      </w:r>
      <w:r>
        <w:t xml:space="preserve">is the daily carbon assimilation per unit leaf area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w:t>
      </w:r>
      <w:r>
        <w:t xml:space="preserve"> </w:t>
      </w:r>
      <m:oMath>
        <m:r>
          <m:rPr/>
          <m:t>ϵ</m:t>
        </m:r>
      </m:oMath>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t</m:t>
          </m:r>
          <m:r>
            <m:rPr/>
            <m:t>)</m:t>
          </m:r>
          <m:r>
            <m:rPr/>
            <m:t>=</m:t>
          </m:r>
          <m:sSub>
            <m:e>
              <m:r>
                <m:rPr/>
                <m:t>R</m:t>
              </m:r>
            </m:e>
            <m:sub>
              <m:r>
                <m:rPr>
                  <m:sty m:val="p"/>
                </m:rPr>
                <m:t>s</m:t>
              </m:r>
            </m:sub>
          </m:sSub>
          <m:sSub>
            <m:e>
              <m:r>
                <m:rPr/>
                <m:t>M</m:t>
              </m:r>
            </m:e>
            <m:sub>
              <m:r>
                <m:rPr>
                  <m:sty m:val="p"/>
                </m:rPr>
                <m:t>s</m:t>
              </m:r>
            </m:sub>
          </m:sSub>
          <m:r>
            <m:rPr/>
            <m:t> </m:t>
          </m:r>
          <m:r>
            <m:rPr/>
            <m:t>+</m:t>
          </m:r>
          <m:r>
            <m:rPr/>
            <m:t> </m:t>
          </m:r>
          <m:sSub>
            <m:e>
              <m:r>
                <m:rPr/>
                <m:t>R</m:t>
              </m:r>
            </m:e>
            <m:sub>
              <m:r>
                <m:rPr>
                  <m:sty m:val="p"/>
                </m:rPr>
                <m:t>f</m:t>
              </m:r>
              <m:r>
                <m:rPr>
                  <m:sty m:val="p"/>
                </m:rPr>
                <m:t>r</m:t>
              </m:r>
            </m:sub>
          </m:sSub>
          <m:sSub>
            <m:e>
              <m:r>
                <m:rPr/>
                <m:t>M</m:t>
              </m:r>
            </m:e>
            <m:sub>
              <m:r>
                <m:rPr>
                  <m:sty m:val="p"/>
                </m:rPr>
                <m:t>f</m:t>
              </m:r>
              <m:r>
                <m:rPr>
                  <m:sty m:val="p"/>
                </m:rPr>
                <m:t>r</m:t>
              </m:r>
            </m:sub>
          </m:sSub>
          <m:r>
            <m:rPr/>
            <m:t> </m:t>
          </m:r>
          <m:r>
            <m:rPr/>
            <m:t>+</m:t>
          </m:r>
          <m:r>
            <m:rPr/>
            <m:t> </m:t>
          </m:r>
          <m:sSub>
            <m:e>
              <m:r>
                <m:rPr/>
                <m:t>R</m:t>
              </m:r>
            </m:e>
            <m:sub>
              <m:r>
                <m:rPr>
                  <m:sty m:val="p"/>
                </m:rPr>
                <m:t>c</m:t>
              </m:r>
              <m:r>
                <m:rPr>
                  <m:sty m:val="p"/>
                </m:rPr>
                <m:t>r</m:t>
              </m:r>
            </m:sub>
          </m:sSub>
          <m:sSub>
            <m:e>
              <m:r>
                <m:rPr/>
                <m:t>M</m:t>
              </m:r>
            </m:e>
            <m:sub>
              <m:r>
                <m:rPr>
                  <m:sty m:val="p"/>
                </m:rPr>
                <m:t>c</m:t>
              </m:r>
              <m:r>
                <m:rPr>
                  <m:sty m:val="p"/>
                </m:rPr>
                <m:t>r</m:t>
              </m:r>
            </m:sub>
          </m:sSub>
        </m:oMath>
      </m:oMathPara>
    </w:p>
    <w:p>
      <w:pPr>
        <w:pStyle w:val="BodyText"/>
      </w:pPr>
      <w:r>
        <w:t xml:space="preserve">where</w:t>
      </w:r>
      <w:r>
        <w:t xml:space="preserve"> </w:t>
      </w:r>
      <w:r>
        <w:rPr>
          <w:i/>
        </w:rPr>
        <w:t xml:space="preserve">R</w:t>
      </w:r>
      <w:r>
        <w:t xml:space="preserve"> </w:t>
      </w:r>
      <w:r>
        <w:t xml:space="preserve">is published or measured tissue respiration rates (g C g mass</w:t>
      </w:r>
      <w:r>
        <w:rPr>
          <w:vertAlign w:val="superscript"/>
        </w:rPr>
        <w:t xml:space="preserve">-1</w:t>
      </w:r>
      <w:r>
        <w:t xml:space="preserve"> </w:t>
      </w:r>
      <w:r>
        <w:t xml:space="preserve">d</w:t>
      </w:r>
      <w:r>
        <w:rPr>
          <w:vertAlign w:val="superscript"/>
        </w:rPr>
        <w:t xml:space="preserve">-1</w:t>
      </w:r>
      <w:r>
        <w:t xml:space="preserve">) of stems (s), fine roots (fr) and coarse roots (cr) and</w:t>
      </w:r>
      <w:r>
        <w:t xml:space="preserve"> </w:t>
      </w:r>
      <w:r>
        <w:rPr>
          <w:i/>
        </w:rPr>
        <w:t xml:space="preserve">M</w:t>
      </w:r>
      <w:r>
        <w:t xml:space="preserve"> </w:t>
      </w:r>
      <w:r>
        <w:t xml:space="preserve">is the modelled standing biomass for each tissue component (g). Leaf respiration is included in the calculation of</w:t>
      </w:r>
      <w:r>
        <w:t xml:space="preserve"> </w:t>
      </w:r>
      <w:r>
        <w:rPr>
          <w:i/>
        </w:rPr>
        <w:t xml:space="preserve">P</w:t>
      </w:r>
      <w:r>
        <w:t xml:space="preserve">. The change in each tissue component biomass (</w:t>
      </w:r>
      <w:r>
        <w:rPr>
          <w:i/>
        </w:rPr>
        <w:t xml:space="preserve">M</w:t>
      </w:r>
      <w:r>
        <w:t xml:space="preserve">) on daily time steps, including leaves, stems, fine roots and coarse roots, is given by</w:t>
      </w:r>
    </w:p>
    <w:p>
      <w:pPr>
        <w:pStyle w:val="BodyText"/>
      </w:pPr>
      <w:r>
        <w:br w:type="textWrapping"/>
      </w:r>
      <w:r>
        <w:t xml:space="preserve">(3)</w:t>
      </w:r>
    </w:p>
    <w:p>
      <w:pPr>
        <w:pStyle w:val="BodyText"/>
      </w:pPr>
      <m:oMathPara>
        <m:oMathParaPr>
          <m:jc m:val="center"/>
        </m:oMathParaPr>
        <m:oMath>
          <m:f>
            <m:fPr>
              <m:type m:val="bar"/>
            </m:fPr>
            <m:num>
              <m:r>
                <m:rPr/>
                <m:t>d</m:t>
              </m:r>
              <m:r>
                <m:rPr/>
                <m:t>M</m:t>
              </m:r>
            </m:num>
            <m:den>
              <m:r>
                <m:rPr/>
                <m:t>d</m:t>
              </m:r>
              <m:r>
                <m:rPr/>
                <m:t>t</m:t>
              </m:r>
            </m:den>
          </m:f>
          <m:r>
            <m:rPr/>
            <m:t>=</m:t>
          </m:r>
          <m:r>
            <m:rPr/>
            <m:t>θ</m:t>
          </m:r>
          <m:r>
            <m:rPr/>
            <m:t> </m:t>
          </m:r>
          <m:r>
            <m:rPr/>
            <m:t>P</m:t>
          </m:r>
          <m:r>
            <m:rPr/>
            <m:t>(</m:t>
          </m:r>
          <m:r>
            <m:rPr/>
            <m:t>t</m:t>
          </m:r>
          <m:r>
            <m:rPr/>
            <m:t>)</m:t>
          </m:r>
          <m:r>
            <m:rPr/>
            <m:t> </m:t>
          </m:r>
          <m:r>
            <m:rPr/>
            <m:t>−</m:t>
          </m:r>
          <m:r>
            <m:rPr/>
            <m:t> </m:t>
          </m:r>
          <m:r>
            <m:rPr/>
            <m:t>(</m:t>
          </m:r>
          <m:r>
            <m:rPr/>
            <m:t>Λ</m:t>
          </m:r>
          <m:r>
            <m:rPr/>
            <m:t> </m:t>
          </m:r>
          <m:r>
            <m:rPr/>
            <m:t>M</m:t>
          </m:r>
          <m:r>
            <m:rPr/>
            <m:t>)</m:t>
          </m:r>
        </m:oMath>
      </m:oMathPara>
    </w:p>
    <w:p>
      <w:pPr>
        <w:pStyle w:val="BodyText"/>
      </w:pPr>
      <w:r>
        <w:t xml:space="preserve">where</w:t>
      </w:r>
      <w:r>
        <w:t xml:space="preserve"> </w:t>
      </w:r>
      <m:oMath>
        <m:r>
          <m:rPr/>
          <m:t>θ</m:t>
        </m:r>
      </m:oMath>
      <w:r>
        <w:t xml:space="preserve"> </w:t>
      </w:r>
      <w:r>
        <w:t xml:space="preserve">is the component specific biomass partitioning to whole plant biomass (%) and</w:t>
      </w:r>
      <w:r>
        <w:t xml:space="preserve"> </w:t>
      </w:r>
      <m:oMath>
        <m:r>
          <m:rPr/>
          <m:t>Λ</m:t>
        </m:r>
      </m:oMath>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t xml:space="preserve"> </w:t>
      </w:r>
      <w:r>
        <w:t xml:space="preserve">of stems was assumed to equal 0. Total seedling biomass, per time step, was then equal to the sum of all biomass components; leaves, stems, fine roots and coarse roots.</w:t>
      </w:r>
    </w:p>
    <w:p>
      <w:pPr>
        <w:pStyle w:val="Heading2"/>
      </w:pPr>
      <w:bookmarkStart w:id="32" w:name="model-parameters-and-simulations"/>
      <w:bookmarkEnd w:id="32"/>
      <w:r>
        <w:t xml:space="preserve">Model parameters and simulations</w:t>
      </w:r>
    </w:p>
    <w:p>
      <w:pPr>
        <w:pStyle w:val="FirstParagraph"/>
      </w:pPr>
      <w:r>
        <w:rPr>
          <w:i/>
        </w:rPr>
        <w:t xml:space="preserve">P</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P</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P</w:t>
      </w:r>
      <w:r>
        <w:t xml:space="preserve"> </w:t>
      </w:r>
      <w:r>
        <w:t xml:space="preserve">for each soil volume treatment, one value for each day of the experiment. Thus, each daily time step for model runs included a value of</w:t>
      </w:r>
      <w:r>
        <w:t xml:space="preserve"> </w:t>
      </w:r>
      <w:r>
        <w:rPr>
          <w:i/>
        </w:rPr>
        <w:t xml:space="preserve">P</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P</w:t>
      </w:r>
      <w:r>
        <w:t xml:space="preserve">. All default parameters used in model simulations are reported in Table S1.</w:t>
      </w:r>
    </w:p>
    <w:p>
      <w:pPr>
        <w:pStyle w:val="BodyText"/>
      </w:pPr>
      <w:r>
        <w:br w:type="textWrapping"/>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First, a default model with mean photosynthetic parameters from the free seedlings was optimized to estimate a leaf mass fraction (LMF) which correctly predicted both the leaf mass and total biomass of the harvested free seedlings (</w:t>
      </w:r>
      <w:r>
        <w:rPr>
          <w:i/>
        </w:rPr>
        <w:t xml:space="preserve">M</w:t>
      </w:r>
      <w:r>
        <w:rPr>
          <w:vertAlign w:val="subscript"/>
        </w:rPr>
        <w:t xml:space="preserve">free</w:t>
      </w:r>
      <w:r>
        <w:t xml:space="preserve">). This optimized LMF was then used to constrain model runs with treatment-specific</w:t>
      </w:r>
      <w:r>
        <w:t xml:space="preserve"> </w:t>
      </w:r>
      <w:r>
        <w:rPr>
          <w:i/>
        </w:rPr>
        <w:t xml:space="preserve">P</w:t>
      </w:r>
      <w:r>
        <w:t xml:space="preserve">, while keeping woody tissue respiration and tissue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Cumulative net leaf C gain for each treatment was equal to the sum of each value of</w:t>
      </w:r>
      <w:r>
        <w:t xml:space="preserve"> </w:t>
      </w:r>
      <w:r>
        <w:rPr>
          <w:i/>
        </w:rPr>
        <w:t xml:space="preserve">P</w:t>
      </w:r>
      <w:r>
        <w:t xml:space="preserve"> </w:t>
      </w:r>
      <w:r>
        <w:t xml:space="preserve">over 120 days and final seedling C was assumed to equal half of the final dry mass for both modeled and observed seedlings. Seedling biomass production was compared between model output and harvested seedlings with treatment-specific mean</w:t>
      </w:r>
      <w:r>
        <w:t xml:space="preserve"> </w:t>
      </w:r>
      <w:r>
        <w:rPr>
          <w:i/>
        </w:rPr>
        <w:t xml:space="preserve">P</w:t>
      </w:r>
      <w:r>
        <w:t xml:space="preserve"> </w:t>
      </w:r>
      <w:r>
        <w:t xml:space="preserve">by first scaling values to the free seedling control.</w:t>
      </w:r>
    </w:p>
    <w:p>
      <w:pPr>
        <w:pStyle w:val="Heading2"/>
      </w:pPr>
      <w:bookmarkStart w:id="33" w:name="data-analysis"/>
      <w:bookmarkEnd w:id="33"/>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4" w:name="results"/>
      <w:bookmarkEnd w:id="34"/>
      <w:r>
        <w:t xml:space="preserve">Results</w:t>
      </w:r>
    </w:p>
    <w:p>
      <w:pPr>
        <w:pStyle w:val="Heading2"/>
      </w:pPr>
      <w:bookmarkStart w:id="35" w:name="growth-and-morphology"/>
      <w:bookmarkEnd w:id="35"/>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6" w:name="leaf-and-root-chemistry"/>
      <w:bookmarkEnd w:id="36"/>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7" w:name="gas-exchange-and-photosynthetic-parameters"/>
      <w:bookmarkEnd w:id="37"/>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w:t>
      </w:r>
      <w:r>
        <w:rPr>
          <w:vertAlign w:val="subscript"/>
        </w:rPr>
        <w:t xml:space="preserve">f</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w:t>
      </w:r>
      <w:r>
        <w:rPr>
          <w:vertAlign w:val="subscript"/>
        </w:rPr>
        <w:t xml:space="preserve">f</w:t>
      </w:r>
      <w:r>
        <w:t xml:space="preserve"> </w:t>
      </w:r>
      <w:r>
        <w:t xml:space="preserve">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w:t>
      </w:r>
      <w:r>
        <w:rPr>
          <w:vertAlign w:val="subscript"/>
        </w:rPr>
        <w:t xml:space="preserve">f</w:t>
      </w:r>
      <w:r>
        <w:t xml:space="preserve"> </w:t>
      </w:r>
      <w:r>
        <w:t xml:space="preserve">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w:t>
      </w:r>
      <w:r>
        <w:rPr>
          <w:vertAlign w:val="subscript"/>
        </w:rPr>
        <w:t xml:space="preserve">f</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w:t>
      </w:r>
      <w:r>
        <w:rPr>
          <w:vertAlign w:val="subscript"/>
        </w:rPr>
        <w:t xml:space="preserve">f</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Overall, the J</w:t>
      </w:r>
      <w:r>
        <w:rPr>
          <w:vertAlign w:val="subscript"/>
        </w:rPr>
        <w:t xml:space="preserve">max</w:t>
      </w:r>
      <w:r>
        <w:t xml:space="preserve">:Vc</w:t>
      </w:r>
      <w:r>
        <w:rPr>
          <w:vertAlign w:val="subscript"/>
        </w:rPr>
        <w:t xml:space="preserve">max</w:t>
      </w:r>
      <w:r>
        <w:t xml:space="preserve"> </w:t>
      </w:r>
      <w:r>
        <w:t xml:space="preserve">ratio was relatively conserved across all treatments (1.6±0.02), which is consistent with findings across many tree species</w:t>
      </w:r>
      <w:r>
        <w:t xml:space="preserve"> </w:t>
      </w:r>
      <w:r>
        <w:t xml:space="preserve">(Medlyn, 1996; Leuning, 1997; Medlyn</w:t>
      </w:r>
      <w:r>
        <w:t xml:space="preserve"> </w:t>
      </w:r>
      <w:r>
        <w:rPr>
          <w:i/>
        </w:rPr>
        <w:t xml:space="preserve">et al.</w:t>
      </w:r>
      <w:r>
        <w:t xml:space="preserve">, 1999; Warren</w:t>
      </w:r>
      <w:r>
        <w:t xml:space="preserve"> </w:t>
      </w:r>
      <w:r>
        <w:rPr>
          <w:i/>
        </w:rPr>
        <w:t xml:space="preserve">et al.</w:t>
      </w:r>
      <w:r>
        <w:t xml:space="preserve">, 2003; Crous</w:t>
      </w:r>
      <w:r>
        <w:t xml:space="preserve"> </w:t>
      </w:r>
      <w:r>
        <w:rPr>
          <w:i/>
        </w:rPr>
        <w:t xml:space="preserve">et al.</w:t>
      </w:r>
      <w:r>
        <w:t xml:space="preserve">, 2008)</w:t>
      </w:r>
      <w:r>
        <w:t xml:space="preserve">.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.045 %), with minimal decreases from pre-planting values (</w:t>
      </w:r>
      <m:oMath>
        <m:bar>
          <m:barPr>
            <m:pos m:val="top"/>
          </m:barPr>
          <m:e>
            <m:r>
              <m:rPr/>
              <m:t>x</m:t>
            </m:r>
          </m:e>
        </m:bar>
      </m:oMath>
      <w:r>
        <w:t xml:space="preserve"> </w:t>
      </w:r>
      <w:r>
        <w:t xml:space="preserve">= .049 %). This similarity indicates that nutrient leaching from free seedlings or from draining of containers following natural rainfall events did not differ between treatments.</w:t>
      </w:r>
    </w:p>
    <w:p>
      <w:pPr>
        <w:pStyle w:val="Heading2"/>
      </w:pPr>
      <w:bookmarkStart w:id="38" w:name="modelling-seedling-biomass"/>
      <w:bookmarkEnd w:id="38"/>
      <w:r>
        <w:t xml:space="preserve">Modelling seedling biomass</w:t>
      </w:r>
    </w:p>
    <w:p>
      <w:pPr>
        <w:pStyle w:val="FirstParagraph"/>
      </w:pP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1.0 %. Using this optimized LMF, the modeled total biomass of seedlings for each soil volume treatment (</w:t>
      </w:r>
      <w:r>
        <w:rPr>
          <w:i/>
        </w:rPr>
        <w:t xml:space="preserve">M</w:t>
      </w:r>
      <w:r>
        <w:rPr>
          <w:vertAlign w:val="subscript"/>
        </w:rPr>
        <w:t xml:space="preserve">pots</w:t>
      </w:r>
      <w:r>
        <w:t xml:space="preserve">) was on average 11±2.3 g C more than measured seedling biomass when compared against predicted total net leaf C gain (Figure 6a). As a result, seedling C mass was overestimated by an average of 45±6.2 %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Heading1"/>
      </w:pPr>
      <w:bookmarkStart w:id="39" w:name="discussion"/>
      <w:bookmarkEnd w:id="39"/>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0" w:name="reductions-in-growth-and-physiology-under-sink-limitation"/>
      <w:bookmarkEnd w:id="40"/>
      <w:r>
        <w:t xml:space="preserve">Reductions in growth and physiology under sink limitation</w:t>
      </w:r>
    </w:p>
    <w:p>
      <w:pPr>
        <w:pStyle w:val="FirstParagraph"/>
      </w:pPr>
      <w:r>
        <w:t xml:space="preserve">Soon after seedlings became established, both height and diameter growth were negatively affected by decreasing soil volume. Low growth led to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reduced water availability or nutrient content,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w:t>
      </w:r>
      <w:r>
        <w:rPr>
          <w:vertAlign w:val="subscript"/>
        </w:rPr>
        <w:t xml:space="preserve">f</w:t>
      </w:r>
      <w:r>
        <w:t xml:space="preserve"> </w:t>
      </w:r>
      <w:r>
        <w:t xml:space="preserve">and leaf N</w:t>
      </w:r>
      <w:r>
        <w:rPr>
          <w:vertAlign w:val="subscript"/>
        </w:rPr>
        <w:t xml:space="preserve">f</w:t>
      </w:r>
      <w:r>
        <w:t xml:space="preserve"> </w:t>
      </w:r>
      <w:r>
        <w:t xml:space="preserve">was considerably reduced for seedlings in containers. Since reductions in leaf N</w:t>
      </w:r>
      <w:r>
        <w:rPr>
          <w:vertAlign w:val="subscript"/>
        </w:rPr>
        <w:t xml:space="preserve">f</w:t>
      </w:r>
      <w:r>
        <w:t xml:space="preserve"> </w:t>
      </w:r>
      <w:r>
        <w:t xml:space="preserve">were detected with TNC-free leaf mass, TNC dilution of leaf N was accounted for in all seedlings. It it possible that either physical root restriction or decreased supply reduced seedling N uptake in small containers. Although root N was on average higher in free seedlings at the end of the experiment, it was not consistently higher than the smallest container volume treatment. Unrestricted mycorrhizal recruitment could have instead facilitated the increases in leaf N</w:t>
      </w:r>
      <w:r>
        <w:rPr>
          <w:vertAlign w:val="subscript"/>
        </w:rPr>
        <w:t xml:space="preserve">f</w:t>
      </w:r>
      <w:r>
        <w:t xml:space="preserve"> </w:t>
      </w:r>
      <w:r>
        <w:t xml:space="preserve">in free seedlings, but this effect is unknown. Soil N also declined evenly across all treatments, providing no clear evidence for decreased supply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w:t>
      </w:r>
      <w:r>
        <w:rPr>
          <w:vertAlign w:val="subscript"/>
        </w:rPr>
        <w:t xml:space="preserve">f</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1" w:name="biomass-partitioning-under-sink-limitation"/>
      <w:bookmarkEnd w:id="41"/>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outside of ontogenetic drift (Figure 3a,b). This result is unexpected as shifts in partitioning have been noted specifically for nutrient limitation</w:t>
      </w:r>
      <w:r>
        <w:t xml:space="preserve"> </w:t>
      </w:r>
      <w:r>
        <w:t xml:space="preserve">(McConnaughay &amp;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2" w:name="do-reductions-in-photosynthesis-explain-reductions-in-seedling-growth"/>
      <w:bookmarkEnd w:id="42"/>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w:t>
      </w:r>
    </w:p>
    <w:p>
      <w:pPr>
        <w:pStyle w:val="BodyText"/>
      </w:pPr>
      <w:r>
        <w:br w:type="textWrapping"/>
      </w:r>
      <w:r>
        <w:t xml:space="preserve">Focusing only on empirical results in this study points to</w:t>
      </w:r>
      <w:r>
        <w:t xml:space="preserve"> </w:t>
      </w:r>
      <w:r>
        <w:rPr>
          <w:i/>
        </w:rPr>
        <w:t xml:space="preserve">A</w:t>
      </w:r>
      <w:r>
        <w:rPr>
          <w:vertAlign w:val="subscript"/>
        </w:rPr>
        <w:t xml:space="preserve">n</w:t>
      </w:r>
      <w:r>
        <w:t xml:space="preserve"> </w:t>
      </w:r>
      <w:r>
        <w:t xml:space="preserve">driving reductions in seedling growth. Our modelling results reveal that other components of the C balance, beyond</w:t>
      </w:r>
      <w:r>
        <w:t xml:space="preserve"> </w:t>
      </w:r>
      <w:r>
        <w:rPr>
          <w:i/>
        </w:rPr>
        <w:t xml:space="preserve">A</w:t>
      </w:r>
      <w:r>
        <w:rPr>
          <w:vertAlign w:val="subscript"/>
        </w:rPr>
        <w:t xml:space="preserve">n</w:t>
      </w:r>
      <w:r>
        <w:t xml:space="preserve">, are required to explain the observed seedling biomass response to sink manipulation. This discrepancy is noteworty, as partial accounting of the different mechaninsms involved in plant carbon balance can lead to erroneous conclusions</w:t>
      </w:r>
      <w:r>
        <w:t xml:space="preserve"> </w:t>
      </w:r>
      <w:r>
        <w:t xml:space="preserve">(Valentini</w:t>
      </w:r>
      <w:r>
        <w:t xml:space="preserve"> </w:t>
      </w:r>
      <w:r>
        <w:rPr>
          <w:i/>
        </w:rPr>
        <w:t xml:space="preserve">et al.</w:t>
      </w:r>
      <w:r>
        <w:t xml:space="preserve">, 2000)</w:t>
      </w:r>
      <w:r>
        <w:t xml:space="preserve">. For example, the fraction of photosynthate used in respiration is known to vary depending on species and local environmental conditions</w:t>
      </w:r>
      <w:r>
        <w:t xml:space="preserve"> </w:t>
      </w:r>
      <w:r>
        <w:t xml:space="preserve">(Lambers</w:t>
      </w:r>
      <w:r>
        <w:t xml:space="preserve"> </w:t>
      </w:r>
      <w:r>
        <w:rPr>
          <w:i/>
        </w:rPr>
        <w:t xml:space="preserve">et al.</w:t>
      </w:r>
      <w:r>
        <w:t xml:space="preserve">, 2008)</w:t>
      </w:r>
      <w:r>
        <w:t xml:space="preserve">, yet is often considered a static parameter in process based growth models. The use of fixed rates of respiration in our model likely underestimates seedling responses to sink limitation. Thus,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However, the degree to which these mechanisms regulate the C available for growth will undoubtedly shift across different species and environmental conditions.</w:t>
      </w:r>
    </w:p>
    <w:p>
      <w:pPr>
        <w:pStyle w:val="Heading2"/>
      </w:pPr>
      <w:bookmarkStart w:id="43" w:name="conclusions"/>
      <w:bookmarkEnd w:id="43"/>
      <w:r>
        <w:t xml:space="preserve">Conclusions</w:t>
      </w:r>
    </w:p>
    <w:p>
      <w:pPr>
        <w:pStyle w:val="FirstParagraph"/>
      </w:pPr>
      <w:r>
        <w:t xml:space="preserve">With a novel field-based design we detected a massive effect of container volume on seedling growth, when compared with naturally planted seedlings. This finding is important as manipulations of plants grown in containers are often used to draw conclusions about growth and physiological principles, but how these results actually reflect field-grown plants is seldom studied. Although biomass partitioning was conserved, our empirical and model results suggest that the amount of photosynthate allocated to non-biomass pools were likely altered by sink inhibition. The debate over how rates of photosynthesis affect plant growth or to what degree these rates are instead controlled by growth has existed for decades</w:t>
      </w:r>
      <w:r>
        <w:t xml:space="preserve"> </w:t>
      </w:r>
      <w:r>
        <w:t xml:space="preserve">(Sweet &amp;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It has been suggested that tissue sink activity strongly feedbacks onto source activity, causing growth to control</w:t>
      </w:r>
      <w:r>
        <w:t xml:space="preserve"> </w:t>
      </w:r>
      <w:r>
        <w:rPr>
          <w:i/>
        </w:rPr>
        <w:t xml:space="preserve">A</w:t>
      </w:r>
      <w:r>
        <w:rPr>
          <w:vertAlign w:val="subscript"/>
        </w:rPr>
        <w:t xml:space="preserve">n</w:t>
      </w:r>
      <w:r>
        <w:t xml:space="preserve"> </w:t>
      </w:r>
      <w:r>
        <w:t xml:space="preserve">through the demand for C</w:t>
      </w:r>
      <w:r>
        <w:t xml:space="preserve"> </w:t>
      </w:r>
      <w:r>
        <w:t xml:space="preserve">(Körner, 2013, 2015)</w:t>
      </w:r>
      <w:r>
        <w:t xml:space="preserve">. Although this may be true, our results imply that quantifying the fate of assimilated C into known pools of growth, storage and C loss are needed prior to addressing this debate. The approach used here has the flexibility to account for multiple drivers of C allocation and provides an avenue to address future questions regarding the impact of environmental change on plant growth.</w:t>
      </w:r>
    </w:p>
    <w:p>
      <w:pPr>
        <w:pStyle w:val="Heading1"/>
      </w:pPr>
      <w:bookmarkStart w:id="44" w:name="tables"/>
      <w:bookmarkEnd w:id="44"/>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SLA</w:t>
      </w:r>
      <w:r>
        <w:rPr>
          <w:vertAlign w:val="subscript"/>
        </w:rPr>
        <w:t xml:space="preserve">f</w:t>
      </w:r>
      <w:r>
        <w:t xml:space="preserve">, leaf starch, leaf sugars and leaf N</w:t>
      </w:r>
      <w:r>
        <w:rPr>
          <w:vertAlign w:val="subscript"/>
        </w:rPr>
        <w:t xml:space="preserve">f</w:t>
      </w:r>
      <w:r>
        <w:t xml:space="preserve"> </w:t>
      </w:r>
      <w:r>
        <w:t xml:space="preserve">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319.444444444443"/>
        <w:tblLook w:firstRow="1"/>
      </w:tblPr>
      <w:tblGrid>
        <w:gridCol w:w="2750"/>
        <w:gridCol w:w="2530"/>
        <w:gridCol w:w="2860"/>
        <w:gridCol w:w="2310"/>
        <w:gridCol w:w="2310"/>
        <w:gridCol w:w="209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f</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w:t>
            </w:r>
            <w:r>
              <w:rPr>
                <w:vertAlign w:val="subscript"/>
                <w:b/>
              </w:rPr>
              <w:t xml:space="preserve">f</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5625.0"/>
        <w:tblLook w:firstRow="1"/>
      </w:tblPr>
      <w:tblGrid>
        <w:gridCol w:w="2750"/>
        <w:gridCol w:w="176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4722.22222222222"/>
        <w:tblLook w:firstRow="1"/>
      </w:tblPr>
      <w:tblGrid>
        <w:gridCol w:w="2750"/>
        <w:gridCol w:w="4069"/>
        <w:gridCol w:w="3300"/>
        <w:gridCol w:w="4069"/>
        <w:gridCol w:w="418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V</w:t>
            </w:r>
            <w:r>
              <w:rPr>
                <w:vertAlign w:val="subscript"/>
                <w:b/>
              </w:rPr>
              <w:t xml:space="preserve">cmax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5" w:name="figures"/>
      <w:bookmarkEnd w:id="45"/>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6"/>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8"/>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50"/>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1"/>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2" w:name="supporting-information"/>
      <w:bookmarkEnd w:id="52"/>
      <w:r>
        <w:t xml:space="preserve">Supporting Information</w:t>
      </w:r>
    </w:p>
    <w:p>
      <w:pPr>
        <w:pStyle w:val="FirstParagraph"/>
      </w:pPr>
      <w:r>
        <w:rPr>
          <w:b/>
        </w:rPr>
        <w:t xml:space="preserve">Table S1</w:t>
      </w:r>
      <w:r>
        <w:t xml:space="preserve">.Seedling growth model default parameters.</w:t>
      </w:r>
    </w:p>
    <w:tbl>
      <w:tblPr>
        <w:tblStyle w:val="TableNormal"/>
        <w:tblW w:type="pct" w:w="8402.777777777777"/>
        <w:tblLook w:firstRow="1"/>
      </w:tblPr>
      <w:tblGrid>
        <w:gridCol w:w="220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w:t>
            </w:r>
            <w:r>
              <w:rPr>
                <w:vertAlign w:val="subscript"/>
              </w:rPr>
              <w:t xml:space="preserve">0</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w:t>
            </w:r>
            <w:r>
              <w:rPr>
                <w:vertAlign w:val="subscript"/>
              </w:rPr>
              <w:t xml:space="preserve">0</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w:t>
            </w:r>
            <w:r>
              <w:rPr>
                <w:vertAlign w:val="subscript"/>
              </w:rPr>
              <w:t xml:space="preserve">0</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w:t>
            </w:r>
            <w:r>
              <w:rPr>
                <w:vertAlign w:val="subscript"/>
              </w:rPr>
              <w:t xml:space="preserve">0</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rPr>
                <w:i/>
              </w:rP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rPr>
                <w:i/>
              </w:rP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rPr>
                <w:i/>
              </w:rP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rPr>
                <w:i/>
              </w:rPr>
              <w:t xml:space="preserve">P</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4" w:name="references"/>
      <w:bookmarkEnd w:id="54"/>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Chapin FS</w:t>
      </w:r>
      <w:r>
        <w:rPr>
          <w:b/>
        </w:rPr>
        <w:t xml:space="preserve">,</w:t>
      </w:r>
      <w:r>
        <w:rPr>
          <w:b/>
        </w:rPr>
        <w:t xml:space="preserve"> </w:t>
      </w:r>
      <w:r>
        <w:rPr>
          <w:b w:val="0"/>
          <w:b/>
        </w:rPr>
        <w:t xml:space="preserve">Schulze E-D</w:t>
      </w:r>
      <w:r>
        <w:rPr>
          <w:b/>
        </w:rPr>
        <w:t xml:space="preserve">,</w:t>
      </w:r>
      <w:r>
        <w:rPr>
          <w:b/>
        </w:rPr>
        <w:t xml:space="preserve"> </w:t>
      </w:r>
      <w:r>
        <w:rPr>
          <w:b w:val="0"/>
          <w:b/>
        </w:rPr>
        <w:t xml:space="preserve">Mooney HA</w:t>
      </w:r>
      <w:r>
        <w:t xml:space="preserve">.</w:t>
      </w:r>
      <w:r>
        <w:t xml:space="preserve"> </w:t>
      </w:r>
      <w:r>
        <w:rPr>
          <w:b/>
        </w:rPr>
        <w:t xml:space="preserve">1990</w:t>
      </w:r>
      <w:r>
        <w:t xml:space="preserve">. The ecology and economics of storage in plants.</w:t>
      </w:r>
      <w:r>
        <w:t xml:space="preserve"> </w:t>
      </w:r>
      <w:r>
        <w:rPr>
          <w:i/>
        </w:rPr>
        <w:t xml:space="preserve">Annual review of ecology and systematics</w:t>
      </w:r>
      <w:r>
        <w:t xml:space="preserve"> </w:t>
      </w:r>
      <w:r>
        <w:rPr>
          <w:b/>
        </w:rPr>
        <w:t xml:space="preserve">21</w:t>
      </w:r>
      <w:r>
        <w:t xml:space="preserve">: 423–447.</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w:r>
        <w:rPr>
          <w:i/>
        </w:rPr>
        <w:t xml:space="preserve">Eucalyptus globulus</w:t>
      </w:r>
      <w:r>
        <w:t xml:space="preserve"> </w:t>
      </w:r>
      <w:r>
        <w:t xml:space="preserve">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Crous KY</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2008</w:t>
      </w:r>
      <w:r>
        <w:t xml:space="preserve">. Elevated CO</w:t>
      </w:r>
      <w:r>
        <w:rPr>
          <w:vertAlign w:val="subscript"/>
        </w:rPr>
        <w:t xml:space="preserve">2</w:t>
      </w:r>
      <w:r>
        <w:t xml:space="preserve"> </w:t>
      </w:r>
      <w:r>
        <w:t xml:space="preserve">concentration affects leaf photosynthesis–nitrogen relationships in</w:t>
      </w:r>
      <w:r>
        <w:t xml:space="preserve"> </w:t>
      </w:r>
      <w:r>
        <w:rPr>
          <w:i/>
        </w:rPr>
        <w:t xml:space="preserve">Pinus taeda</w:t>
      </w:r>
      <w:r>
        <w:t xml:space="preserve"> </w:t>
      </w:r>
      <w:r>
        <w:t xml:space="preserve">over nine years in FACE.</w:t>
      </w:r>
      <w:r>
        <w:t xml:space="preserve"> </w:t>
      </w:r>
      <w:r>
        <w:rPr>
          <w:i/>
        </w:rPr>
        <w:t xml:space="preserve">Tree Physiology</w:t>
      </w:r>
      <w:r>
        <w:t xml:space="preserve"> </w:t>
      </w:r>
      <w:r>
        <w:rPr>
          <w:b/>
        </w:rPr>
        <w:t xml:space="preserve">28</w:t>
      </w:r>
      <w:r>
        <w:t xml:space="preserve">: 607–614.</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w:r>
        <w:rPr>
          <w:i/>
        </w:rPr>
        <w:t xml:space="preserve">Eucalyptus</w:t>
      </w:r>
      <w:r>
        <w:t xml:space="preserve"> </w:t>
      </w:r>
      <w:r>
        <w:t xml:space="preserve">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r>
        <w:t xml:space="preserve"> </w:t>
      </w:r>
      <w:r>
        <w:rPr>
          <w:b/>
        </w:rPr>
        <w:t xml:space="preserve">2013</w:t>
      </w:r>
      <w:r>
        <w:t xml:space="preserve">. Whole-plant versus leaf-level regulation of photosynthetic responses after partial defoliation in</w:t>
      </w:r>
      <w:r>
        <w:t xml:space="preserve"> </w:t>
      </w:r>
      <w:r>
        <w:rPr>
          <w:i/>
        </w:rPr>
        <w:t xml:space="preserve">Eucalyptus globulus</w:t>
      </w:r>
      <w:r>
        <w:t xml:space="preserve"> </w:t>
      </w:r>
      <w:r>
        <w:t xml:space="preserve">saplings.</w:t>
      </w:r>
      <w:r>
        <w:t xml:space="preserve"> </w:t>
      </w:r>
      <w:r>
        <w:rPr>
          <w:i/>
        </w:rPr>
        <w:t xml:space="preserve">Journal of Experimental Botany</w:t>
      </w:r>
      <w:r>
        <w:t xml:space="preserve"> </w:t>
      </w:r>
      <w:r>
        <w:rPr>
          <w:b/>
        </w:rPr>
        <w:t xml:space="preserve">64</w:t>
      </w:r>
      <w:r>
        <w:t xml:space="preserve">: 1625–1636.</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w:r>
        <w:rPr>
          <w:i/>
        </w:rPr>
        <w:t xml:space="preserve">Eucalyptus grandis</w:t>
      </w:r>
      <w:r>
        <w:t xml:space="preserve"> </w:t>
      </w:r>
      <w:r>
        <w:t xml:space="preserve">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Kozlowski TT</w:t>
      </w:r>
      <w:r>
        <w:t xml:space="preserve">.</w:t>
      </w:r>
      <w:r>
        <w:t xml:space="preserve"> </w:t>
      </w:r>
      <w:r>
        <w:rPr>
          <w:b/>
        </w:rPr>
        <w:t xml:space="preserve">1992</w:t>
      </w:r>
      <w:r>
        <w:t xml:space="preserve">. Carbohydrate sources and sinks in woody plants.</w:t>
      </w:r>
      <w:r>
        <w:t xml:space="preserve"> </w:t>
      </w:r>
      <w:r>
        <w:rPr>
          <w:i/>
        </w:rPr>
        <w:t xml:space="preserve">The Botanical Review</w:t>
      </w:r>
      <w:r>
        <w:t xml:space="preserve"> </w:t>
      </w:r>
      <w:r>
        <w:rPr>
          <w:b/>
        </w:rPr>
        <w:t xml:space="preserve">58</w:t>
      </w:r>
      <w:r>
        <w:t xml:space="preserve">: 107–222.</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Körner C</w:t>
      </w:r>
      <w:r>
        <w:t xml:space="preserve">.</w:t>
      </w:r>
      <w:r>
        <w:t xml:space="preserve"> </w:t>
      </w:r>
      <w:r>
        <w:rPr>
          <w:b/>
        </w:rPr>
        <w:t xml:space="preserve">2015</w:t>
      </w:r>
      <w:r>
        <w:t xml:space="preserve">. Paradigm shift in plant growth control.</w:t>
      </w:r>
      <w:r>
        <w:t xml:space="preserve"> </w:t>
      </w:r>
      <w:r>
        <w:rPr>
          <w:i/>
        </w:rPr>
        <w:t xml:space="preserve">Current Opinion in Plant Biology</w:t>
      </w:r>
      <w:r>
        <w:t xml:space="preserve"> </w:t>
      </w:r>
      <w:r>
        <w:rPr>
          <w:b/>
        </w:rPr>
        <w:t xml:space="preserve">25</w:t>
      </w:r>
      <w:r>
        <w:t xml:space="preserve">: 107–114.</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w:r>
        <w:rPr>
          <w:i/>
        </w:rPr>
        <w:t xml:space="preserve">Prunus cerasus</w:t>
      </w:r>
      <w:r>
        <w:t xml:space="preserve"> </w:t>
      </w:r>
      <w:r>
        <w:t xml:space="preserve">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Leuning R</w:t>
      </w:r>
      <w:r>
        <w:t xml:space="preserve">.</w:t>
      </w:r>
      <w:r>
        <w:t xml:space="preserve"> </w:t>
      </w:r>
      <w:r>
        <w:rPr>
          <w:b/>
        </w:rPr>
        <w:t xml:space="preserve">1997</w:t>
      </w:r>
      <w:r>
        <w:t xml:space="preserve">. Scaling to a common temperature improves the correlation between the photosynthesis parameters Jmax and Vcmax.</w:t>
      </w:r>
      <w:r>
        <w:t xml:space="preserve"> </w:t>
      </w:r>
      <w:r>
        <w:rPr>
          <w:i/>
        </w:rPr>
        <w:t xml:space="preserve">Journal of Experimental Botany</w:t>
      </w:r>
      <w:r>
        <w:t xml:space="preserve"> </w:t>
      </w:r>
      <w:r>
        <w:rPr>
          <w:b/>
        </w:rPr>
        <w:t xml:space="preserve">48</w:t>
      </w:r>
      <w:r>
        <w:t xml:space="preserve">: 345–347.</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w:r>
        <w:rPr>
          <w:i/>
        </w:rPr>
        <w:t xml:space="preserve">Betula pubescens</w:t>
      </w:r>
      <w:r>
        <w:t xml:space="preserve">.</w:t>
      </w:r>
      <w:r>
        <w:t xml:space="preserve"> </w:t>
      </w:r>
      <w:r>
        <w:rPr>
          <w:i/>
        </w:rPr>
        <w:t xml:space="preserve">Oecologia</w:t>
      </w:r>
      <w:r>
        <w:t xml:space="preserve"> </w:t>
      </w:r>
      <w:r>
        <w:rPr>
          <w:b/>
        </w:rPr>
        <w:t xml:space="preserve">140</w:t>
      </w:r>
      <w:r>
        <w:t xml:space="preserve">: 234–240.</w:t>
      </w:r>
    </w:p>
    <w:p>
      <w:pPr>
        <w:pStyle w:val="Bibliography"/>
      </w:pPr>
      <w:r>
        <w:rPr>
          <w:b w:val="0"/>
          <w:b/>
        </w:rPr>
        <w:t xml:space="preserve">Mäkelä A</w:t>
      </w:r>
      <w:r>
        <w:t xml:space="preserve">.</w:t>
      </w:r>
      <w:r>
        <w:t xml:space="preserve"> </w:t>
      </w:r>
      <w:r>
        <w:rPr>
          <w:b/>
        </w:rPr>
        <w:t xml:space="preserve">1997</w:t>
      </w:r>
      <w:r>
        <w:t xml:space="preserve">. A carbon balance model of growth and self-pruning in trees based on structural relationships.</w:t>
      </w:r>
      <w:r>
        <w:t xml:space="preserve"> </w:t>
      </w:r>
      <w:r>
        <w:rPr>
          <w:i/>
        </w:rPr>
        <w:t xml:space="preserve">Forest Science</w:t>
      </w:r>
      <w:r>
        <w:t xml:space="preserve"> </w:t>
      </w:r>
      <w:r>
        <w:rPr>
          <w:b/>
        </w:rPr>
        <w:t xml:space="preserve">43</w:t>
      </w:r>
      <w:r>
        <w:t xml:space="preserve">: 7–24.</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t xml:space="preserve">.</w:t>
      </w:r>
      <w:r>
        <w:t xml:space="preserve"> </w:t>
      </w:r>
      <w:r>
        <w:rPr>
          <w:b/>
        </w:rPr>
        <w:t xml:space="preserve">1996</w:t>
      </w:r>
      <w:r>
        <w:t xml:space="preserve">. The optimal allocation of nitrogen within the C3 photosynthetic system at elevated CO</w:t>
      </w:r>
      <w:r>
        <w:rPr>
          <w:vertAlign w:val="subscript"/>
        </w:rPr>
        <w:t xml:space="preserve">2</w:t>
      </w:r>
      <w:r>
        <w:t xml:space="preserve">.</w:t>
      </w:r>
      <w:r>
        <w:t xml:space="preserve"> </w:t>
      </w:r>
      <w:r>
        <w:rPr>
          <w:i/>
        </w:rPr>
        <w:t xml:space="preserve">Functional Plant Biology</w:t>
      </w:r>
      <w:r>
        <w:t xml:space="preserve"> </w:t>
      </w:r>
      <w:r>
        <w:rPr>
          <w:b/>
        </w:rPr>
        <w:t xml:space="preserve">23</w:t>
      </w:r>
      <w:r>
        <w:t xml:space="preserve">: 593–603.</w:t>
      </w:r>
    </w:p>
    <w:p>
      <w:pPr>
        <w:pStyle w:val="Bibliography"/>
      </w:pPr>
      <w:r>
        <w:rPr>
          <w:b w:val="0"/>
          <w:b/>
        </w:rPr>
        <w:t xml:space="preserve">Medlyn BE</w:t>
      </w:r>
      <w:r>
        <w:rPr>
          <w:b/>
        </w:rPr>
        <w:t xml:space="preserve">,</w:t>
      </w:r>
      <w:r>
        <w:rPr>
          <w:b/>
        </w:rPr>
        <w:t xml:space="preserve"> </w:t>
      </w:r>
      <w:r>
        <w:rPr>
          <w:b w:val="0"/>
          <w:b/>
        </w:rPr>
        <w:t xml:space="preserve">Badeck F-W</w:t>
      </w:r>
      <w:r>
        <w:rPr>
          <w:b/>
        </w:rPr>
        <w:t xml:space="preserve">,</w:t>
      </w:r>
      <w:r>
        <w:rPr>
          <w:b/>
        </w:rPr>
        <w:t xml:space="preserve"> </w:t>
      </w:r>
      <w:r>
        <w:rPr>
          <w:b w:val="0"/>
          <w:b/>
        </w:rPr>
        <w:t xml:space="preserve">De Pury DGG</w:t>
      </w:r>
      <w:r>
        <w:rPr>
          <w:b/>
        </w:rPr>
        <w:t xml:space="preserve">,</w:t>
      </w:r>
      <w:r>
        <w:rPr>
          <w:b/>
        </w:rPr>
        <w:t xml:space="preserve"> </w:t>
      </w:r>
      <w:r>
        <w:rPr>
          <w:b w:val="0"/>
          <w:b/>
        </w:rPr>
        <w:t xml:space="preserve">Barton CVM</w:t>
      </w:r>
      <w:r>
        <w:rPr>
          <w:b/>
        </w:rPr>
        <w:t xml:space="preserve">,</w:t>
      </w:r>
      <w:r>
        <w:rPr>
          <w:b/>
        </w:rPr>
        <w:t xml:space="preserve"> </w:t>
      </w:r>
      <w:r>
        <w:rPr>
          <w:b w:val="0"/>
          <w:b/>
        </w:rPr>
        <w:t xml:space="preserve">Broadmeadow M</w:t>
      </w:r>
      <w:r>
        <w:rPr>
          <w:b/>
        </w:rPr>
        <w:t xml:space="preserve">,</w:t>
      </w:r>
      <w:r>
        <w:rPr>
          <w:b/>
        </w:rPr>
        <w:t xml:space="preserve"> </w:t>
      </w:r>
      <w:r>
        <w:rPr>
          <w:b w:val="0"/>
          <w:b/>
        </w:rPr>
        <w:t xml:space="preserve">Ceulemans R</w:t>
      </w:r>
      <w:r>
        <w:rPr>
          <w:b/>
        </w:rPr>
        <w:t xml:space="preserve">,</w:t>
      </w:r>
      <w:r>
        <w:rPr>
          <w:b/>
        </w:rPr>
        <w:t xml:space="preserve"> </w:t>
      </w:r>
      <w:r>
        <w:rPr>
          <w:b w:val="0"/>
          <w:b/>
        </w:rPr>
        <w:t xml:space="preserve">De Angelis P</w:t>
      </w:r>
      <w:r>
        <w:rPr>
          <w:b/>
        </w:rPr>
        <w:t xml:space="preserve">,</w:t>
      </w:r>
      <w:r>
        <w:rPr>
          <w:b/>
        </w:rPr>
        <w:t xml:space="preserve"> </w:t>
      </w:r>
      <w:r>
        <w:rPr>
          <w:b w:val="0"/>
          <w:b/>
        </w:rPr>
        <w:t xml:space="preserve">Forstreuter M</w:t>
      </w:r>
      <w:r>
        <w:rPr>
          <w:b/>
        </w:rPr>
        <w:t xml:space="preserve">,</w:t>
      </w:r>
      <w:r>
        <w:rPr>
          <w:b/>
        </w:rPr>
        <w:t xml:space="preserve"> </w:t>
      </w:r>
      <w:r>
        <w:rPr>
          <w:b w:val="0"/>
          <w:b/>
        </w:rPr>
        <w:t xml:space="preserve">Jach ME</w:t>
      </w:r>
      <w:r>
        <w:rPr>
          <w:b/>
        </w:rPr>
        <w:t xml:space="preserve">,</w:t>
      </w:r>
      <w:r>
        <w:rPr>
          <w:b/>
        </w:rPr>
        <w:t xml:space="preserve"> </w:t>
      </w:r>
      <w:r>
        <w:rPr>
          <w:b w:val="0"/>
          <w:b/>
        </w:rPr>
        <w:t xml:space="preserve">Kellomäki S</w:t>
      </w:r>
      <w:r>
        <w:rPr>
          <w:b/>
        </w:rPr>
        <w:t xml:space="preserve"> </w:t>
      </w:r>
      <w:r>
        <w:rPr>
          <w:i/>
          <w:b/>
        </w:rPr>
        <w:t xml:space="preserve">et al.</w:t>
      </w:r>
      <w:r>
        <w:t xml:space="preserve"> </w:t>
      </w:r>
      <w:r>
        <w:rPr>
          <w:b/>
        </w:rPr>
        <w:t xml:space="preserve">1999</w:t>
      </w:r>
      <w:r>
        <w:t xml:space="preserve">. Effects of elevated [CO</w:t>
      </w:r>
      <w:r>
        <w:rPr>
          <w:vertAlign w:val="subscript"/>
        </w:rPr>
        <w:t xml:space="preserve">2</w:t>
      </w:r>
      <w:r>
        <w:t xml:space="preserve">] on photosynthesis in European forest species: a meta-analysis of model parameters.</w:t>
      </w:r>
      <w:r>
        <w:t xml:space="preserve"> </w:t>
      </w:r>
      <w:r>
        <w:rPr>
          <w:i/>
        </w:rPr>
        <w:t xml:space="preserve">Plant, Cell &amp; Environment</w:t>
      </w:r>
      <w:r>
        <w:t xml:space="preserve"> </w:t>
      </w:r>
      <w:r>
        <w:rPr>
          <w:b/>
        </w:rPr>
        <w:t xml:space="preserve">22</w:t>
      </w:r>
      <w:r>
        <w:t xml:space="preserve">: 1475–1495.</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w:t>
      </w:r>
      <w:r>
        <w:rPr>
          <w:vertAlign w:val="superscript"/>
        </w:rPr>
        <w:t xml:space="preserve">2</w:t>
      </w:r>
      <w:r>
        <w:t xml:space="preserve"> </w:t>
      </w:r>
      <w:r>
        <w:t xml:space="preserve">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w:r>
        <w:rPr>
          <w:i/>
        </w:rPr>
        <w:t xml:space="preserve">Betula pendula</w:t>
      </w:r>
      <w:r>
        <w:t xml:space="preserve"> </w:t>
      </w:r>
      <w:r>
        <w:t xml:space="preserve">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Palacio S</w:t>
      </w:r>
      <w:r>
        <w:rPr>
          <w:b/>
        </w:rPr>
        <w:t xml:space="preserve">,</w:t>
      </w:r>
      <w:r>
        <w:rPr>
          <w:b/>
        </w:rPr>
        <w:t xml:space="preserve"> </w:t>
      </w:r>
      <w:r>
        <w:rPr>
          <w:b w:val="0"/>
          <w:b/>
        </w:rPr>
        <w:t xml:space="preserve">Hoch G</w:t>
      </w:r>
      <w:r>
        <w:rPr>
          <w:b/>
        </w:rPr>
        <w:t xml:space="preserve">,</w:t>
      </w:r>
      <w:r>
        <w:rPr>
          <w:b/>
        </w:rPr>
        <w:t xml:space="preserve"> </w:t>
      </w:r>
      <w:r>
        <w:rPr>
          <w:b w:val="0"/>
          <w:b/>
        </w:rPr>
        <w:t xml:space="preserve">Sala A</w:t>
      </w:r>
      <w:r>
        <w:rPr>
          <w:b/>
        </w:rPr>
        <w:t xml:space="preserve">,</w:t>
      </w:r>
      <w:r>
        <w:rPr>
          <w:b/>
        </w:rPr>
        <w:t xml:space="preserve"> </w:t>
      </w:r>
      <w:r>
        <w:rPr>
          <w:b w:val="0"/>
          <w:b/>
        </w:rPr>
        <w:t xml:space="preserve">Körner C</w:t>
      </w:r>
      <w:r>
        <w:rPr>
          <w:b/>
        </w:rPr>
        <w:t xml:space="preserve">,</w:t>
      </w:r>
      <w:r>
        <w:rPr>
          <w:b/>
        </w:rPr>
        <w:t xml:space="preserve"> </w:t>
      </w:r>
      <w:r>
        <w:rPr>
          <w:b w:val="0"/>
          <w:b/>
        </w:rPr>
        <w:t xml:space="preserve">Millard P</w:t>
      </w:r>
      <w:r>
        <w:t xml:space="preserve">.</w:t>
      </w:r>
      <w:r>
        <w:t xml:space="preserve"> </w:t>
      </w:r>
      <w:r>
        <w:rPr>
          <w:b/>
        </w:rPr>
        <w:t xml:space="preserve">2014</w:t>
      </w:r>
      <w:r>
        <w:t xml:space="preserve">. Does carbon storage limit tree growth?</w:t>
      </w:r>
      <w:r>
        <w:t xml:space="preserve"> </w:t>
      </w:r>
      <w:r>
        <w:rPr>
          <w:i/>
        </w:rPr>
        <w:t xml:space="preserve">New Phytologist</w:t>
      </w:r>
      <w:r>
        <w:t xml:space="preserve"> </w:t>
      </w:r>
      <w:r>
        <w:rPr>
          <w:b/>
        </w:rPr>
        <w:t xml:space="preserve">201</w:t>
      </w:r>
      <w:r>
        <w:t xml:space="preserve">: 1096–1100.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Paul MJ</w:t>
      </w:r>
      <w:r>
        <w:rPr>
          <w:b/>
        </w:rPr>
        <w:t xml:space="preserve">,</w:t>
      </w:r>
      <w:r>
        <w:rPr>
          <w:b/>
        </w:rPr>
        <w:t xml:space="preserve"> </w:t>
      </w:r>
      <w:r>
        <w:rPr>
          <w:b w:val="0"/>
          <w:b/>
        </w:rPr>
        <w:t xml:space="preserve">Foyer CH</w:t>
      </w:r>
      <w:r>
        <w:t xml:space="preserve">.</w:t>
      </w:r>
      <w:r>
        <w:t xml:space="preserve"> </w:t>
      </w:r>
      <w:r>
        <w:rPr>
          <w:b/>
        </w:rPr>
        <w:t xml:space="preserve">2001</w:t>
      </w:r>
      <w:r>
        <w:t xml:space="preserve">. Sink regulation of photosynthesis.</w:t>
      </w:r>
      <w:r>
        <w:t xml:space="preserve"> </w:t>
      </w:r>
      <w:r>
        <w:rPr>
          <w:i/>
        </w:rPr>
        <w:t xml:space="preserve">Journal of Experimental Botany</w:t>
      </w:r>
      <w:r>
        <w:t xml:space="preserve"> </w:t>
      </w:r>
      <w:r>
        <w:rPr>
          <w:b/>
        </w:rPr>
        <w:t xml:space="preserve">52</w:t>
      </w:r>
      <w:r>
        <w:t xml:space="preserve">: 1383–1400.</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w:r>
        <w:rPr>
          <w:i/>
        </w:rPr>
        <w:t xml:space="preserve">Eucalyptus nitens</w:t>
      </w:r>
      <w:r>
        <w:t xml:space="preserve"> </w:t>
      </w:r>
      <w:r>
        <w:t xml:space="preserve">(Deane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Pinkard EA</w:t>
      </w:r>
      <w:r>
        <w:rPr>
          <w:b/>
        </w:rPr>
        <w:t xml:space="preserve">,</w:t>
      </w:r>
      <w:r>
        <w:rPr>
          <w:b/>
        </w:rPr>
        <w:t xml:space="preserve"> </w:t>
      </w:r>
      <w:r>
        <w:rPr>
          <w:b w:val="0"/>
          <w:b/>
        </w:rPr>
        <w:t xml:space="preserve">Eyles A</w:t>
      </w:r>
      <w:r>
        <w:rPr>
          <w:b/>
        </w:rPr>
        <w:t xml:space="preserve">,</w:t>
      </w:r>
      <w:r>
        <w:rPr>
          <w:b/>
        </w:rPr>
        <w:t xml:space="preserve"> </w:t>
      </w:r>
      <w:r>
        <w:rPr>
          <w:b w:val="0"/>
          <w:b/>
        </w:rPr>
        <w:t xml:space="preserve">O’Grady AP</w:t>
      </w:r>
      <w:r>
        <w:t xml:space="preserve">.</w:t>
      </w:r>
      <w:r>
        <w:t xml:space="preserve"> </w:t>
      </w:r>
      <w:r>
        <w:rPr>
          <w:b/>
        </w:rPr>
        <w:t xml:space="preserve">2011</w:t>
      </w:r>
      <w:r>
        <w:t xml:space="preserve">. Are gas exchange responses to resource limitation and defoliation linked to source: sink relationships?</w:t>
      </w:r>
      <w:r>
        <w:t xml:space="preserve"> </w:t>
      </w:r>
      <w:r>
        <w:rPr>
          <w:i/>
        </w:rPr>
        <w:t xml:space="preserve">Plant, Cell &amp; Environment</w:t>
      </w:r>
      <w:r>
        <w:t xml:space="preserve"> </w:t>
      </w:r>
      <w:r>
        <w:rPr>
          <w:b/>
        </w:rPr>
        <w:t xml:space="preserve">34</w:t>
      </w:r>
      <w:r>
        <w:t xml:space="preserve">: 1652–1665.</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Robbins NS</w:t>
      </w:r>
      <w:r>
        <w:rPr>
          <w:b/>
        </w:rPr>
        <w:t xml:space="preserve">,</w:t>
      </w:r>
      <w:r>
        <w:rPr>
          <w:b/>
        </w:rPr>
        <w:t xml:space="preserve"> </w:t>
      </w:r>
      <w:r>
        <w:rPr>
          <w:b w:val="0"/>
          <w:b/>
        </w:rPr>
        <w:t xml:space="preserve">Pharr DM</w:t>
      </w:r>
      <w:r>
        <w:t xml:space="preserve">.</w:t>
      </w:r>
      <w:r>
        <w:t xml:space="preserve"> </w:t>
      </w:r>
      <w:r>
        <w:rPr>
          <w:b/>
        </w:rPr>
        <w:t xml:space="preserve">1988</w:t>
      </w:r>
      <w:r>
        <w:t xml:space="preserve">. Effect of restricted root growth on carbohydrate metabolism and whole plant growth of</w:t>
      </w:r>
      <w:r>
        <w:t xml:space="preserve"> </w:t>
      </w:r>
      <w:r>
        <w:rPr>
          <w:i/>
        </w:rPr>
        <w:t xml:space="preserve">Cucumis sativus</w:t>
      </w:r>
      <w:r>
        <w:t xml:space="preserve"> </w:t>
      </w:r>
      <w:r>
        <w:t xml:space="preserve">L.</w:t>
      </w:r>
      <w:r>
        <w:t xml:space="preserve"> </w:t>
      </w:r>
      <w:r>
        <w:rPr>
          <w:i/>
        </w:rPr>
        <w:t xml:space="preserve">Plant Physiology</w:t>
      </w:r>
      <w:r>
        <w:t xml:space="preserve"> </w:t>
      </w:r>
      <w:r>
        <w:rPr>
          <w:b/>
        </w:rPr>
        <w:t xml:space="preserve">87</w:t>
      </w:r>
      <w:r>
        <w:t xml:space="preserve">: 409–413.</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w:r>
        <w:rPr>
          <w:i/>
        </w:rPr>
        <w:t xml:space="preserve">Coffea arabica</w:t>
      </w:r>
      <w:r>
        <w:t xml:space="preserve"> </w:t>
      </w:r>
      <w:r>
        <w:t xml:space="preserve">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Smith AM</w:t>
      </w:r>
      <w:r>
        <w:rPr>
          <w:b/>
        </w:rPr>
        <w:t xml:space="preserve">,</w:t>
      </w:r>
      <w:r>
        <w:rPr>
          <w:b/>
        </w:rPr>
        <w:t xml:space="preserve"> </w:t>
      </w:r>
      <w:r>
        <w:rPr>
          <w:b w:val="0"/>
          <w:b/>
        </w:rPr>
        <w:t xml:space="preserve">Stitt M</w:t>
      </w:r>
      <w:r>
        <w:t xml:space="preserve">.</w:t>
      </w:r>
      <w:r>
        <w:t xml:space="preserve"> </w:t>
      </w:r>
      <w:r>
        <w:rPr>
          <w:b/>
        </w:rPr>
        <w:t xml:space="preserve">2007</w:t>
      </w:r>
      <w:r>
        <w:t xml:space="preserve">. Coordination of carbon supply and plant growth.</w:t>
      </w:r>
      <w:r>
        <w:t xml:space="preserve"> </w:t>
      </w:r>
      <w:r>
        <w:rPr>
          <w:i/>
        </w:rPr>
        <w:t xml:space="preserve">Plant, Cell &amp; Environment</w:t>
      </w:r>
      <w:r>
        <w:t xml:space="preserve"> </w:t>
      </w:r>
      <w:r>
        <w:rPr>
          <w:b/>
        </w:rPr>
        <w:t xml:space="preserve">30</w:t>
      </w:r>
      <w:r>
        <w:t xml:space="preserve">: 1126–1149.</w:t>
      </w:r>
    </w:p>
    <w:p>
      <w:pPr>
        <w:pStyle w:val="Bibliography"/>
      </w:pPr>
      <w:r>
        <w:rPr>
          <w:b w:val="0"/>
          <w:b/>
        </w:rPr>
        <w:t xml:space="preserve">Sweet GB</w:t>
      </w:r>
      <w:r>
        <w:rPr>
          <w:b/>
        </w:rPr>
        <w:t xml:space="preserve">,</w:t>
      </w:r>
      <w:r>
        <w:rPr>
          <w:b/>
        </w:rPr>
        <w:t xml:space="preserve"> </w:t>
      </w:r>
      <w:r>
        <w:rPr>
          <w:b w:val="0"/>
          <w:b/>
        </w:rPr>
        <w:t xml:space="preserve">Wareing PF</w:t>
      </w:r>
      <w:r>
        <w:t xml:space="preserve">.</w:t>
      </w:r>
      <w:r>
        <w:t xml:space="preserve"> </w:t>
      </w:r>
      <w:r>
        <w:rPr>
          <w:b/>
        </w:rPr>
        <w:t xml:space="preserve">1966</w:t>
      </w:r>
      <w:r>
        <w:t xml:space="preserve">. Role of plant growth in regulating photosynthesis.</w:t>
      </w:r>
      <w:r>
        <w:t xml:space="preserve"> </w:t>
      </w:r>
      <w:r>
        <w:rPr>
          <w:i/>
        </w:rPr>
        <w:t xml:space="preserve">Nature</w:t>
      </w:r>
      <w:r>
        <w:t xml:space="preserve"> </w:t>
      </w:r>
      <w:r>
        <w:rPr>
          <w:b/>
        </w:rPr>
        <w:t xml:space="preserve">210</w:t>
      </w:r>
      <w:r>
        <w:t xml:space="preserve">: 77–79.</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w:r>
        <w:rPr>
          <w:i/>
        </w:rPr>
        <w:t xml:space="preserve">Eucalyptus globulus</w:t>
      </w:r>
      <w:r>
        <w:t xml:space="preserve"> </w:t>
      </w:r>
      <w:r>
        <w:t xml:space="preserve">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Warren CR</w:t>
      </w:r>
      <w:r>
        <w:rPr>
          <w:b/>
        </w:rPr>
        <w:t xml:space="preserve">,</w:t>
      </w:r>
      <w:r>
        <w:rPr>
          <w:b/>
        </w:rPr>
        <w:t xml:space="preserve"> </w:t>
      </w:r>
      <w:r>
        <w:rPr>
          <w:b w:val="0"/>
          <w:b/>
        </w:rPr>
        <w:t xml:space="preserve">Dreyer E</w:t>
      </w:r>
      <w:r>
        <w:rPr>
          <w:b/>
        </w:rPr>
        <w:t xml:space="preserve">,</w:t>
      </w:r>
      <w:r>
        <w:rPr>
          <w:b/>
        </w:rPr>
        <w:t xml:space="preserve"> </w:t>
      </w:r>
      <w:r>
        <w:rPr>
          <w:b w:val="0"/>
          <w:b/>
        </w:rPr>
        <w:t xml:space="preserve">Adams MA</w:t>
      </w:r>
      <w:r>
        <w:t xml:space="preserve">.</w:t>
      </w:r>
      <w:r>
        <w:t xml:space="preserve"> </w:t>
      </w:r>
      <w:r>
        <w:rPr>
          <w:b/>
        </w:rPr>
        <w:t xml:space="preserve">2003</w:t>
      </w:r>
      <w:r>
        <w:t xml:space="preserve">. Photosynthesis-Rubisco relationships in foliage of</w:t>
      </w:r>
      <w:r>
        <w:t xml:space="preserve"> </w:t>
      </w:r>
      <w:r>
        <w:rPr>
          <w:i/>
        </w:rPr>
        <w:t xml:space="preserve">Pinus sylvestris</w:t>
      </w:r>
      <w:r>
        <w:t xml:space="preserve"> </w:t>
      </w:r>
      <w:r>
        <w:t xml:space="preserve">in response to nitrogen supply and the proposed role of Rubisco and amino acids as nitrogen stores.</w:t>
      </w:r>
      <w:r>
        <w:t xml:space="preserve"> </w:t>
      </w:r>
      <w:r>
        <w:rPr>
          <w:i/>
        </w:rPr>
        <w:t xml:space="preserve">Trees</w:t>
      </w:r>
      <w:r>
        <w:t xml:space="preserve"> </w:t>
      </w:r>
      <w:r>
        <w:rPr>
          <w:b/>
        </w:rPr>
        <w:t xml:space="preserve">17</w:t>
      </w:r>
      <w:r>
        <w:t xml:space="preserve">: 359–366.</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8D1508">
          <w:rPr>
            <w:noProof/>
          </w:rPr>
          <w:t>9</w:t>
        </w:r>
        <w:r>
          <w:rPr>
            <w:noProof/>
          </w:rPr>
          <w:fldChar w:fldCharType="end"/>
        </w:r>
      </w:p>
    </w:sdtContent>
  </w:sdt>
  <w:p w:rsidR="006710CF" w:rsidRDefault="00EA099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daaf5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257965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explained by reduced photosynthesis</dc:title>
  <dc:creator/>
</cp:coreProperties>
</file>