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5.png" ContentType="image/png"/>
  <Override PartName="/word/media/rId41.png" ContentType="image/png"/>
  <Override PartName="/word/media/rId43.png" ContentType="image/png"/>
  <Override PartName="/word/media/rId42.png" ContentType="image/png"/>
  <Override PartName="/word/media/rId44.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below-ground</w:t>
      </w:r>
      <w:r>
        <w:t xml:space="preserve"> </w:t>
      </w:r>
      <w:r>
        <w:t xml:space="preserve">space</w:t>
      </w:r>
      <w:r>
        <w:t xml:space="preserve"> </w:t>
      </w:r>
      <w:r>
        <w:t xml:space="preserve">limitation</w:t>
      </w:r>
      <w:r>
        <w:t xml:space="preserve"> </w:t>
      </w:r>
      <w:r>
        <w:t xml:space="preserve">on</w:t>
      </w:r>
      <w:r>
        <w:t xml:space="preserve"> </w:t>
      </w:r>
      <w:r>
        <w:t xml:space="preserve">performance</w:t>
      </w:r>
      <w:r>
        <w:t xml:space="preserve"> </w:t>
      </w:r>
      <w:r>
        <w:t xml:space="preserve">of</w:t>
      </w:r>
      <w:r>
        <w:t xml:space="preserve"> </w:t>
      </w:r>
      <w:r>
        <w:t xml:space="preserve">Eucalyptus</w:t>
      </w:r>
      <w:r>
        <w:t xml:space="preserve"> </w:t>
      </w:r>
      <w:r>
        <w:t xml:space="preserve">seedlings:</w:t>
      </w:r>
      <w:r>
        <w:t xml:space="preserve"> </w:t>
      </w:r>
      <w:r>
        <w:t xml:space="preserve">Does</w:t>
      </w:r>
      <w:r>
        <w:t xml:space="preserve"> </w:t>
      </w:r>
      <w:r>
        <w:t xml:space="preserve">photosynthesis</w:t>
      </w:r>
      <w:r>
        <w:t xml:space="preserve"> </w:t>
      </w:r>
      <w:r>
        <w:t xml:space="preserve">really</w:t>
      </w:r>
      <w:r>
        <w:t xml:space="preserve"> </w:t>
      </w:r>
      <w:r>
        <w:t xml:space="preserve">control</w:t>
      </w:r>
      <w:r>
        <w:t xml:space="preserve"> </w:t>
      </w:r>
      <w:r>
        <w:t xml:space="preserve">growth?</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in order to assess C allocation and biomass partitioning. This study used manipulations of soil volume to test how growth is coupled to physiology, allocation, and sink activity in</w:t>
      </w:r>
      <w:r>
        <w:t xml:space="preserve"> </w:t>
      </w:r>
      <w:r>
        <w:rPr>
          <w:i/>
        </w:rPr>
        <w:t xml:space="preserve">Eucalyptus tereticornis</w:t>
      </w:r>
      <w:r>
        <w:t xml:space="preserve"> </w:t>
      </w:r>
      <w:r>
        <w:t xml:space="preserve">seedlings. We grew seedlings in a large range of container sizes and planted containers flush to the soil alongside naturally sown seedlings (free). Reduced soil volume was expected to induce rapid negative effects on growth and physiology compared to free seedlings. It was hypothesized that soil volume effect would be largest in the smallest containers, resulting in physical constraints to growth independently of photosynthesis (A). Photosynthesis would then become sink-limited, resulting in the build-up of leaf nonstructural carbohydrates eventually leading to photosynthetic down regulation. We observed a negative container effect on aboveground growth soon after the experiment started. Although growth was consistently different across soil volumes mass, partitioning to leaves, stems, roots was conserved after 120 days. Photosynthetic capacity was also significantly reduced in containers, and was related to both leaf nitrogen content and starch accumulation. We developed a seedling growth model that utilized leaf A rates to allocate daily C uptake towards mass growth of stems, leaves and roots. We then asked whether the observed reductions in A explained the observed differences in seedling biomass. We found that although belowground sink limitation resulted in the down regulation of A, these reductions were not significant enough to explain observed growth responses. Thus, as photosynthesis and growth were not coordinated an excess pool of non-biomass C resulted in seedlings with soil volume restriction. This research highlights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open cover with a site history that consists of a paddock that was converted from native pasture grasses. Top soils at this site, used for the study, are an alluvial formation of low-fertility sandy loam soils (380 and 108 mg kg</w:t>
      </w:r>
      <w:r>
        <w:rPr>
          <w:vertAlign w:val="superscript"/>
        </w:rPr>
        <w:t xml:space="preserve">-1</w:t>
      </w:r>
      <w:r>
        <w:t xml:space="preserve"> </w:t>
      </w:r>
      <w:r>
        <w:t xml:space="preserve">total N and phosphorus respectively) with low organic matter (0.7%)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Previous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This is generally hypothesized to be a different response than seedlings with no taproot. By using a species with tap root growth and manipulations of container length rather than width, it is believed that a more realistic test of inhibition of growth through constrained soil volume would be achieved. Six seedlings were harvested before planting to measure initial leaf area and dry mass of leaves, stems and roots.</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of 1.7 g 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sown (free) seedlings. Each experimental block (n=7) contained a complete replicate set of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0.5 m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accounting for natural precipitation, to maintain soil moisture at field capacity (13-15%). Drain systems were built into each pot to prevent pooling of water in containers before root expansion, from reduced root uptake, or from large rainfall events. These conditions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(6~mm diameter) was inset into the gravel layer and extended through the top of the container. A lysimeter pump was then used to suction excess water, through the tubing, as needed . As small containers (5, 10, and 15 l) have a larger irradiation effect a simple bottom plug was used to drain excess water from the gravel compartment.</w:t>
      </w:r>
    </w:p>
    <w:p>
      <w:pPr>
        <w:pStyle w:val="Heading2"/>
      </w:pPr>
      <w:bookmarkStart w:id="27" w:name="growth-and-morphology-metrics"/>
      <w:bookmarkEnd w:id="27"/>
      <w:r>
        <w:t xml:space="preserve">Growth and morphology metrics</w:t>
      </w:r>
    </w:p>
    <w:p>
      <w:r>
        <w:t xml:space="preserve">Seedlings were planted on January 21</w:t>
      </w:r>
      <w:r>
        <w:rPr>
          <w:vertAlign w:val="superscript"/>
        </w:rPr>
        <w:t xml:space="preserve">st</w:t>
      </w:r>
      <w:r>
        <w:t xml:space="preserve"> </w:t>
      </w:r>
      <w:r>
        <w:t xml:space="preserve">2013 and stem height, diameter at 15~cm and leaf count were measured weekly thereafter. Once the growth rate of individual plants had significantly declined a full biomass harvest was completed (May 21</w:t>
      </w:r>
      <w:r>
        <w:rPr>
          <w:vertAlign w:val="superscript"/>
        </w:rPr>
        <w:t xml:space="preserve">st</w:t>
      </w:r>
      <w:r>
        <w:t xml:space="preserve"> </w:t>
      </w:r>
      <w:r>
        <w:t xml:space="preserve">2013). Dry mass of leaves, stems, roots and cumulative leaf area (LI-3100C Area Meter; LI-COR, Lincoln, NE, USA) was measured for each seedling. Mean individual leaf area for each harvested seedling was calculated by dividing cumulative leaf area by total leaf count of only fully expanded leaves. This value was then used to interpolate cumulative leaf area through time with weekly leaf counts. Root mass was collected by passing soil from each container through a 1 mm sieve, washing, separating into fine and coarse roots (&lt;2 mm and &gt;2 mm diameter, respectively) and then drying to a constant mass. Roots from the free seedlings were collected by excavating each 1 m</w:t>
      </w:r>
      <w:r>
        <w:rPr>
          <w:vertAlign w:val="superscript"/>
        </w:rPr>
        <w:t xml:space="preserve">2</w:t>
      </w:r>
      <w:r>
        <w:t xml:space="preserve"> </w:t>
      </w:r>
      <w:r>
        <w:t xml:space="preserve">subplot to 0.5 m depth. 25 g fresh weight subsamples of washed fine roots were analyzed, using WhinoRhizo software (Regent Instruments Inc.), for specific root length (SRL, cm~m</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bi-weekly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17</w:t>
      </w:r>
      <w:r>
        <w:rPr>
          <w:vertAlign w:val="superscript"/>
        </w:rPr>
        <w:t xml:space="preserve">th</w:t>
      </w:r>
      <w:r>
        <w:t xml:space="preserve">, 2013), approximately 6 weeks following planting, and continued until the biomass harvest. Leaf level gas exchange was measured with a standard leaf chamber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25°C. After leaves acclimated to the chamber environment,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also developed at 25°C on a random subset of each container size (n=3) after new leaves were first produced and immediately prior to the final harvest (May 23</w:t>
      </w:r>
      <w:r>
        <w:rPr>
          <w:vertAlign w:val="superscript"/>
        </w:rPr>
        <w:t xml:space="preserve">rd</w:t>
      </w:r>
      <w:r>
        <w:t xml:space="preserve"> </w:t>
      </w:r>
      <w:r>
        <w:t xml:space="preserve">2013).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w:t>
      </w:r>
    </w:p>
    <w:p>
      <w:r>
        <w:br w:type="textWrapping"/>
      </w:r>
      <w:r>
        <w:t xml:space="preserve">Leaf dark respiration rates (R</w:t>
      </w:r>
      <w:r>
        <w:rPr>
          <w:vertAlign w:val="subscript"/>
        </w:rPr>
        <w:t xml:space="preserve">d</w:t>
      </w:r>
      <w:r>
        <w:t xml:space="preserve">) was measured on each seedling during the same dates as AC</w:t>
      </w:r>
      <w:r>
        <w:rPr>
          <w:vertAlign w:val="subscript"/>
        </w:rPr>
        <w:t xml:space="preserve">i</w:t>
      </w:r>
      <w:r>
        <w:t xml:space="preserve"> </w:t>
      </w:r>
      <w:r>
        <w:t xml:space="preserve">curves using detached leaves inside a conifer chamber attached to the Licor 6400 at least 1 hour after sundown.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w:t>
      </w:r>
      <w:r>
        <w:rPr>
          <w:vertAlign w:val="subscript"/>
        </w:rPr>
        <w:t xml:space="preserve">d</w:t>
      </w:r>
      <w:r>
        <w:t xml:space="preserve"> </w:t>
      </w:r>
      <w:r>
        <w:t xml:space="preserve">are standardized rates at 25°C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 and to ensure that the bulk soil water availability was high enough for plants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known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to CO</w:t>
      </w:r>
      <w:r>
        <w:rPr>
          <w:vertAlign w:val="subscript"/>
        </w:rPr>
        <w:t xml:space="preserve">2</w:t>
      </w:r>
      <w:r>
        <w:t xml:space="preserve">, feed to the mass spectrometer and isotopic signatures are reported relative to the VPDP scale. Leaf TNC concentration was analyzed using a total starch assay kit (Megazyme International 303 Ireland Ltd., Wicklow, Ireland) and includes the starch (mg g</w:t>
      </w:r>
      <w:r>
        <w:rPr>
          <w:vertAlign w:val="superscript"/>
        </w:rPr>
        <w:t xml:space="preserve">-1</w:t>
      </w:r>
      <w:r>
        <w:t xml:space="preserve">) and soluble sugar (mg g</w:t>
      </w:r>
      <w:r>
        <w:rPr>
          <w:vertAlign w:val="superscript"/>
        </w:rPr>
        <w:t xml:space="preserve">-1</w:t>
      </w:r>
      <w:r>
        <w:t xml:space="preserve">) concentrations.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Specific leaf area (SLA,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w:t>
      </w:r>
      <w:r>
        <w:t xml:space="preserve">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C</w:t>
      </w:r>
      <w:r>
        <w:rPr>
          <w:vertAlign w:val="subscript"/>
        </w:rPr>
        <w:t xml:space="preserve">day,i</w:t>
      </w:r>
      <w:r>
        <w:t xml:space="preserve"> </w:t>
      </w:r>
      <w:r>
        <w:t xml:space="preserve">is the predicted daily carbon assimilation,</w:t>
      </w:r>
      <w:r>
        <w:t xml:space="preserve"> </w:t>
      </w:r>
      <m:oMath>
        <m:r>
          <m:rPr>
            <m:sty m:val="p"/>
          </m:rPr>
          <m:t>σ</m:t>
        </m:r>
      </m:oMath>
      <w:r>
        <w:rPr>
          <w:vertAlign w:val="subscript"/>
        </w:rPr>
        <w:t xml:space="preserve">s</w:t>
      </w:r>
      <w:r>
        <w:t xml:space="preserve"> </w:t>
      </w:r>
      <w:r>
        <w:t xml:space="preserve">is a self shading parameter,</w:t>
      </w:r>
      <w:r>
        <w:t xml:space="preserve"> </w:t>
      </w:r>
      <w:r>
        <w:t xml:space="preserve">$\textepsilon$</w:t>
      </w:r>
      <w:r>
        <w:rPr>
          <w:vertAlign w:val="subscript"/>
        </w:rPr>
        <w:t xml:space="preserve">c</w:t>
      </w:r>
      <w:r>
        <w:t xml:space="preserve"> </w:t>
      </w:r>
      <w:r>
        <w:t xml:space="preserve">is a biomass conversion efficiency parameter and R is the total respiration of all tissue components.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tissue respiration of fine roots, coarse roots or stems on a mass basis and M</w:t>
      </w:r>
      <w:r>
        <w:rPr>
          <w:vertAlign w:val="subscript"/>
        </w:rPr>
        <w:t xml:space="preserve">c</w:t>
      </w:r>
      <w:r>
        <w:t xml:space="preserve"> </w:t>
      </w:r>
      <w:r>
        <w:t xml:space="preserve">is the standing biomass of each component.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Due to the duration of the experiment $</w:t>
      </w:r>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fitting a coupled photosynthesis - stomatal conductance model</w:t>
      </w:r>
      <w:r>
        <w:t xml:space="preserve"> </w:t>
      </w:r>
      <w:r>
        <w:t xml:space="preserve">(Farquhar et al. 1980, Medlyn et al. 2011)</w:t>
      </w:r>
      <w:r>
        <w:t xml:space="preserve"> </w:t>
      </w:r>
      <w:r>
        <w:t xml:space="preserve">in the 'plantecophys' package in R</w:t>
      </w:r>
      <w:r>
        <w:t xml:space="preserve"> </w:t>
      </w:r>
      <w:r>
        <w:t xml:space="preserve">(Duursma 2014)</w:t>
      </w:r>
      <w:r>
        <w:t xml:space="preserve"> </w:t>
      </w:r>
      <w:r>
        <w:t xml:space="preserve">to the mean photosynthetic parameters (R</w:t>
      </w:r>
      <w:r>
        <w:rPr>
          <w:vertAlign w:val="subscript"/>
        </w:rPr>
        <w:t xml:space="preserve">d</w:t>
      </w:r>
      <w:r>
        <w:t xml:space="preserve">, J</w:t>
      </w:r>
      <w:r>
        <w:rPr>
          <w:vertAlign w:val="subscript"/>
        </w:rPr>
        <w:t xml:space="preserve">max</w:t>
      </w:r>
      <w:r>
        <w:t xml:space="preserve">, V</w:t>
      </w:r>
      <w:r>
        <w:rPr>
          <w:vertAlign w:val="subscript"/>
        </w:rPr>
        <w:t xml:space="preserve">cmax</w:t>
      </w:r>
      <w:r>
        <w:t xml:space="preserve">, and g</w:t>
      </w:r>
      <w:r>
        <w:rPr>
          <w:vertAlign w:val="subscript"/>
        </w:rPr>
        <w:t xml:space="preserve">1</w:t>
      </w:r>
      <w:r>
        <w:t xml:space="preserve">) for each treatment and meteorological data from an onsite weather station. Examples of the photosynthesis model are described in Medlyn et al.</w:t>
      </w:r>
      <w:r>
        <w:t xml:space="preserve"> </w:t>
      </w:r>
      <w:r>
        <w:t xml:space="preserve">(2002)</w:t>
      </w:r>
      <w:r>
        <w:t xml:space="preserve"> </w:t>
      </w:r>
      <w:r>
        <w:t xml:space="preserve">and the approach of the coupled leaf gas exchange model are described in Duursma et al</w:t>
      </w:r>
      <w:r>
        <w:t xml:space="preserve"> </w:t>
      </w:r>
      <w:r>
        <w:t xml:space="preserve">(2014)</w:t>
      </w:r>
      <w:r>
        <w:t xml:space="preserve">. The g</w:t>
      </w:r>
      <w:r>
        <w:rPr>
          <w:vertAlign w:val="subscript"/>
        </w:rPr>
        <w:t xml:space="preserve">1</w:t>
      </w:r>
      <w:r>
        <w:t xml:space="preserve"> </w:t>
      </w:r>
      <w:r>
        <w:t xml:space="preserve">parameter was generated by fitting observed g</w:t>
      </w:r>
      <w:r>
        <w:rPr>
          <w:vertAlign w:val="subscript"/>
        </w:rPr>
        <w:t xml:space="preserve">s</w:t>
      </w:r>
      <w:r>
        <w:t xml:space="preserve"> </w:t>
      </w:r>
      <w:r>
        <w:t xml:space="preserve">values into the optimal stomatal conductance model from</w:t>
      </w:r>
      <w:r>
        <w:t xml:space="preserve"> </w:t>
      </w:r>
      <w:r>
        <w:t xml:space="preserve">(Medlyn et al. 2012)</w:t>
      </w:r>
      <w:r>
        <w:t xml:space="preserve">. Combined with the meteorological parameters; PPFD, air temperature, and relative humidity, at 15~m intervals, leaf A rates (</w:t>
      </w:r>
      <m:oMath>
        <m:r>
          <m:rPr>
            <m:sty m:val="p"/>
          </m:rPr>
          <m:t>μ</m:t>
        </m:r>
      </m:oMath>
      <w:r>
        <w:t xml:space="preserve">mol</w:t>
      </w:r>
      <w:r>
        <w:rPr>
          <w:vertAlign w:val="subscript"/>
        </w:rPr>
        <w:t xml:space="preserve">CO</w:t>
      </w:r>
      <w:r>
        <w:t xml:space="preserve">2~ m</w:t>
      </w:r>
      <w:r>
        <w:rPr>
          <w:vertAlign w:val="superscript"/>
        </w:rPr>
        <w:t xml:space="preserve">-2</w:t>
      </w:r>
      <w:r>
        <w:t xml:space="preserve"> </w:t>
      </w:r>
      <w:r>
        <w:t xml:space="preserve">s</w:t>
      </w:r>
      <w:r>
        <w:rPr>
          <w:vertAlign w:val="superscript"/>
        </w:rPr>
        <w:t xml:space="preserve">-1</w:t>
      </w:r>
      <w:r>
        <w:t xml:space="preserve">) were then predicted for each soil volume treatment. Rates were assumed to be representative of the entire 15~min meteorological interval. C</w:t>
      </w:r>
      <w:r>
        <w:rPr>
          <w:vertAlign w:val="subscript"/>
        </w:rPr>
        <w:t xml:space="preserve">day</w:t>
      </w:r>
      <w:r>
        <w:t xml:space="preserve"> </w:t>
      </w:r>
      <w:r>
        <w:t xml:space="preserve">was calculated by converting predicted rates to mass C gain over 15~min (g~m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cumulative seedling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 in R (fix cite YplantQMC)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 independently for each treatment.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w:t>
      </w:r>
      <w:r>
        <w:t xml:space="preserve">.</w:t>
      </w:r>
    </w:p>
    <w:p>
      <w:pPr>
        <w:pStyle w:val="Heading2"/>
      </w:pPr>
      <w:bookmarkStart w:id="32" w:name="data-analysis"/>
      <w:bookmarkEnd w:id="32"/>
      <w:r>
        <w:t xml:space="preserve">Data analysis</w:t>
      </w:r>
    </w:p>
    <w:p>
      <w:r>
        <w:t xml:space="preserve">Differences in experimental parameters with soil volume were analysed by one-way analysis of variance (ANOVA) in R</w:t>
      </w:r>
      <w:r>
        <w:t xml:space="preserve"> </w:t>
      </w:r>
      <w:r>
        <w:t xml:space="preserve">(</w:t>
      </w:r>
      <w:r>
        <w:t xml:space="preserve">R Development Core Team</w:t>
      </w:r>
      <w:r>
        <w:t xml:space="preserve"> </w:t>
      </w:r>
      <w:r>
        <w:t xml:space="preserve">2011)</w:t>
      </w:r>
      <w:r>
        <w:t xml:space="preserve"> </w:t>
      </w:r>
      <w:r>
        <w:t xml:space="preserve">with individual containers as random effects and soil volume as a categorical fixed effect. Tukey’s post-hoc tests were performed in conjunction with ANOVA to determine which specific paired comparisons among soil volume treatments were different. Mixed model ANOVAs of A</w:t>
      </w:r>
      <w:r>
        <w:rPr>
          <w:vertAlign w:val="subscript"/>
        </w:rPr>
        <w:t xml:space="preserve">max</w:t>
      </w:r>
      <w:r>
        <w:t xml:space="preserve"> </w:t>
      </w:r>
      <w:r>
        <w:t xml:space="preserve">and leaf chemistry were performed using the 'nlme' package</w:t>
      </w:r>
      <w:r>
        <w:t xml:space="preserve"> </w:t>
      </w:r>
      <w:r>
        <w:t xml:space="preserve">(Pinheiro et al. 2014)</w:t>
      </w:r>
      <w:r>
        <w:t xml:space="preserve"> </w:t>
      </w:r>
      <w:r>
        <w:t xml:space="preserve">in R and R</w:t>
      </w:r>
      <w:r>
        <w:rPr>
          <w:vertAlign w:val="superscript"/>
        </w:rPr>
        <w:t xml:space="preserve">2</w:t>
      </w:r>
      <w:r>
        <w:t xml:space="preserve"> </w:t>
      </w:r>
      <w:r>
        <w:t xml:space="preserve">values of mixed models were computed as in</w:t>
      </w:r>
      <w:r>
        <w:t xml:space="preserve"> </w:t>
      </w:r>
      <w:r>
        <w:t xml:space="preserve">(Nakagawa and Schielzeth 2013)</w:t>
      </w:r>
      <w:r>
        <w:t xml:space="preserve">. Tests of allometric relationships between biomass components were implemented using major axis regression in the 'smatr' package in R</w:t>
      </w:r>
      <w:r>
        <w:t xml:space="preserve"> </w:t>
      </w:r>
      <w:r>
        <w:t xml:space="preserve">(Warton et al. 2012)</w:t>
      </w:r>
      <w:r>
        <w:t xml:space="preserve">. Results were considered significant at P≤0.05..</w:t>
      </w:r>
    </w:p>
    <w:p>
      <w:pPr>
        <w:pStyle w:val="Heading1"/>
      </w:pPr>
      <w:bookmarkStart w:id="33" w:name="results"/>
      <w:bookmarkEnd w:id="33"/>
      <w:r>
        <w:t xml:space="preserve">Results</w:t>
      </w:r>
    </w:p>
    <w:p>
      <w:pPr>
        <w:pStyle w:val="Heading2"/>
      </w:pPr>
      <w:bookmarkStart w:id="34" w:name="growth-and-morphology-metrics-1"/>
      <w:bookmarkEnd w:id="34"/>
      <w:r>
        <w:t xml:space="preserve">Growth and morphology metrics</w:t>
      </w:r>
    </w:p>
    <w:p>
      <w:pPr>
        <w:pStyle w:val="Heading2"/>
      </w:pPr>
      <w:bookmarkStart w:id="35" w:name="leaf-chemistry"/>
      <w:bookmarkEnd w:id="35"/>
      <w:r>
        <w:t xml:space="preserve">Leaf chemistry</w:t>
      </w:r>
    </w:p>
    <w:p>
      <w:pPr>
        <w:pStyle w:val="Heading2"/>
      </w:pPr>
      <w:bookmarkStart w:id="36" w:name="gas-exchange-and-photosynthetic-parameters"/>
      <w:bookmarkEnd w:id="36"/>
      <w:r>
        <w:t xml:space="preserve">Gas exchange and photosynthetic parameters</w:t>
      </w:r>
    </w:p>
    <w:p>
      <w:pPr>
        <w:pStyle w:val="Heading2"/>
      </w:pPr>
      <w:bookmarkStart w:id="37" w:name="modelling-seedling-biomass"/>
      <w:bookmarkEnd w:id="37"/>
      <w:r>
        <w:t xml:space="preserve">Modelling seedling biomass</w:t>
      </w:r>
    </w:p>
    <w:p>
      <w:pPr>
        <w:pStyle w:val="Heading1"/>
      </w:pPr>
      <w:bookmarkStart w:id="38" w:name="discussion"/>
      <w:bookmarkEnd w:id="38"/>
      <w:r>
        <w:t xml:space="preserve">Discussion</w:t>
      </w:r>
    </w:p>
    <w:p>
      <w:pPr>
        <w:pStyle w:val="Heading1"/>
      </w:pPr>
      <w:bookmarkStart w:id="39" w:name="tables"/>
      <w:bookmarkEnd w:id="39"/>
      <w:r>
        <w:t xml:space="preserve">Tables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w:t>
            </w:r>
            <w:r>
              <w:rPr>
                <w:vertAlign w:val="subscript"/>
                <w:b/>
              </w:rPr>
              <w:t xml:space="preserve">mass</w:t>
            </w:r>
            <w:r>
              <w:rPr>
                <w:b/>
              </w:rPr>
              <w:t xml:space="preserve">(g)</w:t>
            </w:r>
          </w:p>
        </w:tc>
        <w:tc>
          <w:tcPr>
            <w:tcBorders>
              <w:bottom w:val="single"/>
            </w:tcBorders>
            <w:vAlign w:val="bottom"/>
          </w:tcPr>
          <w:p>
            <w:pPr>
              <w:pStyle w:val="Compact"/>
              <w:jc w:val="left"/>
            </w:pPr>
            <w:r>
              <w:rPr>
                <w:b/>
              </w:rPr>
              <w:t xml:space="preserve">SLA</w:t>
            </w:r>
            <w:r>
              <w:rPr>
                <w:vertAlign w:val="subscript"/>
                <w:b/>
              </w:rPr>
              <w:t xml:space="preserve">(m</w:t>
            </w:r>
            <w:r>
              <w:rPr>
                <w:b/>
              </w:rPr>
              <w:t xml:space="preserve">kg</w:t>
            </w:r>
            <w:r>
              <w:rPr>
                <w:b/>
              </w:rPr>
              <w:t xml:space="preserve">)</w:t>
            </w:r>
            <w:r>
              <w:t xml:space="preserve"> </w:t>
            </w:r>
            <w:r>
              <w:t xml:space="preserve">**L</w:t>
            </w:r>
          </w:p>
        </w:tc>
        <w:tc>
          <w:tcPr>
            <w:tcBorders>
              <w:bottom w:val="single"/>
            </w:tcBorders>
            <w:vAlign w:val="bottom"/>
          </w:tcPr>
          <w:p>
            <w:pPr>
              <w:pStyle w:val="Compact"/>
              <w:jc w:val="left"/>
            </w:pPr>
            <w:r>
              <w:t xml:space="preserve">eaf</w:t>
            </w:r>
            <w:r>
              <w:rPr>
                <w:vertAlign w:val="subscript"/>
              </w:rPr>
              <w:t xml:space="preserve">Starch</w:t>
            </w:r>
            <w:r>
              <w:t xml:space="preserve">(%)** **Le</w:t>
            </w:r>
          </w:p>
        </w:tc>
        <w:tc>
          <w:tcPr>
            <w:tcBorders>
              <w:bottom w:val="single"/>
            </w:tcBorders>
            <w:vAlign w:val="bottom"/>
          </w:tcPr>
          <w:p>
            <w:pPr>
              <w:pStyle w:val="Compact"/>
              <w:jc w:val="left"/>
            </w:pPr>
            <w:r>
              <w:t xml:space="preserve">af</w:t>
            </w:r>
            <w:r>
              <w:rPr>
                <w:vertAlign w:val="subscript"/>
              </w:rPr>
              <w:t xml:space="preserve">Sugars</w:t>
            </w:r>
            <w:r>
              <w:t xml:space="preserve">(%)** **Lea</w:t>
            </w:r>
          </w:p>
        </w:tc>
        <w:tc>
          <w:tcPr>
            <w:tcBorders>
              <w:bottom w:val="single"/>
            </w:tcBorders>
            <w:vAlign w:val="bottom"/>
          </w:tcPr>
          <w:p>
            <w:pPr>
              <w:pStyle w:val="Compact"/>
              <w:jc w:val="left"/>
            </w:pPr>
            <w:r>
              <w:t xml:space="preserve">f</w:t>
            </w:r>
            <w:r>
              <w:rPr>
                <w:vertAlign w:val="subscript"/>
              </w:rPr>
              <w:t xml:space="preserve">Nitrogen</w:t>
            </w:r>
            <w:r>
              <w:t xml:space="preserve">(%)** **Root</w:t>
            </w:r>
          </w:p>
        </w:tc>
        <w:tc>
          <w:tcPr>
            <w:tcBorders>
              <w:bottom w:val="single"/>
            </w:tcBorders>
            <w:vAlign w:val="bottom"/>
          </w:tcPr>
          <w:p>
            <w:pPr>
              <w:pStyle w:val="Compact"/>
              <w:jc w:val="left"/>
            </w:pPr>
            <w:r>
              <w:rPr>
                <w:vertAlign w:val="subscript"/>
              </w:rPr>
              <w:t xml:space="preserve">Nitrogen</w:t>
            </w:r>
            <w:r>
              <w:t xml:space="preserve">(%)** **SRL~(</w:t>
            </w:r>
          </w:p>
        </w:tc>
        <w:tc>
          <w:tcPr>
            <w:tcBorders>
              <w:bottom w:val="single"/>
            </w:tcBorders>
            <w:vAlign w:val="bottom"/>
          </w:tcPr>
          <w:p>
            <w:pPr>
              <w:pStyle w:val="Compact"/>
              <w:jc w:val="left"/>
            </w:pPr>
            <w:r>
              <w:t xml:space="preserve">cm~m</w:t>
            </w:r>
            <w:r>
              <w:t xml:space="preserve">)** **{Leaf~</w:t>
            </w:r>
          </w:p>
        </w:tc>
        <w:tc>
          <w:tcPr>
            <w:tcBorders>
              <w:bottom w:val="single"/>
            </w:tcBorders>
            <w:vAlign w:val="bottom"/>
          </w:tcPr>
          <w:p>
            <w:pPr>
              <w:pStyle w:val="Compact"/>
              <w:jc w:val="left"/>
            </w:pPr>
            <w:r>
              <w:t xml:space="preserve">}</w:t>
            </w:r>
            <w:r>
              <w:t xml:space="preserve">C~(</w:t>
            </w:r>
            <w:r>
              <w:t xml:space="preserve">)**</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1.1 (0.02) a</w:t>
            </w:r>
          </w:p>
        </w:tc>
        <w:tc>
          <w:p>
            <w:pPr>
              <w:pStyle w:val="Compact"/>
              <w:jc w:val="left"/>
            </w:pPr>
            <w:r>
              <w:t xml:space="preserve">0.78 (0.04) ab</w:t>
            </w:r>
          </w:p>
        </w:tc>
        <w:tc>
          <w:p>
            <w:pPr>
              <w:pStyle w:val="Compact"/>
              <w:jc w:val="left"/>
            </w:pPr>
            <w:r>
              <w:t xml:space="preserve">39.1 (5.47)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1.3 (0.04) ab</w:t>
            </w:r>
          </w:p>
        </w:tc>
        <w:tc>
          <w:p>
            <w:pPr>
              <w:pStyle w:val="Compact"/>
              <w:jc w:val="left"/>
            </w:pPr>
            <w:r>
              <w:t xml:space="preserve">0.75 (0.02) a</w:t>
            </w:r>
          </w:p>
        </w:tc>
        <w:tc>
          <w:p>
            <w:pPr>
              <w:pStyle w:val="Compact"/>
              <w:jc w:val="left"/>
            </w:pPr>
            <w:r>
              <w:t xml:space="preserve">34.2 (5.83) a</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1.4 (0.06) ab</w:t>
            </w:r>
          </w:p>
        </w:tc>
        <w:tc>
          <w:p>
            <w:pPr>
              <w:pStyle w:val="Compact"/>
              <w:jc w:val="left"/>
            </w:pPr>
            <w:r>
              <w:t xml:space="preserve">0.71 (0.02) a</w:t>
            </w:r>
          </w:p>
        </w:tc>
        <w:tc>
          <w:p>
            <w:pPr>
              <w:pStyle w:val="Compact"/>
              <w:jc w:val="left"/>
            </w:pPr>
            <w:r>
              <w:t xml:space="preserve">37.6 (4.63) a</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1.4 (0.05) ab</w:t>
            </w:r>
          </w:p>
        </w:tc>
        <w:tc>
          <w:p>
            <w:pPr>
              <w:pStyle w:val="Compact"/>
              <w:jc w:val="left"/>
            </w:pPr>
            <w:r>
              <w:t xml:space="preserve">0.76 (0.04) a</w:t>
            </w:r>
          </w:p>
        </w:tc>
        <w:tc>
          <w:p>
            <w:pPr>
              <w:pStyle w:val="Compact"/>
              <w:jc w:val="left"/>
            </w:pPr>
            <w:r>
              <w:t xml:space="preserve">45.3 (5.50) a</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1.3 (0.06) ab</w:t>
            </w:r>
          </w:p>
        </w:tc>
        <w:tc>
          <w:p>
            <w:pPr>
              <w:pStyle w:val="Compact"/>
              <w:jc w:val="left"/>
            </w:pPr>
            <w:r>
              <w:t xml:space="preserve">0.74 (0.02) a</w:t>
            </w:r>
          </w:p>
        </w:tc>
        <w:tc>
          <w:p>
            <w:pPr>
              <w:pStyle w:val="Compact"/>
              <w:jc w:val="left"/>
            </w:pPr>
            <w:r>
              <w:t xml:space="preserve">47.0 (7.10) a</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1.5 (0.08) b</w:t>
            </w:r>
          </w:p>
        </w:tc>
        <w:tc>
          <w:p>
            <w:pPr>
              <w:pStyle w:val="Compact"/>
              <w:jc w:val="left"/>
            </w:pPr>
            <w:r>
              <w:t xml:space="preserve">0.77 (0.03) ab</w:t>
            </w:r>
          </w:p>
        </w:tc>
        <w:tc>
          <w:p>
            <w:pPr>
              <w:pStyle w:val="Compact"/>
              <w:jc w:val="left"/>
            </w:pPr>
            <w:r>
              <w:t xml:space="preserve">50.6 (11.61) a</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2.4 (0.09) c</w:t>
            </w:r>
          </w:p>
        </w:tc>
        <w:tc>
          <w:p>
            <w:pPr>
              <w:pStyle w:val="Compact"/>
              <w:jc w:val="left"/>
            </w:pPr>
            <w:r>
              <w:t xml:space="preserve">0.9 (0.03) b</w:t>
            </w:r>
          </w:p>
        </w:tc>
        <w:tc>
          <w:p>
            <w:pPr>
              <w:pStyle w:val="Compact"/>
              <w:jc w:val="left"/>
            </w:pPr>
            <w:r>
              <w:t xml:space="preserve">43.7 (6.24) a</w:t>
            </w:r>
          </w:p>
        </w:tc>
        <w:tc>
          <w:p>
            <w:pPr>
              <w:pStyle w:val="Compact"/>
              <w:jc w:val="left"/>
            </w:pPr>
            <w:r>
              <w:t xml:space="preserve">-30.0 (0.34) a</w:t>
            </w:r>
          </w:p>
        </w:tc>
      </w:tr>
      <w:tr>
        <w:tc>
          <w:p>
            <w:pPr>
              <w:pStyle w:val="Compact"/>
              <w:jc w:val="left"/>
            </w:pPr>
            <w:r>
              <w:t xml:space="preserve">Container Effect (P)</w:t>
            </w:r>
          </w:p>
        </w:tc>
        <w:tc>
          <w:p>
            <w:pPr>
              <w:pStyle w:val="Compact"/>
              <w:jc w:val="left"/>
            </w:pPr>
            <w:r>
              <w:t xml:space="preserve">0.001</w:t>
            </w:r>
          </w:p>
        </w:tc>
        <w:tc>
          <w:p>
            <w:pPr>
              <w:pStyle w:val="Compact"/>
              <w:jc w:val="left"/>
            </w:pPr>
            <w:r>
              <w:t xml:space="preserve">0.001</w:t>
            </w:r>
          </w:p>
        </w:tc>
        <w:tc>
          <w:p>
            <w:pPr>
              <w:pStyle w:val="Compact"/>
              <w:jc w:val="left"/>
            </w:pPr>
            <w:r>
              <w:t xml:space="preserve">0.039</w:t>
            </w:r>
          </w:p>
        </w:tc>
        <w:tc>
          <w:p>
            <w:pPr>
              <w:pStyle w:val="Compact"/>
              <w:jc w:val="left"/>
            </w:pPr>
            <w:r>
              <w:t xml:space="preserve">0.128</w:t>
            </w:r>
          </w:p>
        </w:tc>
        <w:tc>
          <w:p>
            <w:pPr>
              <w:pStyle w:val="Compact"/>
              <w:jc w:val="left"/>
            </w:pPr>
            <w:r>
              <w:t xml:space="preserve">0.001</w:t>
            </w:r>
          </w:p>
        </w:tc>
        <w:tc>
          <w:p>
            <w:pPr>
              <w:pStyle w:val="Compact"/>
              <w:jc w:val="left"/>
            </w:pPr>
            <w:r>
              <w:t xml:space="preserve">0.015</w:t>
            </w:r>
          </w:p>
        </w:tc>
        <w:tc>
          <w:p>
            <w:pPr>
              <w:pStyle w:val="Compact"/>
              <w:jc w:val="left"/>
            </w:pPr>
            <w:r>
              <w:t xml:space="preserve">0.662</w:t>
            </w:r>
          </w:p>
        </w:tc>
        <w:tc>
          <w:p>
            <w:pPr>
              <w:pStyle w:val="Compact"/>
              <w:jc w:val="left"/>
            </w:pPr>
            <w:r>
              <w:t xml:space="preserve">0.458</w:t>
            </w:r>
          </w:p>
        </w:tc>
      </w:tr>
    </w:tbl>
    <w:p>
      <w:r>
        <w:rPr>
          <w:b/>
        </w:rPr>
        <w:t xml:space="preserve">Table 1.</w:t>
      </w:r>
      <w:r>
        <w:t xml:space="preserve"> </w:t>
      </w:r>
      <w:r>
        <w:t xml:space="preserve">Responses of plant and leaf characterisitics of</w:t>
      </w:r>
      <w:r>
        <w:t xml:space="preserve"> </w:t>
      </w:r>
      <w:r>
        <w:rPr>
          <w:i/>
        </w:rPr>
        <w:t xml:space="preserve">Eucalyptus tereticornis</w:t>
      </w:r>
      <w:r>
        <w:t xml:space="preserve"> </w:t>
      </w:r>
      <w:r>
        <w:t xml:space="preserve">seedlings to soil volume treatments. Each value reflects the mean(standard error) for each treatment. Seedling mass, SRL, root nitrogen and leaf</w:t>
      </w:r>
      <w:r>
        <w:t xml:space="preserve"> </w:t>
      </w:r>
      <m:oMath>
        <m:r>
          <m:rPr>
            <m:sty m:val="p"/>
          </m:rPr>
          <m:t>δ</m:t>
        </m:r>
      </m:oMath>
      <w:r>
        <w:t xml:space="preserve">^13C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Volume~(L)</w:t>
            </w:r>
          </w:p>
        </w:tc>
        <w:tc>
          <w:tcPr>
            <w:tcBorders>
              <w:bottom w:val="single"/>
            </w:tcBorders>
            <w:vAlign w:val="bottom"/>
          </w:tcPr>
          <w:p>
            <w:pPr>
              <w:pStyle w:val="Compact"/>
              <w:jc w:val="left"/>
            </w:pPr>
            <w:r>
              <w:t xml:space="preserve"> </w:t>
            </w:r>
            <w:r>
              <w:t xml:space="preserve">**</w:t>
            </w:r>
          </w:p>
        </w:tc>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extit{J}</w:t>
            </w:r>
            <w:r>
              <w:t xml:space="preserve">** **</w:t>
            </w:r>
          </w:p>
        </w:tc>
        <w:tc>
          <w:tcPr>
            <w:tcBorders>
              <w:bottom w:val="single"/>
            </w:tcBorders>
            <w:vAlign w:val="bottom"/>
          </w:tcPr>
          <w:p>
            <w:pPr>
              <w:pStyle w:val="Compact"/>
              <w:jc w:val="left"/>
            </w:pPr>
            <w:r>
              <w:t xml:space="preserve">tit{Vc}</w:t>
            </w:r>
            <w:r>
              <w:t xml:space="preserve">** **</w:t>
            </w:r>
          </w:p>
        </w:tc>
        <w:tc>
          <w:tcPr>
            <w:tcBorders>
              <w:bottom w:val="single"/>
            </w:tcBorders>
            <w:vAlign w:val="bottom"/>
          </w:tcPr>
          <w:p>
            <w:pPr>
              <w:pStyle w:val="Compact"/>
              <w:jc w:val="left"/>
            </w:pPr>
            <w:r>
              <w:t xml:space="preserve">t{g}</w:t>
            </w:r>
            <w:r>
              <w:t xml:space="preserve">** **\textit{</w:t>
            </w:r>
          </w:p>
        </w:tc>
        <w:tc>
          <w:tcPr>
            <w:tcBorders>
              <w:bottom w:val="single"/>
            </w:tcBorders>
            <w:vAlign w:val="bottom"/>
          </w:tcPr>
          <w:p>
            <w:pPr>
              <w:pStyle w:val="Compact"/>
              <w:jc w:val="left"/>
            </w:pPr>
            <w:r>
              <w:t xml:space="preserve">g}</w:t>
            </w:r>
            <w:r>
              <w:t xml:space="preserve">**</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(0.01) a</w:t>
            </w:r>
          </w:p>
        </w:tc>
        <w:tc>
          <w:p>
            <w:pPr>
              <w:pStyle w:val="Compact"/>
              <w:jc w:val="left"/>
            </w:pPr>
            <w:r>
              <w:t xml:space="preserve">5.1 (0.1)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(0.01) ab</w:t>
            </w:r>
          </w:p>
        </w:tc>
        <w:tc>
          <w:p>
            <w:pPr>
              <w:pStyle w:val="Compact"/>
              <w:jc w:val="left"/>
            </w:pPr>
            <w:r>
              <w:t xml:space="preserve">5.4 (0.1)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 ab</w:t>
            </w:r>
          </w:p>
        </w:tc>
        <w:tc>
          <w:p>
            <w:pPr>
              <w:pStyle w:val="Compact"/>
              <w:jc w:val="left"/>
            </w:pPr>
            <w:r>
              <w:t xml:space="preserve">5.8 (0.1)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 ab</w:t>
            </w:r>
          </w:p>
        </w:tc>
        <w:tc>
          <w:p>
            <w:pPr>
              <w:pStyle w:val="Compact"/>
              <w:jc w:val="left"/>
            </w:pPr>
            <w:r>
              <w:t xml:space="preserve">4.9 (0.1)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(0.01) a</w:t>
            </w:r>
          </w:p>
        </w:tc>
        <w:tc>
          <w:p>
            <w:pPr>
              <w:pStyle w:val="Compact"/>
              <w:jc w:val="left"/>
            </w:pPr>
            <w:r>
              <w:t xml:space="preserve">4.5 (0.1)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 a</w:t>
            </w:r>
          </w:p>
        </w:tc>
        <w:tc>
          <w:p>
            <w:pPr>
              <w:pStyle w:val="Compact"/>
              <w:jc w:val="left"/>
            </w:pPr>
            <w:r>
              <w:t xml:space="preserve">4.4 (0.2)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 b</w:t>
            </w:r>
          </w:p>
        </w:tc>
        <w:tc>
          <w:p>
            <w:pPr>
              <w:pStyle w:val="Compact"/>
              <w:jc w:val="left"/>
            </w:pPr>
            <w:r>
              <w:t xml:space="preserve">4.5 (0.1) ab</w:t>
            </w:r>
          </w:p>
        </w:tc>
      </w:tr>
      <w:tr>
        <w:tc>
          <w:p>
            <w:pPr>
              <w:pStyle w:val="Compact"/>
              <w:jc w:val="left"/>
            </w:pPr>
            <w:r>
              <w:t xml:space="preserve">Container Effect (P)</w:t>
            </w:r>
          </w:p>
        </w:tc>
        <w:tc>
          <w:p>
            <w:pPr>
              <w:pStyle w:val="Compact"/>
              <w:jc w:val="left"/>
            </w:pPr>
            <w:r>
              <w:t xml:space="preserve">0.001</w:t>
            </w:r>
          </w:p>
        </w:tc>
        <w:tc>
          <w:p>
            <w:pPr>
              <w:pStyle w:val="Compact"/>
              <w:jc w:val="left"/>
            </w:pPr>
            <w:r>
              <w:t xml:space="preserve">0.039</w:t>
            </w:r>
          </w:p>
        </w:tc>
        <w:tc>
          <w:p>
            <w:pPr>
              <w:pStyle w:val="Compact"/>
              <w:jc w:val="left"/>
            </w:pPr>
            <w:r>
              <w:t xml:space="preserve">0.001</w:t>
            </w:r>
          </w:p>
        </w:tc>
        <w:tc>
          <w:p>
            <w:pPr>
              <w:pStyle w:val="Compact"/>
              <w:jc w:val="left"/>
            </w:pPr>
            <w:r>
              <w:t xml:space="preserve">0.002</w:t>
            </w:r>
          </w:p>
        </w:tc>
        <w:tc>
          <w:p>
            <w:pPr>
              <w:pStyle w:val="Compact"/>
              <w:jc w:val="left"/>
            </w:pPr>
            <w:r>
              <w:t xml:space="preserve">0.001</w:t>
            </w:r>
          </w:p>
        </w:tc>
        <w:tc>
          <w:p>
            <w:pPr>
              <w:pStyle w:val="Compact"/>
              <w:jc w:val="left"/>
            </w:pPr>
            <w:r>
              <w:t xml:space="preserve">0.079</w:t>
            </w:r>
          </w:p>
        </w:tc>
      </w:tr>
    </w:tbl>
    <w:p>
      <w:r>
        <w:rPr>
          <w:b/>
        </w:rPr>
        <w:t xml:space="preserve">Table 2.</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at at 25°C.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pPr>
        <w:pStyle w:val="Heading1"/>
      </w:pPr>
      <w:bookmarkStart w:id="40" w:name="figures"/>
      <w:bookmarkEnd w:id="40"/>
      <w:r>
        <w:t xml:space="preserve">Figures</w:t>
      </w:r>
    </w:p>
    <w:p>
      <w:r>
        <w:drawing>
          <wp:inline>
            <wp:extent cx="5440680" cy="7262559"/>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1"/>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1</w:t>
      </w:r>
      <w:r>
        <w:t xml:space="preserve">. Daily maximum and minimum temperature (a), cumulative daily PPFD (b), and daily maximum vapour pressure deficit (c) across the experiment duration in 2013.</w:t>
      </w:r>
    </w:p>
    <w:p>
      <w:r>
        <w:drawing>
          <wp:inline>
            <wp:extent cx="5440680" cy="7262559"/>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2"/>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2</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drawing>
          <wp:inline>
            <wp:extent cx="5440680" cy="9071960"/>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3"/>
                    <a:stretch>
                      <a:fillRect/>
                    </a:stretch>
                  </pic:blipFill>
                  <pic:spPr bwMode="auto">
                    <a:xfrm>
                      <a:off x="0" y="0"/>
                      <a:ext cx="5440680" cy="9071960"/>
                    </a:xfrm>
                    <a:prstGeom prst="rect">
                      <a:avLst/>
                    </a:prstGeom>
                    <a:noFill/>
                    <a:ln w="9525">
                      <a:noFill/>
                      <a:headEnd/>
                      <a:tailEnd/>
                    </a:ln>
                  </pic:spPr>
                </pic:pic>
              </a:graphicData>
            </a:graphic>
          </wp:inline>
        </w:drawing>
      </w:r>
    </w:p>
    <w:p>
      <w:r>
        <w:rPr>
          <w:b/>
        </w:rPr>
        <w:t xml:space="preserve">Figure 3</w:t>
      </w:r>
      <w:r>
        <w:t xml:space="preserve">. Soil volume treatment means of 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44"/>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drawing>
          <wp:inline>
            <wp:extent cx="5440680" cy="4075836"/>
            <wp:effectExtent b="0" l="0" r="0" t="0"/>
            <wp:docPr descr="" id="1" name="Picture"/>
            <a:graphic>
              <a:graphicData uri="http://schemas.openxmlformats.org/drawingml/2006/picture">
                <pic:pic>
                  <pic:nvPicPr>
                    <pic:cNvPr descr="manuscript_pve_files/figure-docx/A_tncnitro-1.png" id="0" name="Picture"/>
                    <pic:cNvPicPr>
                      <a:picLocks noChangeArrowheads="1" noChangeAspect="1"/>
                    </pic:cNvPicPr>
                  </pic:nvPicPr>
                  <pic:blipFill>
                    <a:blip r:embed="rId45"/>
                    <a:stretch>
                      <a:fillRect/>
                    </a:stretch>
                  </pic:blipFill>
                  <pic:spPr bwMode="auto">
                    <a:xfrm>
                      <a:off x="0" y="0"/>
                      <a:ext cx="5440680" cy="4075836"/>
                    </a:xfrm>
                    <a:prstGeom prst="rect">
                      <a:avLst/>
                    </a:prstGeom>
                    <a:noFill/>
                    <a:ln w="9525">
                      <a:noFill/>
                      <a:headEnd/>
                      <a:tailEnd/>
                    </a:ln>
                  </pic:spPr>
                </pic:pic>
              </a:graphicData>
            </a:graphic>
          </wp:inline>
        </w:drawing>
      </w:r>
    </w:p>
    <w:p>
      <w:r>
        <w:rPr>
          <w:b/>
        </w:rPr>
        <w:t xml:space="preserve">Figure 5</w:t>
      </w:r>
      <w:r>
        <w:t xml:space="preserve">. Photosynthetic capacity, on a leaf mass basis, as a function of accumulation of leaf starch (a) and leaf nitrogen content without TNC (b). Colors represent bins levels (n=5) of both leaf starch and nitrogen grouped from low to high . Lines represents predictions, for each bin level, from the linear mixed effects model equation of A</w:t>
      </w:r>
      <w:r>
        <w:rPr>
          <w:vertAlign w:val="subscript"/>
        </w:rPr>
        <w:t xml:space="preserve">max</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drawing>
          <wp:inline>
            <wp:extent cx="5440680" cy="7262559"/>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46"/>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pPr>
        <w:pStyle w:val="Heading1"/>
      </w:pPr>
      <w:bookmarkStart w:id="47" w:name="supporting-information"/>
      <w:bookmarkEnd w:id="47"/>
      <w:r>
        <w:t xml:space="preserve">Supporting Information</w:t>
      </w:r>
    </w:p>
    <w:p>
      <w:r>
        <w:drawing>
          <wp:inline>
            <wp:extent cx="5440680" cy="7262559"/>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48"/>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(b). Open and filled symbols represent default model and harvest values, while shaded symbols represent model sensitivity to each scenario by soil volume treatment. Both seedling carbon mass and daily carbon assimilation were first scaled to the free seedling control.</w:t>
      </w:r>
    </w:p>
    <w:p>
      <w:r>
        <w:rPr>
          <w:b/>
        </w:rPr>
        <w:t xml:space="preserve">Table S1</w:t>
      </w:r>
      <w:r>
        <w:t xml:space="preserve"> </w:t>
      </w:r>
      <w:r>
        <w:t xml:space="preserve">Seedling Growth Model Default Parameters</w:t>
      </w:r>
    </w:p>
    <w:p>
      <w:pPr>
        <w:pStyle w:val="Heading1"/>
      </w:pPr>
      <w:bookmarkStart w:id="49" w:name="references"/>
      <w:bookmarkEnd w:id="49"/>
      <w:r>
        <w:t xml:space="preserve">References</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Crous KY, Quentin AG, Lin Y-S, Medlyn BE, Williams DG, Barton CVM, Ellsworth DS (2013) Photosynthesis of temperate Eucalyptus globulus trees outside their native range has limited adjustment to elevated CO2 and climate warming. Global change biology 19:3790–3807.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Farquhar GD, Caemmerer S von von, Berry JA (1980) A biochemical model of photosynthetic CO2 assimilation in leaves of C3 species. Planta 149:78–90.</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Medlyn BE, Dreyer E, Ellsworth D, Forstreuter M, Harley PC, Kirschbaum MUF,</w:t>
      </w:r>
      <w:r>
        <w:t xml:space="preserve"> </w:t>
      </w:r>
      <w:r>
        <w:t xml:space="preserve">Le Roux</w:t>
      </w:r>
      <w:r>
        <w:t xml:space="preserve"> </w:t>
      </w:r>
      <w:r>
        <w:t xml:space="preserve">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w:t>
      </w:r>
      <w:r>
        <w:t xml:space="preserve"> </w:t>
      </w:r>
      <w:r>
        <w:t xml:space="preserve">Colin Prentice</w:t>
      </w:r>
      <w:r>
        <w:t xml:space="preserve"> </w:t>
      </w:r>
      <w:r>
        <w:t xml:space="preserve">I, Barton CVM, Crous KY, Angelis P, Freeman M, Wingate L (2012) Reconciling the optimal and empirical approaches to modelling stomatal conductance. Global Change Biology 18:3476.</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R2 from generalized linear mixed-effects models. Methods in Ecology and Evolution 4:133–142.</w:t>
      </w:r>
    </w:p>
    <w:p>
      <w:pPr>
        <w:pStyle w:val="Bibliography"/>
      </w:pPr>
      <w:r>
        <w:t xml:space="preserve">Pinheiro J, Bates D, DebRoy S, Sarkar D, R Core Team (2014) {nlme}: Linear and Nonlinear Mixed Effects Models.</w:t>
      </w:r>
      <w:r>
        <w:t xml:space="preserve"> </w:t>
      </w:r>
      <w:hyperlink r:id="rId50">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1">
        <w:r>
          <w:rPr>
            <w:rStyle w:val="Link"/>
          </w:rPr>
          <w:t xml:space="preserve">http://www.r-project.org</w:t>
        </w:r>
      </w:hyperlink>
    </w:p>
    <w:p>
      <w:pPr>
        <w:pStyle w:val="Bibliography"/>
      </w:pPr>
      <w:r>
        <w:t xml:space="preserve">Warton DI, Duursma RA, Falster DS, Taskinen S (2012) smatr 3–an R package for estimation and inference about allometric lines. Methods in Ecology and Evolution 3:257–259.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EC1C64">
          <w:rPr>
            <w:noProof/>
          </w:rPr>
          <w:t>2</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73139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50" Target="http://cran.r-project.org/package=nlme" TargetMode="External" /><Relationship Type="http://schemas.openxmlformats.org/officeDocument/2006/relationships/hyperlink" Id="rId51" Target="http://www.r-project.org"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cran.r-project.org/package=nlme" TargetMode="External" /><Relationship Type="http://schemas.openxmlformats.org/officeDocument/2006/relationships/hyperlink" Id="rId51" Target="http://www.r-project.org"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below-ground space limitation on performance of Eucalyptus seedlings: Does photosynthesis really control growth?</dc:title>
  <dc:creator/>
</cp:coreProperties>
</file>