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49.png" ContentType="image/png"/>
  <Override PartName="/word/media/rId48.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below-ground</w:t>
      </w:r>
      <w:r>
        <w:t xml:space="preserve"> </w:t>
      </w:r>
      <w:r>
        <w:t xml:space="preserve">sink</w:t>
      </w:r>
      <w:r>
        <w:t xml:space="preserve"> </w:t>
      </w:r>
      <w:r>
        <w:t xml:space="preserve">limitation</w:t>
      </w:r>
      <w:r>
        <w:t xml:space="preserve"> </w:t>
      </w:r>
      <w:r>
        <w:t xml:space="preserve">on</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in order to assess C allocation and biomass partitioning. This study used manipulations of soil volume to test how growth is coupled to physiology, allocation, and sink activity in</w:t>
      </w:r>
      <w:r>
        <w:t xml:space="preserve"> </w:t>
      </w:r>
      <w:r>
        <w:rPr>
          <w:i/>
        </w:rPr>
        <w:t xml:space="preserve">Eucalyptus tereticornis</w:t>
      </w:r>
      <w:r>
        <w:t xml:space="preserve"> </w:t>
      </w:r>
      <w:r>
        <w:t xml:space="preserve">seedlings. We grew seedlings in a large range of container sizes and planted containers flush to the soil alongside naturally sown seedlings (free). Reduced soil volume was expected to induce rapid negative effects on growth and physiology compared to free seedlings. It was hypothesized that soil volume effect would be largest in the smallest containers, negatively impacting mass partitioning belowground. The accumulation of leaf non-structural carbohydrates, resulting from reduced sink strengh, was expected to correleltae to reductions in photosynthetic capacity. We observed a negative container effect on aboveground growth soon after the experiment started. Although growth was consistently different across soil volumes mass, partitioning to leaves, stems and roots was conserved after 120 days. Photosynthetic capacity was also significantly reduced in containers, and was related to both leaf nitrogen content and starch accumulation. We developed a seedling growth model that utilized leaf photosynthesis (A) rates to allocate daily C uptake towards mass growth of stems, leaves and roots. We then asked whether the observed reductions in A explained the observed differences in seedling biomass. We found that although belowground sink limitation resulted in the down regulation of A, these reductions were not significant enough to explain observed growth responses. Thus, as A and growth were not coordinated an excess pool of non-biomass C resulted in seedlings with soil volume restriction. This research highlights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correlated to maintain mass balance, however, at shorter temporal scales growth is not necessarily limited by the availability of recent photosynthate. This has led to the current debate over how strongly plant growth is controlled by either source of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 rates</w:t>
      </w:r>
      <w:r>
        <w:t xml:space="preserve"> </w:t>
      </w:r>
      <w:r>
        <w:t xml:space="preserve">(Drake et al. 1997, Ainsworth and Rogers 2007)</w:t>
      </w:r>
      <w:r>
        <w:t xml:space="preserve"> </w:t>
      </w:r>
      <w:r>
        <w:t xml:space="preserve">and across four FACE experiments this resulted in a conserved increase in forest biomass production</w:t>
      </w:r>
      <w:r>
        <w:t xml:space="preserve"> </w:t>
      </w:r>
      <w:r>
        <w:t xml:space="preserve">(Norby et al. 2005)</w:t>
      </w:r>
      <w:r>
        <w:t xml:space="preserve">. Evidence from elevated CO</w:t>
      </w:r>
      <w:r>
        <w:rPr>
          <w:vertAlign w:val="subscript"/>
        </w:rPr>
        <w:t xml:space="preserve">2</w:t>
      </w:r>
      <w:r>
        <w:t xml:space="preserve"> </w:t>
      </w:r>
      <w:r>
        <w:t xml:space="preserve">experiments, however, also reveals that even with average photosynthetic enhancement of over 30 % the growth rate only increases by around 10 %</w:t>
      </w:r>
      <w:r>
        <w:t xml:space="preserve"> </w:t>
      </w:r>
      <w:r>
        <w:t xml:space="preserve">(Kirschbaum 2011)</w:t>
      </w:r>
      <w:r>
        <w:t xml:space="preserve">. In defoliation experiments, increases in A of the remaining foliage are commonly shown yet are attributed to variable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down regulate photosynthetic activity</w:t>
      </w:r>
      <w:r>
        <w:t xml:space="preserve"> </w:t>
      </w:r>
      <w:r>
        <w:t xml:space="preserve">(Paul and Foyer 2001)</w:t>
      </w:r>
      <w:r>
        <w:t xml:space="preserve">. If this sink inhibition of A occurs then a close coordination between declines in A and growth should be expected. Whether this photosynthetic down regulation is evident in woody species has been tested through fruit removal, girdling, and low temperatures.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large annual fruiting sinks, they tell us little about source-sink coordination in typical field conditions for woody species.</w:t>
      </w:r>
    </w:p>
    <w:p>
      <w:r>
        <w:br w:type="textWrapping"/>
      </w:r>
      <w:r>
        <w:t xml:space="preserve">An alternative experimental approach is to lower belowground C sink strength in tree seedlings by manipulating rooting volume, by varying the container size. The advantage of this approach is it allows a large range of manipulations,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and references therein)</w:t>
      </w:r>
      <w:r>
        <w:t xml:space="preserve">. Inadequate rooting volume may decrease C sink strength by progressively restricting root growth</w:t>
      </w:r>
      <w:r>
        <w:t xml:space="preserve"> </w:t>
      </w:r>
      <w:r>
        <w:t xml:space="preserve">(Thomas and Strain 1991)</w:t>
      </w:r>
      <w:r>
        <w:t xml:space="preserve">. Container size studies frequently have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 A is the process likely to be the strongest affected by pot size and may best explain the observed effect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how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evaluate only the effect of restricted soil volume and the limited nutrient resource pool.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production over 120 days.</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small containers we expected reductions in mass partitioning to roots with decreasing container size.</w:t>
      </w:r>
    </w:p>
    <w:p>
      <w:r>
        <w:t xml:space="preserve">3). Reduced sink strength was expected to lead to accumulation of leaf non-structural carbohydrates, which is known to inhibit A. We therefore expected a correlation between carbohydrate accumulation and photosynthetic capacity as a function of soil volume.</w:t>
      </w:r>
    </w:p>
    <w:p>
      <w:r>
        <w:t xml:space="preserve">4). Last, the growth model was expected to find agreement between observed seedlings mass and mass predicted from a simple carbon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open cover with a site history that consists of a paddock that was converted from native pasture grasses. Top soils at this site, used for the study,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Previous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This is generally hypothesized to be a different response than seedlings with no taproot. By using a species with tap root growth and manipulations of container length rather than width, it is believed that a more realistic test of inhibition of growth through constrained soil volume would be achieved. Six seedlings were harvested before planting to measure initial leaf area and dry mass of leaves, stems and roots.</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of 1.7 g 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sown (free) seedlings. Each experimental block (n=7) contained a complete replicate set of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0.5 m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accounting for natural precipitation, to maintain soil moisture at field capacity (13-15 %). Drain systems were built into each pot to prevent pooling of water in containers before root expansion, from reduced root uptake, or from large rainfall events. These conditions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As small containers (5, 10, and 15 l) have a larger irradiation effect a simple bottom plug was used to drain excess water from the gravel compartment.</w:t>
      </w:r>
    </w:p>
    <w:p>
      <w:pPr>
        <w:pStyle w:val="Heading2"/>
      </w:pPr>
      <w:bookmarkStart w:id="27" w:name="growth-and-morphology-metrics"/>
      <w:bookmarkEnd w:id="27"/>
      <w:r>
        <w:t xml:space="preserve">Growth and morphology metrics</w:t>
      </w:r>
    </w:p>
    <w:p>
      <w:r>
        <w:t xml:space="preserve">Seedlings were planted on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(May 21</w:t>
      </w:r>
      <w:r>
        <w:rPr>
          <w:vertAlign w:val="superscript"/>
        </w:rPr>
        <w:t xml:space="preserve">st</w:t>
      </w:r>
      <w:r>
        <w:t xml:space="preserve"> </w:t>
      </w:r>
      <w:r>
        <w:t xml:space="preserve">2013). Dry mass of leaves, stems, roots and cumulative leaf area (LI-3100C Area Meter; LI-COR, Lincoln, NE, USA) was measured for each seedling. Mean individual leaf area for each harvested seedling was calculated by dividing cumulative leaf area by total leaf count of only fully expanded leaves. This value was then used to interpolate cumulative leaf area through time with weekly leaf counts. Root mass was collected by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0.5 m depth. 25 g fresh weight subsamples of washed fine roots were analyzed, using WhinoRhizo software (Regent Instruments Inc., Quebec, QC, Canada), for specific root length (SRL,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bi-weekly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17</w:t>
      </w:r>
      <w:r>
        <w:rPr>
          <w:vertAlign w:val="superscript"/>
        </w:rPr>
        <w:t xml:space="preserve">th</w:t>
      </w:r>
      <w:r>
        <w:t xml:space="preserve">, 2013), approximately 6 weeks following planting, and continued until the biomass harvest. Leaf level gas exchange was measured with a standard leaf chamber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leaves acclimated to the chamber environment,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also developed at 25 °C on a random subset of each container size (n=3) after new leaves were first produced and immediately prior to the final harvest (May 23</w:t>
      </w:r>
      <w:r>
        <w:rPr>
          <w:vertAlign w:val="superscript"/>
        </w:rPr>
        <w:t xml:space="preserve">rd</w:t>
      </w:r>
      <w:r>
        <w:t xml:space="preserve"> </w:t>
      </w:r>
      <w:r>
        <w:t xml:space="preserve">2013).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using detached leaves inside a conifer chamber attached to the Licor 6400 at least 1 hour after sundown.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known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TNC concentration was analyzed using a total starch assay kit (Megazyme International 303 Ireland Ltd., Wicklow, Ireland) and includes the starch (mg g</w:t>
      </w:r>
      <w:r>
        <w:rPr>
          <w:vertAlign w:val="superscript"/>
        </w:rPr>
        <w:t xml:space="preserve">-1</w:t>
      </w:r>
      <w:r>
        <w:t xml:space="preserve">) and soluble sugar (mg g</w:t>
      </w:r>
      <w:r>
        <w:rPr>
          <w:vertAlign w:val="superscript"/>
        </w:rPr>
        <w:t xml:space="preserve">-1</w:t>
      </w:r>
      <w:r>
        <w:t xml:space="preserve">) concentrations.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Specific leaf area (SLA,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w:t>
      </w:r>
      <w:r>
        <w:t xml:space="preserve">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ϵ</m:t>
        </m:r>
      </m:oMath>
      <w:r>
        <w:rPr>
          <w:vertAlign w:val="subscript"/>
        </w:rPr>
        <w:t xml:space="preserve">c</w:t>
      </w:r>
      <w:r>
        <w:t xml:space="preserve"> </w:t>
      </w:r>
      <w:r>
        <w:t xml:space="preserve">is a biomass conversion efficiency parameter and R is the mass based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(g C g mass</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Due to the duration of the experiment</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in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 </w:t>
      </w:r>
      <w:r>
        <w:t xml:space="preserve">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2012)</w:t>
      </w:r>
      <w:r>
        <w:t xml:space="preserve"> </w:t>
      </w:r>
      <w:r>
        <w:t xml:space="preserve">with observed g</w:t>
      </w:r>
      <w:r>
        <w:rPr>
          <w:vertAlign w:val="subscript"/>
        </w:rPr>
        <w:t xml:space="preserve">s</w:t>
      </w:r>
      <w:r>
        <w:t xml:space="preserve"> </w:t>
      </w:r>
      <w:r>
        <w:t xml:space="preserve">values. Examples of the photosynthesis model are described in Medlyn et al.</w:t>
      </w:r>
      <w:r>
        <w:t xml:space="preserve"> </w:t>
      </w:r>
      <w:r>
        <w:t xml:space="preserve">(2002)</w:t>
      </w:r>
      <w:r>
        <w:t xml:space="preserve"> </w:t>
      </w:r>
      <w:r>
        <w:t xml:space="preserve">and the approach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 in R (fix cite YplantQMC)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Table.3.</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published or local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one-way analysis of variance (ANOVA) in R with individual containers as random effects and soil volume as a categorical fixed effect. Tukey's post-hoc tests were performed in conjunction with ANOVA to determine which specific paired comparisons among soil volume treatments were different. Mixed model ANOVAs of A</w:t>
      </w:r>
      <w:r>
        <w:rPr>
          <w:vertAlign w:val="subscript"/>
        </w:rPr>
        <w:t xml:space="preserve">max</w:t>
      </w:r>
      <w:r>
        <w:t xml:space="preserve"> </w:t>
      </w:r>
      <w:r>
        <w:t xml:space="preserve">and leaf chemistry were performed using the 'nlme' package</w:t>
      </w:r>
      <w:r>
        <w:t xml:space="preserve"> </w:t>
      </w:r>
      <w:r>
        <w:t xml:space="preserve">(Pinheiro et al. 2014)</w:t>
      </w:r>
      <w:r>
        <w:t xml:space="preserve"> </w:t>
      </w:r>
      <w:r>
        <w:t xml:space="preserve">in R and R</w:t>
      </w:r>
      <w:r>
        <w:rPr>
          <w:vertAlign w:val="superscript"/>
        </w:rPr>
        <w:t xml:space="preserve">2</w:t>
      </w:r>
      <w:r>
        <w:t xml:space="preserve"> </w:t>
      </w:r>
      <w:r>
        <w:t xml:space="preserve">values of mixed models were computed as in</w:t>
      </w:r>
      <w:r>
        <w:t xml:space="preserve"> </w:t>
      </w:r>
      <w:r>
        <w:t xml:space="preserve">(Nakagawa and Schielzeth 2013)</w:t>
      </w:r>
      <w:r>
        <w:t xml:space="preserve">. Tests of allometric relationships between biomass components were implemented using major axis regression in the 'smatr' package in R</w:t>
      </w:r>
      <w:r>
        <w:t xml:space="preserve"> </w:t>
      </w:r>
      <w:r>
        <w:t xml:space="preserve">(Warton et al. 2012)</w:t>
      </w:r>
      <w:r>
        <w:t xml:space="preserve">. Results were considered significant at P ≤ 0.05.</w:t>
      </w:r>
    </w:p>
    <w:p>
      <w:pPr>
        <w:pStyle w:val="Heading1"/>
      </w:pPr>
      <w:bookmarkStart w:id="33" w:name="results"/>
      <w:bookmarkEnd w:id="33"/>
      <w:r>
        <w:t xml:space="preserve">Results</w:t>
      </w:r>
    </w:p>
    <w:p>
      <w:pPr>
        <w:pStyle w:val="Heading2"/>
      </w:pPr>
      <w:bookmarkStart w:id="34" w:name="growth-and-morphology-metrics-1"/>
      <w:bookmarkEnd w:id="34"/>
      <w:r>
        <w:t xml:space="preserve">Growth and morphology metrics</w:t>
      </w:r>
    </w:p>
    <w:p>
      <w:r>
        <w:t xml:space="preserve">In this field study, colder temperatures and reductions in cumulative PPFD per day (Fig. 1) most likely lead to the reduced growth in the free seedlings in the final weeks of the experiment (Fig. 2). Combined with severe growth reductions in the smallest container volumes the experiment was chosen to be harvested after 120 days. Over this duration height, diameter, and leaf area diverged between container volumes (Fig. 2). First, seedling leaf area significantly diverged between soil volumes (P &lt; 0.026)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0.002 &amp; 0.001, respectively). Negative growth effects then manifested as severely reduced height gain and declining leaf area through time with small soil volumes across the final two months of the experiment.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w:t>
      </w:r>
    </w:p>
    <w:p>
      <w:r>
        <w:br w:type="textWrapping"/>
      </w:r>
      <w:r>
        <w:t xml:space="preserve">Total seedling biomass at harvest was significantly different across container volumes (P &lt; 0.001) and with free seedlings (P &lt; 0.001, Table. 1). We analyzed the relationship between biomass growth with each fold increase in soil volume and found an increase of 34 % with a doubling of pot size, consistent with the meta-analysis of Poorter et al.</w:t>
      </w:r>
      <w:r>
        <w:t xml:space="preserve"> </w:t>
      </w:r>
      <w:r>
        <w:t xml:space="preserve">(2012)</w:t>
      </w:r>
      <w:r>
        <w:t xml:space="preserve">. Additionally, plant biomass was highly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within treatments was factored in the analysis (Fig.3a,b). Across all treatments, the final harvested root:shoot was conserved in these seedlings, with a slightly higher shoot than root mass on average (</w:t>
      </w:r>
      <m:oMath>
        <m:bar>
          <m:barPr>
            <m:pos m:val="top"/>
          </m:barPr>
          <m:e>
            <m:r>
              <m:rPr>
                <m:sty m:val="p"/>
              </m:rPr>
              <m:t>x</m:t>
            </m:r>
          </m:e>
        </m:bar>
      </m:oMath>
      <w:r>
        <w:t xml:space="preserve"> </w:t>
      </w:r>
      <w:r>
        <w:t xml:space="preserve">= 0.904, Fig. 2c).</w:t>
      </w:r>
    </w:p>
    <w:p>
      <w:r>
        <w:br w:type="textWrapping"/>
      </w:r>
      <w:r>
        <w:t xml:space="preserve">Overall, SRL was higher in seedlings in containers compared to free seedlings but not significantly in every soil volume treatment (Table. 1). Over the duration of the experiment SLA was higher in free seedlings but was not different across containers sizes (Table. 1, P &lt; 0.001) and this pattern was evident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at the onset of gas exchange measurements (6th week, P &lt; 0.001). Over the remaining duration of the experiment the smallest container volume had a significant reduction in leaf N % compared to other soil volumes, while free seedlings maintained the highest leaf N % (Table. 1, P &lt; 0.001). Leaf starch content in the smallest container was double that of free seedlings (P=0.039), while leaf soluble sugars did not differ across treatments throughout the experiment (Table. 1). Differences in leaf starch between the free seedling and the smallest container were also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w:t>
      </w:r>
      <w:r>
        <w:rPr>
          <w:vertAlign w:val="subscript"/>
        </w:rPr>
        <w:t xml:space="preserve">sat</w:t>
      </w:r>
      <w:r>
        <w:t xml:space="preserve"> </w:t>
      </w:r>
      <w:r>
        <w:t xml:space="preserve">and A</w:t>
      </w:r>
      <w:r>
        <w:rPr>
          <w:vertAlign w:val="subscript"/>
        </w:rPr>
        <w:t xml:space="preserve">max</w:t>
      </w:r>
      <w:r>
        <w:t xml:space="preserve"> </w:t>
      </w:r>
      <w:r>
        <w:t xml:space="preserve">were both significantly higher in the largest container volume and the free seedling at the first measurement campaign (both P &lt; 0.001). Across all measurement campaigns A</w:t>
      </w:r>
      <w:r>
        <w:rPr>
          <w:vertAlign w:val="subscript"/>
        </w:rPr>
        <w:t xml:space="preserve">sat</w:t>
      </w:r>
      <w:r>
        <w:t xml:space="preserve"> </w:t>
      </w:r>
      <w:r>
        <w:t xml:space="preserve">(Fig. 4) and A</w:t>
      </w:r>
      <w:r>
        <w:rPr>
          <w:vertAlign w:val="subscript"/>
        </w:rPr>
        <w:t xml:space="preserve">max</w:t>
      </w:r>
      <w:r>
        <w:t xml:space="preserve"> </w:t>
      </w:r>
      <w:r>
        <w:t xml:space="preserve">(Table 2.) were consistently higher in free seedlings than in containers (both P &lt; 0.001). The interaction between photosynthetic capacity, leaf starch, and leaf N on a mass basis was marginally significant (P = 0.058) but A</w:t>
      </w:r>
      <w:r>
        <w:rPr>
          <w:vertAlign w:val="subscript"/>
        </w:rPr>
        <w:t xml:space="preserve">max</w:t>
      </w:r>
      <w:r>
        <w:t xml:space="preserve"> </w:t>
      </w:r>
      <w:r>
        <w:t xml:space="preserve">was highly correlated to both leaf N content and leaf starch (both P &lt; 0.001). Across all measurement campaign A</w:t>
      </w:r>
      <w:r>
        <w:rPr>
          <w:vertAlign w:val="subscript"/>
        </w:rPr>
        <w:t xml:space="preserve">max</w:t>
      </w:r>
      <w:r>
        <w:t xml:space="preserve"> </w:t>
      </w:r>
      <w:r>
        <w:t xml:space="preserve">was higher when foliar N was also higher, usually associated with low levels of leaf starch (Fig. 5a). A</w:t>
      </w:r>
      <w:r>
        <w:rPr>
          <w:vertAlign w:val="subscript"/>
        </w:rPr>
        <w:t xml:space="preserve">max</w:t>
      </w:r>
      <w:r>
        <w:t xml:space="preserve"> </w:t>
      </w:r>
      <w:r>
        <w:t xml:space="preserve">was also lower when leaf starch was high as higher leaf N often did not coincide with high leaf starch (Fig. 5b)</w:t>
      </w:r>
    </w:p>
    <w:p>
      <w:r>
        <w:br w:type="textWrapping"/>
      </w:r>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not different within treatments at the beginning and end of gas exchange campaigns, therefore the parameter means per treatment are reported here (Table. 2). Overall, 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with little variation between soil volume treatments (P = 0.001 &amp; 0.002, respectively).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(2012)</w:t>
      </w:r>
      <w:r>
        <w:t xml:space="preserve"> </w:t>
      </w:r>
      <w:r>
        <w:t xml:space="preserve">optimal stomatal conductance model, was lowest in the free seedling and was marginally different across soil volume treatments (Table. 2). Predicted values of g</w:t>
      </w:r>
      <w:r>
        <w:rPr>
          <w:vertAlign w:val="subscript"/>
        </w:rPr>
        <w:t xml:space="preserve">s</w:t>
      </w:r>
      <w:r>
        <w:t xml:space="preserve">, using the g</w:t>
      </w:r>
      <w:r>
        <w:rPr>
          <w:vertAlign w:val="subscript"/>
        </w:rPr>
        <w:t xml:space="preserve">1</w:t>
      </w:r>
      <w:r>
        <w:t xml:space="preserve"> </w:t>
      </w:r>
      <w:r>
        <w:t xml:space="preserve">parameter, where highly correlated with observed values (R</w:t>
      </w:r>
      <w:r>
        <w:rPr>
          <w:vertAlign w:val="superscript"/>
        </w:rPr>
        <w:t xml:space="preserve">2</w:t>
      </w:r>
      <w:r>
        <w:t xml:space="preserve"> </w:t>
      </w:r>
      <w:r>
        <w:t xml:space="preserve">= .74, P &lt; 0.001, data not shown).</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genearlly higher htan those in containers (Table 2. P=0.001), the mean rates for all seedlings were high at 0.37 mol H</w:t>
      </w:r>
      <w:r>
        <w:rPr>
          <w:vertAlign w:val="subscript"/>
        </w:rPr>
        <w:t xml:space="preserve">2</w:t>
      </w:r>
      <w:r>
        <w:t xml:space="preserve">0 m</w:t>
      </w:r>
      <w:r>
        <w:rPr>
          <w:vertAlign w:val="superscript"/>
        </w:rPr>
        <w:t xml:space="preserve">-2</w:t>
      </w:r>
      <w:r>
        <w:t xml:space="preserve"> </w:t>
      </w:r>
      <w:r>
        <w:t xml:space="preserve">s</w:t>
      </w:r>
      <w:r>
        <w:rPr>
          <w:vertAlign w:val="superscript"/>
        </w:rPr>
        <w:t xml:space="preserve">-1</w:t>
      </w:r>
      <w:r>
        <w:t xml:space="preserve"> </w:t>
      </w:r>
      <w:r>
        <w:t xml:space="preserve">and did not decline significantly across the experiment duration.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well-watered seedlings throughout the experiment. Soil N % at harvest was not different across soil volumes (</w:t>
      </w:r>
      <m:oMath>
        <m:bar>
          <m:barPr>
            <m:pos m:val="top"/>
          </m:barPr>
          <m:e>
            <m:r>
              <m:rPr>
                <m:sty m:val="p"/>
              </m:rPr>
              <m:t>x</m:t>
            </m:r>
          </m:e>
        </m:bar>
      </m:oMath>
      <w:r>
        <w:t xml:space="preserve"> </w:t>
      </w:r>
      <w:r>
        <w:t xml:space="preserve">= 04.5 %) and decreased approximately 3 % across all containers over the experiment duration.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 6a). Thus, seedling C mass was overestimated by an average of 50±8.7 % in modeled seedlings across the reductions in daily C assimilation per treatment (Fig. 6b). As a result, the reductions in leaf A were not sufficient enough to explain the reduction in harvested seedling biomass with soil volume restriction. This resulted in an unexplained pool of excess C, generated from A, which was not allocated to biomass.</w:t>
      </w:r>
    </w:p>
    <w:p>
      <w:r>
        <w:br w:type="textWrapping"/>
      </w:r>
      <w:r>
        <w:t xml:space="preserve">The remaining model simulations tested possible C allocation scenarios to account for this excess pool of C. Constraining the model by treatment-specific LMF from the final harvest (M</w:t>
      </w:r>
      <w:r>
        <w:rPr>
          <w:vertAlign w:val="subscript"/>
        </w:rPr>
        <w:t xml:space="preserve">2</w:t>
      </w:r>
      <w:r>
        <w:t xml:space="preserve">) still overestimated seedling total C by 32±11.1 %, but provided the most improved model predictions (Fig. S1a). Using harvested LMF, however, does not capture the increase in senescence of seedlings in small containers (Fig. 2c). Thus, the 7-61 % reduction in measured harvested leaf mass fraction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 S1b). It was further determined that non-tissue respiration rates in modeled seedlings would need to increase by ca. 250 % to account for this entire pool of C.</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production. We then addressed questions regarding the coordination of A and growth by complementing empirical results with modelling approaches. We found that reductions in leaf A rates were not sufficient to explain observed reductions in total plant biomass production. 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As soon as seedlings became established both height and diameter growth were negatively affected by decreasing soil volume. This lead to the large reductions in harvested biomass in small containers when compared to free seedlings. These growth reductions were expected, as the impedance of root growth can cause reductions overall plant growth and activity</w:t>
      </w:r>
      <w:r>
        <w:t xml:space="preserve"> </w:t>
      </w:r>
      <w:r>
        <w:t xml:space="preserve">(McConnaughay and Bazzaz 1991, Young et al. 1997)</w:t>
      </w:r>
      <w:r>
        <w:t xml:space="preserve">. It has been shown that roots undergoing difficult conditions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paralleled the reductions in allometric growth parameters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Bühler, et al. 2012)</w:t>
      </w:r>
      <w:r>
        <w:t xml:space="preserve">. It was therefore necessary to examine each of these factors to distinguish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of water stress inducing a limitation to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was not attributed to impacts of container size on leaf water potentials or g</w:t>
      </w:r>
      <w:r>
        <w:rPr>
          <w:vertAlign w:val="subscript"/>
        </w:rPr>
        <w:t xml:space="preserve">s</w:t>
      </w:r>
      <w:r>
        <w:t xml:space="preserve"> </w:t>
      </w:r>
      <w:r>
        <w:t xml:space="preserve">(Ronchi et al. 2006)</w:t>
      </w:r>
      <w:r>
        <w:t xml:space="preserve">. Here, it is likely that reductions in A of these well watered seedlings was instead the result of limiting soil nutrients on belowground sink strength.</w:t>
      </w:r>
    </w:p>
    <w:p>
      <w:r>
        <w:br w:type="textWrapping"/>
      </w:r>
      <w:r>
        <w:t xml:space="preserve">Although the soil N pool declined evenly across all treatments leaf N was lowest in the smallest containers, suggesting that sink limitation was the greatest in these containers. This makes sense as small containers may reduce N uptake, either from physical root restriction or decreased supply, which affects growth, Rubisco limitation, sugar metabolism, and carbohydrate partitioning between source and sink tissues</w:t>
      </w:r>
      <w:r>
        <w:t xml:space="preserve"> </w:t>
      </w:r>
      <w:r>
        <w:t xml:space="preserve">(Stitt 1991, Hermans et al. 2006)</w:t>
      </w:r>
      <w:r>
        <w:t xml:space="preserve">. Mycorrhizal colonization could also have been affected in containers. Whether unrestricted mycorrhizal recruitment facilitated the increase in leaf N uptake in free seedlings is unknown. Regardless of whether sink limitation occurred from root or mycorrhizal restriction, the stark contrast between leaf N between free seedlings and seedlings in containers was significantly correlated to reductions in A.</w:t>
      </w:r>
    </w:p>
    <w:p>
      <w:r>
        <w:br w:type="textWrapping"/>
      </w:r>
      <w:r>
        <w:t xml:space="preserve">As both rooting space and resources were finite in containers, the inability of seedlings to increase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where correlated with higher starch content throughout the experiment. This agrees with findings from Equiza et a. (2006) where photosynthetic downregulation from reduced sink strength showed a greater correlation with starch than with sugar content in a deciduous conifer. As starch content in the smallest containers was nearly double that of free seedlings this suggests the response of A to sink inhibition was regulated by this accumulation, as hypothesized.</w:t>
      </w:r>
    </w:p>
    <w:p>
      <w:pPr>
        <w:pStyle w:val="Heading2"/>
      </w:pPr>
      <w:bookmarkStart w:id="40" w:name="mass-partitioning-under-sink-limitation"/>
      <w:bookmarkEnd w:id="40"/>
      <w:r>
        <w:t xml:space="preserve">Mass partitioning under sink limitation</w:t>
      </w:r>
    </w:p>
    <w:p>
      <w:r>
        <w:t xml:space="preserve">As mass partitioning is likely controlled by the source and sink strength of all organs</w:t>
      </w:r>
      <w:r>
        <w:t xml:space="preserve"> </w:t>
      </w:r>
      <w:r>
        <w:t xml:space="preserve">(Poorter, Niklas, et al. 2012)</w:t>
      </w:r>
      <w:r>
        <w:t xml:space="preserve"> </w:t>
      </w:r>
      <w:r>
        <w:t xml:space="preserve">it was important to determine what tissue components were most affected by the sink limitation.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were no significant changes in root, leaf, or stem mass fractions to reduced soil volume compared to free seedlings, outside of ontogenetic drift. This is significant as shifts in allocation have been noted specifically for nutrient limitation</w:t>
      </w:r>
      <w:r>
        <w:t xml:space="preserve"> </w:t>
      </w:r>
      <w:r>
        <w:t xml:space="preserve">(McConnaughay and Coleman 1999, and references therein)</w:t>
      </w:r>
      <w:r>
        <w:t xml:space="preserve">. Surprisingly, fine root to leaf mass ratio was instead conserved across all treatments suggesting an active biomass partitioning strategy to optimize resource gain did not occur.</w:t>
      </w:r>
    </w:p>
    <w:p>
      <w:r>
        <w:br w:type="textWrapping"/>
      </w:r>
      <w:r>
        <w:t xml:space="preserve">As partitioning to fine roots did not change this provides evidence against an optimal foraging response in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be used to adjust growth before stressful conditions occur</w:t>
      </w:r>
      <w:r>
        <w:t xml:space="preserve"> </w:t>
      </w:r>
      <w:r>
        <w:t xml:space="preserve">(Semchenko et al. 2008)</w:t>
      </w:r>
      <w:r>
        <w:t xml:space="preserve">. Alternatively, physical restriction of root proliferation could have impacted root development or morphology prior to shifts in mass partitioning. Here, increases in root length where detected in several of the soil volume treatments . This is not surprising, as plants in containers have been shown to have different root morphology to field grown plants as roots essentially compete with themselves for nutrients</w:t>
      </w:r>
      <w:r>
        <w:t xml:space="preserve"> </w:t>
      </w:r>
      <w:r>
        <w:t xml:space="preserve">(NeSmith and Duval 1998)</w:t>
      </w:r>
      <w:r>
        <w:t xml:space="preserve">. Poor soil quality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growth model used a simple but conventional approach to drive seedling growth with fluctuations in A while treating carbon use efficiency, respiration and carbon allocation as fixed processes. Contrary to expectation, the model consistently overestimated seedling growth in containers when parameterized with an optimized LMF. This provides further evidence that links between sink limitation and A do not necessarily imply the same coordination between reduced A and growth. These findings are important as this model reflects classical approaches in tree growth and production modelling. Our results indicate a need to evaluate the use of fixed processes in models which distinguish the fate of assimilate C within a plant. Doing so will provide valuable input to future models as assimilate allocation is a key component in functional-structural tree models, yet C partitioning remains a weak point</w:t>
      </w:r>
      <w:r>
        <w:t xml:space="preserve"> </w:t>
      </w:r>
      <w:r>
        <w:t xml:space="preserve">(Lacointe 2000)</w:t>
      </w:r>
      <w:r>
        <w:t xml:space="preserve">. To address this issue we utilized the flexibility of this model to test plausible fates of the extra pool of non-biomass carbon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Altering the LMF from that of the optimized seedling controls (M</w:t>
      </w:r>
      <w:r>
        <w:rPr>
          <w:vertAlign w:val="subscript"/>
        </w:rPr>
        <w:t xml:space="preserve">2</w:t>
      </w:r>
      <w:r>
        <w:t xml:space="preserve">) improved biomass predictions and provided insight into how sink limitation can impact leaf C allocation beyond A. The observed sub-optimal decrease LMF with increasing soil volume restriction has several possible explanations. Shifts in LMF could represent changes in senescence or leaf production that could not be explicitly quantified in this field study. As TNC accumulation can lead to accelerated leaf senescence</w:t>
      </w:r>
      <w:r>
        <w:t xml:space="preserve"> </w:t>
      </w:r>
      <w:r>
        <w:t xml:space="preserve">(Paul and Foyer 2001)</w:t>
      </w:r>
      <w:r>
        <w:t xml:space="preserve">, this could explain the large declines in total leaf area of seedlings in small containers. Alternatively, seedlings in containers could have reduced leaf production to maintain laws of stoichiometry (leaf C:N ratio). The two-fold decrease in leaf N % in small containers from free seedlings provides support to this possible scenario.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finding is still noteworthy as it shows that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It has long been know that conditions which affect the photosynthetic process affect growth but that there is also an interrelationship between growth and A</w:t>
      </w:r>
      <w:r>
        <w:t xml:space="preserve"> </w:t>
      </w:r>
      <w:r>
        <w:t xml:space="preserve">(Sweet and Wareing 1966)</w:t>
      </w:r>
      <w:r>
        <w:t xml:space="preserve">. Here, the fate of assimilated C available for plant growth varied between naturally sown seedlings and seedlings with belowground sink inhibition. First, this is important as manipulations of plants grown in containers are often used to draw conclusions about growth and physiological principles but how these results actually reflect field-grown plants has seldom been studied. Second, our finding add more evidence that A and growth are not always entirely synced, an important distinction often missed in studies that manipulate source/sink activity. Korner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A lack of knowledge regarding C allocation restricts our ability to achieve mass balance and is a major obstacle in understanding the coordination between A and growth.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t xml:space="preserve">^13C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p>
      <w:r>
        <w:br w:type="textWrapping"/>
      </w:r>
      <w:r>
        <w:rPr>
          <w:b/>
        </w:rPr>
        <w:t xml:space="preserve">Table 2</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at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 = 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Daily maximum and minimum temperature (a), cumulative daily PPFD (b), and daily maximum vapour pressure deficit (c) across the experiment duration in 2013.</w:t>
      </w:r>
    </w:p>
    <w:p>
      <w:r>
        <w:br w:type="textWrapping"/>
      </w:r>
      <w:r>
        <w:rPr>
          <w:b/>
        </w:rPr>
        <w:t xml:space="preserve">Figure 2</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3</w:t>
      </w:r>
      <w:r>
        <w:t xml:space="preserve">. Soil volume treatment means of 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 Lines represents predictions, for each bin level, from the linear mixed effects model equation of A</w:t>
      </w:r>
      <w:r>
        <w:rPr>
          <w:vertAlign w:val="subscript"/>
        </w:rPr>
        <w:t xml:space="preserve">max</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w:t>
      </w:r>
    </w:p>
    <w:p>
      <w:r>
        <w:br w:type="textWrapping"/>
      </w:r>
      <w:r>
        <w:rPr>
          <w:b/>
        </w:rPr>
        <w:t xml:space="preserve">Table 2</w:t>
      </w:r>
      <w:r>
        <w:t xml:space="preserve">.</w:t>
      </w:r>
      <w:r>
        <w:t xml:space="preserve"> </w:t>
      </w:r>
    </w:p>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w:t>
      </w:r>
    </w:p>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Crous KY, Quentin AG, Lin Y-S, Medlyn BE, Williams DG, Barton CVM, Ellsworth DS (2013) Photosynthesis of temperate Eucalyptus globulus trees outside their native range has limited adjustment to elevated CO</w:t>
      </w:r>
      <m:oMath>
        <m:sSub>
          <m:e>
            <m:r>
              <m:rPr>
                <m:sty m:val="p"/>
              </m:rPr>
              <m:t/>
            </m:r>
          </m:e>
          <m:sub>
            <m:r>
              <m:rPr>
                <m:sty m:val="p"/>
              </m:rPr>
              <m:t>2</m:t>
            </m:r>
          </m:sub>
        </m:sSub>
      </m:oMath>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Hermans C, Hammond JP, White PJ, Verbruggen N (2006) How do plants respond to nutrient shortage by biomass allocation? Trends in plant science 11:610–617.</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5">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w:t>
      </w:r>
      <w:r>
        <w:t xml:space="preserve"> </w:t>
      </w:r>
      <w:r>
        <w:t xml:space="preserve">Colin Prentice</w:t>
      </w:r>
      <w:r>
        <w:t xml:space="preserve"> </w:t>
      </w:r>
      <w:r>
        <w:t xml:space="preserve">I, Barton CVM, Crous KY, Angelis P, Freeman M, Wingate L (2012) Reconciling the optimal and empirical approaches to modelling stomatal conductance. Global Change Biology 18:3476.</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6">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7">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Stitt M (1991) Rising CO</w:t>
      </w:r>
      <w:r>
        <w:rPr>
          <w:vertAlign w:val="subscript"/>
        </w:rPr>
        <w:t xml:space="preserve">2</w:t>
      </w:r>
      <w:r>
        <w:t xml:space="preserve"> </w:t>
      </w:r>
      <w:r>
        <w:t xml:space="preserve">levels and their potential significance for carbon flow in photosynthetic cells. Plant, Cell &amp; Environment 14:741–762.</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b4eea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cran.r-project.org/package=nlme" TargetMode="External" /><Relationship Type="http://schemas.openxmlformats.org/officeDocument/2006/relationships/hyperlink" Id="rId55" Target="http://dx.doi.org/10.1007/978-0-387-78341-3\_5" TargetMode="External" /><Relationship Type="http://schemas.openxmlformats.org/officeDocument/2006/relationships/hyperlink" Id="rId57" Target="http://www.r-project.org"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cran.r-project.org/package=nlme" TargetMode="External" /><Relationship Type="http://schemas.openxmlformats.org/officeDocument/2006/relationships/hyperlink" Id="rId55" Target="http://dx.doi.org/10.1007/978-0-387-78341-3\_5" TargetMode="External" /><Relationship Type="http://schemas.openxmlformats.org/officeDocument/2006/relationships/hyperlink" Id="rId57" Target="http://www.r-project.org"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below-ground sink limitation on growth and carbon balance of Eucalyptus seedlings</dc:title>
  <dc:creator/>
</cp:coreProperties>
</file>