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1.png" ContentType="image/png"/>
  <Override PartName="/word/media/rId48.png" ContentType="image/png"/>
  <Override PartName="/word/media/rId49.png" ContentType="image/png"/>
  <Override PartName="/word/media/rId47.png" ContentType="image/png"/>
  <Override PartName="/word/media/rId50.png" ContentType="image/png"/>
  <Override PartName="/word/media/rId52.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t xml:space="preserve">Eucalyptus</w:t>
      </w:r>
      <w:r>
        <w:t xml:space="preserve"> </w:t>
      </w:r>
      <w:r>
        <w:t xml:space="preserve">seedlings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Interpreting limitations to plant growth requires understanding of the balance between carbon (C) source and sink activity. This study used manipulations of soil volume to test how growth is coupled to physiology, C 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sown (free) seedlings. We developed a seedling growth model that utilized leaf photosynthesis rates (A) to allocate daily C 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contatiner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 A explained the observed differences in seedling biomass. We found that although belowground sink limitation resulted in down regulation of A, these reductions were not large enough to explain observed growth responses. Thus, as A and growth were not tightly coordinated, excess photosynthetic C not attributed to biomass resulted in seedlings with soil volume restriction. These results highlight the need to further utilize mass balance approaches when evaluating plant C allocation and confirms that important feedbacks exist between belowgroud sink strength and leaf C uptake.</w:t>
      </w:r>
    </w:p>
    <w:p>
      <w:pPr>
        <w:pStyle w:val="Heading2"/>
      </w:pPr>
      <w:bookmarkStart w:id="23" w:name="keywords"/>
      <w:bookmarkEnd w:id="23"/>
      <w:r>
        <w:t xml:space="preserve">Keywords</w:t>
      </w:r>
    </w:p>
    <w:p>
      <w:r>
        <w:t xml:space="preserve">photosynthesis, growth, sink regulation, carbon allocation, soil volume</w:t>
      </w:r>
    </w:p>
    <w:p>
      <w:pPr>
        <w:pStyle w:val="Heading1"/>
      </w:pPr>
      <w:bookmarkStart w:id="24" w:name="introduction"/>
      <w:bookmarkEnd w:id="24"/>
      <w:r>
        <w:t xml:space="preserve">Introduction</w:t>
      </w:r>
    </w:p>
    <w:p>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photosynthesis (A) and respiratory losses together determine net C balance and will be coordinated to plant growth. At shorter temporal scales, however, growth can instead be mediated by tissue C storage pools. This has led to the current debate on how strongly plant growth is controlled by either source or sink activity. Consequently, plant growth cannot always be simply determined by the photosynthesis rate, making it complex to understand and challenging to model</w:t>
      </w:r>
      <w:r>
        <w:t xml:space="preserve"> </w:t>
      </w:r>
      <w:r>
        <w:t xml:space="preserve">(Fourcaud et al. 2008)</w:t>
      </w:r>
      <w:r>
        <w:t xml:space="preserve">. Despite a wealth of studies, large uncertainties still remain regarding the coordination of C supply and growth of woody species.</w:t>
      </w:r>
    </w:p>
    <w:p>
      <w:r>
        <w:br w:type="textWrapping"/>
      </w:r>
      <w:r>
        <w:t xml:space="preserve">In woody species, the coordination of A and growth has been studied with manipulations of C 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 A</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 A 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 A in defoliation experiments did not always produce increased growth due to reductions in meristem sink strength</w:t>
      </w:r>
      <w:r>
        <w:t xml:space="preserve"> </w:t>
      </w:r>
      <w:r>
        <w:t xml:space="preserve">(Palacio et al. 2012)</w:t>
      </w:r>
      <w:r>
        <w:t xml:space="preserve">, C limitation to mycorrhizal colonization</w:t>
      </w:r>
      <w:r>
        <w:t xml:space="preserve"> </w:t>
      </w:r>
      <w:r>
        <w:t xml:space="preserve">(Markkola et al. 2004)</w:t>
      </w:r>
      <w:r>
        <w:t xml:space="preserve">, or an overall decrease in whole plant C gain</w:t>
      </w:r>
      <w:r>
        <w:t xml:space="preserve"> </w:t>
      </w:r>
      <w:r>
        <w:t xml:space="preserve">(Ovaska, Walls, et al. 1993)</w:t>
      </w:r>
      <w:r>
        <w:t xml:space="preserve">. These manipulations of C source activity expose unresolved issues with how changes in A do not always infer similar responses in growth.</w:t>
      </w:r>
    </w:p>
    <w:p>
      <w:r>
        <w:br w:type="textWrapping"/>
      </w:r>
      <w:r>
        <w:t xml:space="preserve">Alternatively, manipulating plant tissue C sinks is often used to investigate the correlation of A and growth. This is because metabolic signaling networks, relaying information on C and N status of different tissues, can regulate photosynthetic activity</w:t>
      </w:r>
      <w:r>
        <w:t xml:space="preserve"> </w:t>
      </w:r>
      <w:r>
        <w:t xml:space="preserve">(Paul and Foyer 2001)</w:t>
      </w:r>
      <w:r>
        <w:t xml:space="preserve">. If sink inhibition of A occurs, a close coordination between declines in A and growth should be expected. Whether photosynthetic down regulation is evident in woody species has been tested through fruit removal, phloem girdling and low temperatures at high elevations. In these studies, down regulation of A 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 A 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occurence large fruiting sinks, they tell us little about source-sink coordination in typical growing conditions for woody species.</w:t>
      </w:r>
    </w:p>
    <w:p>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and Duval 1998, Poorter et al. 2012a)</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 A, water relations, nutrient uptake and respiration</w:t>
      </w:r>
      <w:r>
        <w:t xml:space="preserve"> </w:t>
      </w:r>
      <w:r>
        <w:t xml:space="preserve">(NeSmith and Duval 1998, Poorter et al. 2012a and references therein)</w:t>
      </w:r>
      <w:r>
        <w:t xml:space="preserve">. Inadequate rooting volume may decrease C 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(2012a)</w:t>
      </w:r>
      <w:r>
        <w:t xml:space="preserve"> </w:t>
      </w:r>
      <w:r>
        <w:t xml:space="preserve">concluded that A 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and Pharr 1988)</w:t>
      </w:r>
      <w:r>
        <w:t xml:space="preserve">. However, evidence in support for a trade-off between C 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 A are coordinated.</w:t>
      </w:r>
    </w:p>
    <w:p>
      <w:r>
        <w:br w:type="textWrapping"/>
      </w:r>
      <w:r>
        <w:t xml:space="preserve">This study utilizes a novel field design to investigate the coordination between growth and A 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 C mass balance approach, which was then compared to observed harvested seedling mass. The model used whole-plant C gain, scaled from instantaneous rates of leaf A, to quantify seedling dry mass production over the 120 day experiment.</w:t>
      </w:r>
    </w:p>
    <w:p>
      <w:r>
        <w:br w:type="textWrapping"/>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r>
        <w:t xml:space="preserve">2). As the finite pool of rooting volume and soil nutrients will decline faster in trees growing in small containers, we expected reductions in partitioning to fine root mass relative to tree size with decreasing container size.</w:t>
      </w:r>
    </w:p>
    <w:p>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r>
        <w:t xml:space="preserve">4). Last, observed seedling mass was expected to correspond to growth model mass predicted from a simple C 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r>
        <w:br w:type="textWrapping"/>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roots.Previous pot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7" w:name="growth-and-morphology-metrics"/>
      <w:bookmarkEnd w:id="27"/>
      <w:r>
        <w:t xml:space="preserve">Growth and morphology metrics</w:t>
      </w:r>
    </w:p>
    <w:p>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abd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r>
        <w:t xml:space="preserve">Leaf gas exchange measurements were performed fortnightly at saturating light (A</w:t>
      </w:r>
      <w:r>
        <w:rPr>
          <w:vertAlign w:val="subscript"/>
        </w:rPr>
        <w:t xml:space="preserve">sat</w:t>
      </w:r>
      <w:r>
        <w:t xml:space="preserve">) and saturating light and [CO</w:t>
      </w:r>
      <w:r>
        <w:rPr>
          <w:vertAlign w:val="subscript"/>
        </w:rPr>
        <w:t xml:space="preserve">2</w:t>
      </w:r>
      <w:r>
        <w:t xml:space="preserve">] (A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 A</w:t>
      </w:r>
      <w:r>
        <w:rPr>
          <w:vertAlign w:val="subscript"/>
        </w:rPr>
        <w:t xml:space="preserve">sat</w:t>
      </w:r>
      <w:r>
        <w:t xml:space="preserve"> </w:t>
      </w:r>
      <w:r>
        <w:t xml:space="preserve">measurements were made at PPFD of 1800</w:t>
      </w:r>
      <w:r>
        <w:t xml:space="preserve"> </w:t>
      </w:r>
      <m:oMath>
        <m:r>
          <m:rPr>
            <m:sty m:val="p"/>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sty m:val="p"/>
          </m:rPr>
          <m:t>μ</m:t>
        </m:r>
      </m:oMath>
      <w:r>
        <w:t xml:space="preserve">l l</w:t>
      </w:r>
      <w:r>
        <w:rPr>
          <w:vertAlign w:val="superscript"/>
        </w:rPr>
        <w:t xml:space="preserve">-1</w:t>
      </w:r>
      <w:r>
        <w:t xml:space="preserve"> </w:t>
      </w:r>
      <w:r>
        <w:t xml:space="preserve">and PPFD of 1800</w:t>
      </w:r>
      <w:r>
        <w:t xml:space="preserve"> </w:t>
      </w:r>
      <m:oMath>
        <m:r>
          <m:rPr>
            <m:sty m:val="p"/>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stabalized in the leaf chamber, net CO</w:t>
      </w:r>
      <w:r>
        <w:rPr>
          <w:vertAlign w:val="subscript"/>
        </w:rPr>
        <w:t xml:space="preserve">2</w:t>
      </w:r>
      <w:r>
        <w:t xml:space="preserve"> </w:t>
      </w:r>
      <w:r>
        <w:t xml:space="preserve">assimilation rate and stomatal conductance (g</w:t>
      </w:r>
      <w:r>
        <w:rPr>
          <w:vertAlign w:val="subscript"/>
        </w:rPr>
        <w:t xml:space="preserve">s</w:t>
      </w:r>
      <w:r>
        <w:t xml:space="preserve">) were logged 5 times and averaged for both A</w:t>
      </w:r>
      <w:r>
        <w:rPr>
          <w:vertAlign w:val="subscript"/>
        </w:rPr>
        <w:t xml:space="preserve">sat</w:t>
      </w:r>
      <w:r>
        <w:t xml:space="preserve"> </w:t>
      </w:r>
      <w:r>
        <w:t xml:space="preserve">and A</w:t>
      </w:r>
      <w:r>
        <w:rPr>
          <w:vertAlign w:val="subscript"/>
        </w:rPr>
        <w:t xml:space="preserve">max</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w:t>
      </w:r>
      <w:r>
        <w:rPr>
          <w:vertAlign w:val="superscript"/>
        </w:rPr>
        <w:t xml:space="preserve">-1</w:t>
      </w:r>
      <w:r>
        <w:t xml:space="preserve"> </w:t>
      </w:r>
      <w:r>
        <w:t xml:space="preserve">at 25 °C at saturating light (above).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2014)</w:t>
      </w:r>
      <w:r>
        <w:t xml:space="preserve"> </w:t>
      </w:r>
      <w:r>
        <w:t xml:space="preserve">in R</w:t>
      </w:r>
      <w:r>
        <w:t xml:space="preserve"> </w:t>
      </w:r>
      <w:r>
        <w:t xml:space="preserve">(</w:t>
      </w:r>
      <w:r>
        <w:t xml:space="preserve">R Development Core Team</w:t>
      </w:r>
      <w:r>
        <w:t xml:space="preserve"> </w:t>
      </w:r>
      <w:r>
        <w:t xml:space="preserve">2011)</w:t>
      </w:r>
      <w:r>
        <w:t xml:space="preserve">.</w:t>
      </w:r>
    </w:p>
    <w:p>
      <w:r>
        <w:br w:type="textWrapping"/>
      </w:r>
      <w:r>
        <w:t xml:space="preserve">Leaf dark respiration rates (R)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while leaf temperature was maintained at current ambient conditions. Reported values of R are standardized rates at 25 °C using a Q10 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r>
        <w:t xml:space="preserve">Predawn (</w:t>
      </w:r>
      <m:oMath>
        <m:r>
          <m:rPr>
            <m:sty m:val="p"/>
          </m:rPr>
          <m:t>Ψ</m:t>
        </m:r>
      </m:oMath>
      <w:r>
        <w:rPr>
          <w:vertAlign w:val="subscript"/>
        </w:rPr>
        <w:t xml:space="preserve">pd</w:t>
      </w:r>
      <w:r>
        <w:t xml:space="preserve">) and midday (</w:t>
      </w:r>
      <m:oMath>
        <m:r>
          <m:rPr>
            <m:sty m:val="p"/>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 R</w:t>
      </w:r>
      <w:r>
        <w:rPr>
          <w:vertAlign w:val="subscript"/>
        </w:rPr>
        <w:t xml:space="preserve">d</w:t>
      </w:r>
      <w:r>
        <w:t xml:space="preserve">. Leaves were detached and immediately stored inside foil covered bags before water potential measurements were performed.</w:t>
      </w:r>
      <w:r>
        <w:t xml:space="preserve"> </w:t>
      </w:r>
      <m:oMath>
        <m:r>
          <m:rPr>
            <m:sty m:val="p"/>
          </m:rPr>
          <m:t>Ψ</m:t>
        </m:r>
      </m:oMath>
      <w:r>
        <w:rPr>
          <w:vertAlign w:val="subscript"/>
        </w:rPr>
        <w:t xml:space="preserve">pd</w:t>
      </w:r>
      <w:r>
        <w:t xml:space="preserve"> </w:t>
      </w:r>
      <w:r>
        <w:t xml:space="preserve">was measured before sunrise and</w:t>
      </w:r>
      <w:r>
        <w:t xml:space="preserve"> </w:t>
      </w:r>
      <m:oMath>
        <m:r>
          <m:rPr>
            <m:sty m:val="p"/>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r>
        <w:t xml:space="preserve">Leaves used in each gas exchange measurements and subsamples of harvested roots were dried to a constant mass and milled for analysis of N content,</w:t>
      </w:r>
      <w:r>
        <w:t xml:space="preserve"> </w:t>
      </w:r>
      <m:oMath>
        <m:r>
          <m:rPr>
            <m:sty m:val="p"/>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sty m:val="p"/>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VPDP scale.</w:t>
      </w:r>
    </w:p>
    <w:p>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sty m:val="p"/>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 nitrogen content. Similarily, TNC-free leaf N (N</w:t>
      </w:r>
      <w:r>
        <w:rPr>
          <w:vertAlign w:val="subscript"/>
        </w:rPr>
        <w:t xml:space="preserve">f</w:t>
      </w:r>
      <w:r>
        <w:t xml:space="preserve">, %) was calculated on all gas exchange leaves from leaf mass without TNC and leaf N content.</w:t>
      </w:r>
    </w:p>
    <w:p>
      <w:pPr>
        <w:pStyle w:val="Heading2"/>
      </w:pPr>
      <w:bookmarkStart w:id="31" w:name="seedling-growth-model"/>
      <w:bookmarkEnd w:id="31"/>
      <w:r>
        <w:t xml:space="preserve">Seedling growth model</w:t>
      </w:r>
    </w:p>
    <w:p>
      <w:r>
        <w:t xml:space="preserve">We developed a simple seedling growth model that utilized leaf A 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(P</w:t>
      </w:r>
      <w:r>
        <w:rPr>
          <w:vertAlign w:val="subscript"/>
        </w:rPr>
        <w:t xml:space="preserve">i</w:t>
      </w:r>
      <w:r>
        <w:t xml:space="preserve">) is then given by</w:t>
      </w:r>
    </w:p>
    <w:p>
      <w:r>
        <w:br w:type="textWrapping"/>
      </w:r>
      <w:r>
        <w:t xml:space="preserve">(1)</w:t>
      </w:r>
    </w:p>
    <w:p>
      <m:oMathPara>
        <m:oMathParaPr>
          <m:jc m:val="center"/>
        </m:oMathParaPr>
        <m:oMath>
          <m:sSub>
            <m:e>
              <m:r>
                <m:rPr>
                  <m:sty m:val="p"/>
                </m:rPr>
                <m:t>P</m:t>
              </m:r>
            </m:e>
            <m:sub>
              <m:r>
                <m:rPr>
                  <m:sty m:val="p"/>
                </m:rPr>
                <m:t>i</m:t>
              </m:r>
            </m:sub>
          </m:sSub>
          <m:r>
            <m:rPr>
              <m:sty m:val="p"/>
            </m:rPr>
            <m:t>=</m:t>
          </m:r>
          <m:r>
            <m:rPr>
              <m:sty m:val="p"/>
            </m:rPr>
            <m:t>L</m:t>
          </m:r>
          <m:d>
            <m:dPr>
              <m:begChr m:val="("/>
              <m:endChr m:val=")"/>
              <m:grow/>
            </m:dPr>
            <m:e>
              <m:f>
                <m:fPr>
                  <m:type m:val="bar"/>
                </m:fPr>
                <m:num>
                  <m:sSub>
                    <m:e>
                      <m:r>
                        <m:rPr>
                          <m:sty m:val="p"/>
                        </m:rPr>
                        <m:t>C</m:t>
                      </m:r>
                    </m:e>
                    <m:sub>
                      <m:r>
                        <m:rPr>
                          <m:sty m:val="p"/>
                        </m:rPr>
                        <m:t>d</m:t>
                      </m:r>
                      <m:r>
                        <m:rPr>
                          <m:sty m:val="p"/>
                        </m:rPr>
                        <m:t>a</m:t>
                      </m:r>
                      <m:r>
                        <m:rPr>
                          <m:sty m:val="p"/>
                        </m:rPr>
                        <m:t>y</m:t>
                      </m:r>
                      <m:r>
                        <m:rPr>
                          <m:sty m:val="p"/>
                        </m:rPr>
                        <m:t>′</m:t>
                      </m:r>
                      <m:r>
                        <m:rPr>
                          <m:sty m:val="p"/>
                        </m:rPr>
                        <m:t>i</m:t>
                      </m:r>
                    </m:sub>
                  </m:sSub>
                  <m:r>
                    <m:rPr>
                      <m:sty m:val="p"/>
                    </m:rPr>
                    <m:t> </m:t>
                  </m:r>
                  <m:sSub>
                    <m:e>
                      <m:r>
                        <m:rPr>
                          <m:sty m:val="p"/>
                        </m:rPr>
                        <m:t>σ</m:t>
                      </m:r>
                    </m:e>
                    <m:sub>
                      <m:r>
                        <m:rPr>
                          <m:sty m:val="p"/>
                        </m:rPr>
                        <m:t>s</m:t>
                      </m:r>
                    </m:sub>
                  </m:sSub>
                </m:num>
                <m:den>
                  <m:sSub>
                    <m:e>
                      <m:r>
                        <m:rPr>
                          <m:sty m:val="p"/>
                        </m:rPr>
                        <m:t>ϵ</m:t>
                      </m:r>
                    </m:e>
                    <m:sub>
                      <m:r>
                        <m:rPr>
                          <m:sty m:val="p"/>
                        </m:rPr>
                        <m:t>c</m:t>
                      </m:r>
                    </m:sub>
                  </m:sSub>
                </m:den>
              </m:f>
            </m:e>
          </m:d>
          <m:r>
            <m:rPr>
              <m:sty m:val="p"/>
            </m:rPr>
            <m:t>−</m:t>
          </m:r>
          <m:r>
            <m:rPr>
              <m:sty m:val="p"/>
            </m:rPr>
            <m:t>R</m:t>
          </m:r>
        </m:oMath>
      </m:oMathPara>
    </w:p>
    <w:p>
      <w:r>
        <w:t xml:space="preserve">where L is total plant leaf area (m</w:t>
      </w:r>
      <w:r>
        <w:rPr>
          <w:vertAlign w:val="superscript"/>
        </w:rPr>
        <w:t xml:space="preserve">2</w:t>
      </w:r>
      <w:r>
        <w:t xml:space="preserve">), 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w:t>
      </w:r>
      <w:r>
        <w:t xml:space="preserve"> </w:t>
      </w:r>
      <m:oMath>
        <m:r>
          <m:rPr>
            <m:sty m:val="p"/>
          </m:rPr>
          <m:t>σ</m:t>
        </m:r>
      </m:oMath>
      <w:r>
        <w:rPr>
          <w:vertAlign w:val="subscript"/>
        </w:rPr>
        <w:t xml:space="preserve">s</w:t>
      </w:r>
      <w:r>
        <w:t xml:space="preserve"> </w:t>
      </w:r>
      <w:r>
        <w:t xml:space="preserve">is a self shading parameter (explained below),</w:t>
      </w:r>
      <w:r>
        <w:t xml:space="preserve"> </w:t>
      </w:r>
      <m:oMath>
        <m:r>
          <m:rPr>
            <m:sty m:val="p"/>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 R is the mass based total respiration of all tissue components (g C d</w:t>
      </w:r>
      <w:r>
        <w:rPr>
          <w:vertAlign w:val="superscript"/>
        </w:rPr>
        <w:t xml:space="preserve">-1</w:t>
      </w:r>
      <w:r>
        <w:t xml:space="preserve">). Total respiration was calculated as</w:t>
      </w:r>
    </w:p>
    <w:p>
      <w:r>
        <w:br w:type="textWrapping"/>
      </w:r>
      <w:r>
        <w:t xml:space="preserve">(2)</w:t>
      </w:r>
    </w:p>
    <w:p>
      <m:oMathPara>
        <m:oMathParaPr>
          <m:jc m:val="center"/>
        </m:oMathParaPr>
        <m:oMath>
          <m:r>
            <m:rPr>
              <m:sty m:val="p"/>
            </m:rPr>
            <m:t>R</m:t>
          </m:r>
          <m:r>
            <m:rPr>
              <m:sty m:val="p"/>
            </m:rPr>
            <m:t>=</m:t>
          </m:r>
          <m:r>
            <m:rPr>
              <m:sty m:val="p"/>
            </m:rPr>
            <m:t>Σ</m:t>
          </m:r>
          <m:r>
            <m:rPr>
              <m:sty m:val="p"/>
            </m:rPr>
            <m:t>(</m:t>
          </m:r>
          <m:sSub>
            <m:e>
              <m:r>
                <m:rPr>
                  <m:sty m:val="p"/>
                </m:rPr>
                <m:t>R</m:t>
              </m:r>
            </m:e>
            <m:sub>
              <m:r>
                <m:rPr>
                  <m:sty m:val="p"/>
                </m:rPr>
                <m:t>c</m:t>
              </m:r>
            </m:sub>
          </m:sSub>
          <m:r>
            <m:rPr>
              <m:sty m:val="p"/>
            </m:rPr>
            <m:t> </m:t>
          </m:r>
          <m:sSub>
            <m:e>
              <m:r>
                <m:rPr>
                  <m:sty m:val="p"/>
                </m:rPr>
                <m:t>M</m:t>
              </m:r>
            </m:e>
            <m:sub>
              <m:r>
                <m:rPr>
                  <m:sty m:val="p"/>
                </m:rPr>
                <m:t>c</m:t>
              </m:r>
            </m:sub>
          </m:sSub>
          <m:r>
            <m:rPr>
              <m:sty m:val="p"/>
            </m:rPr>
            <m:t>)</m:t>
          </m:r>
        </m:oMath>
      </m:oMathPara>
    </w:p>
    <w:p>
      <w:r>
        <w:t xml:space="preserve">where R</w:t>
      </w:r>
      <w:r>
        <w:rPr>
          <w:vertAlign w:val="subscript"/>
        </w:rPr>
        <w:t xml:space="preserve">c</w:t>
      </w:r>
      <w:r>
        <w:t xml:space="preserve"> </w:t>
      </w:r>
      <w:r>
        <w:t xml:space="preserve">is publsihed or local tissue respiration rates of fine roots, coarse roots or stems (Table S1, g C g mass</w:t>
      </w:r>
      <w:r>
        <w:rPr>
          <w:vertAlign w:val="superscript"/>
        </w:rPr>
        <w:t xml:space="preserve">-1</w:t>
      </w:r>
      <w:r>
        <w:t xml:space="preserve"> </w:t>
      </w:r>
      <w:r>
        <w:t xml:space="preserve">d</w:t>
      </w:r>
      <w:r>
        <w:rPr>
          <w:vertAlign w:val="superscript"/>
        </w:rPr>
        <w:t xml:space="preserve">-1</w:t>
      </w:r>
      <w:r>
        <w:t xml:space="preserve">) and M</w:t>
      </w:r>
      <w:r>
        <w:rPr>
          <w:vertAlign w:val="subscript"/>
        </w:rPr>
        <w:t xml:space="preserve">c</w:t>
      </w:r>
      <w:r>
        <w:t xml:space="preserve"> </w:t>
      </w:r>
      <w:r>
        <w:t xml:space="preserve">is the standing biomass of each component (g). R</w:t>
      </w:r>
      <w:r>
        <w:rPr>
          <w:vertAlign w:val="subscript"/>
        </w:rPr>
        <w:t xml:space="preserve">leaf</w:t>
      </w:r>
      <w:r>
        <w:t xml:space="preserve"> </w:t>
      </w:r>
      <w:r>
        <w:t xml:space="preserve">is represented in the calculation of C</w:t>
      </w:r>
      <w:r>
        <w:rPr>
          <w:vertAlign w:val="subscript"/>
        </w:rPr>
        <w:t xml:space="preserve">day</w:t>
      </w:r>
      <w:r>
        <w:t xml:space="preserve"> </w:t>
      </w:r>
      <w:r>
        <w:t xml:space="preserve">(described below). The change in individual component biomass (M</w:t>
      </w:r>
      <w:r>
        <w:rPr>
          <w:vertAlign w:val="subscript"/>
        </w:rPr>
        <w:t xml:space="preserve">c</w:t>
      </w:r>
      <w:r>
        <w:t xml:space="preserve">), here solved on a daily time step, is given by</w:t>
      </w:r>
    </w:p>
    <w:p>
      <w:r>
        <w:br w:type="textWrapping"/>
      </w:r>
      <w:r>
        <w:t xml:space="preserve">(3)</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 </m:t>
          </m:r>
          <m:sSub>
            <m:e>
              <m:r>
                <m:rPr>
                  <m:sty m:val="p"/>
                </m:rPr>
                <m:t>P</m:t>
              </m:r>
            </m:e>
            <m:sub>
              <m:r>
                <m:rPr>
                  <m:sty m:val="p"/>
                </m:rPr>
                <m:t>i</m:t>
              </m:r>
            </m:sub>
          </m:sSub>
          <m:r>
            <m:rPr>
              <m:sty m:val="p"/>
            </m:rPr>
            <m:t> </m:t>
          </m:r>
          <m:r>
            <m:rPr>
              <m:sty m:val="p"/>
            </m:rPr>
            <m:t>−</m:t>
          </m:r>
          <m:r>
            <m:rPr>
              <m:sty m:val="p"/>
            </m:rPr>
            <m:t> </m:t>
          </m:r>
          <m:r>
            <m:rPr>
              <m:sty m:val="p"/>
            </m:rPr>
            <m:t>(</m:t>
          </m:r>
          <m:nary>
            <m:naryPr>
              <m:chr m:val="Λ"/>
              <m:limLoc m:val="subSup"/>
              <m:supHide m:val="off"/>
              <m:supHide m:val="off"/>
            </m:naryPr>
            <m:e>
              <m:r>
                <m:rPr>
                  <m:sty m:val="p"/>
                </m:rPr>
                <m:t> </m:t>
              </m:r>
            </m:e>
            <m:sub>
              <m:r>
                <m:rPr>
                  <m:sty m:val="p"/>
                </m:rPr>
                <m:t>c</m:t>
              </m:r>
            </m:sub>
            <m:sup/>
          </m:nary>
          <m:sSub>
            <m:e>
              <m:r>
                <m:rPr>
                  <m:sty m:val="p"/>
                </m:rPr>
                <m:t>M</m:t>
              </m:r>
            </m:e>
            <m:sub>
              <m:r>
                <m:rPr>
                  <m:sty m:val="p"/>
                </m:rPr>
                <m:t>c</m:t>
              </m:r>
            </m:sub>
          </m:sSub>
          <m:r>
            <m:rPr>
              <m:sty m:val="p"/>
            </m:rPr>
            <m:t>)</m:t>
          </m:r>
        </m:oMath>
      </m:oMathPara>
    </w:p>
    <w:p>
      <w:r>
        <w:t xml:space="preserve">where A</w:t>
      </w:r>
      <w:r>
        <w:rPr>
          <w:vertAlign w:val="subscript"/>
        </w:rPr>
        <w:t xml:space="preserve">c</w:t>
      </w:r>
      <w:r>
        <w:t xml:space="preserve"> </w:t>
      </w:r>
      <w:r>
        <w:t xml:space="preserve">is the component specific biomass partitioning to whole plant biomass (%) and</w:t>
      </w:r>
      <w:r>
        <w:t xml:space="preserve"> </w:t>
      </w:r>
      <m:oMath>
        <m:r>
          <m:rPr>
            <m:sty m:val="p"/>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sty m:val="p"/>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r>
        <w:br w:type="textWrapping"/>
      </w:r>
      <w: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 in R with the mean photosynthetic parameters (J</w:t>
      </w:r>
      <w:r>
        <w:rPr>
          <w:vertAlign w:val="subscript"/>
        </w:rPr>
        <w:t xml:space="preserve">max</w:t>
      </w:r>
      <w:r>
        <w:t xml:space="preserve">, V</w:t>
      </w:r>
      <w:r>
        <w:rPr>
          <w:vertAlign w:val="subscript"/>
        </w:rPr>
        <w:t xml:space="preserve">cmax</w:t>
      </w:r>
      <w:r>
        <w:t xml:space="preserve">, R</w:t>
      </w:r>
      <w:r>
        <w:rPr>
          <w:vertAlign w:val="subscript"/>
        </w:rPr>
        <w:t xml:space="preserve">d</w:t>
      </w:r>
      <w:r>
        <w:t xml:space="preserve"> </w:t>
      </w:r>
      <w:r>
        <w:t xml:space="preserve">and g</w:t>
      </w:r>
      <w:r>
        <w:rPr>
          <w:vertAlign w:val="subscript"/>
        </w:rPr>
        <w:t xml:space="preserve">1</w:t>
      </w:r>
      <w:r>
        <w:t xml:space="preserve">) for each treatment and meteorological data from an onsite weather station. J</w:t>
      </w:r>
      <w:r>
        <w:rPr>
          <w:vertAlign w:val="subscript"/>
        </w:rPr>
        <w:t xml:space="preserve">max</w:t>
      </w:r>
      <w:r>
        <w:t xml:space="preserve"> </w:t>
      </w:r>
      <w:r>
        <w:t xml:space="preserve">and 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 R</w:t>
      </w:r>
      <w:r>
        <w:rPr>
          <w:vertAlign w:val="subscript"/>
        </w:rPr>
        <w:t xml:space="preserve">d</w:t>
      </w:r>
      <w:r>
        <w:t xml:space="preserve"> </w:t>
      </w:r>
      <w:r>
        <w:t xml:space="preserve">was empirically measured and the 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 g</w:t>
      </w:r>
      <w:r>
        <w:rPr>
          <w:vertAlign w:val="subscript"/>
        </w:rPr>
        <w:t xml:space="preserve">s</w:t>
      </w:r>
      <w:r>
        <w:t xml:space="preserve"> </w:t>
      </w:r>
      <w:r>
        <w:t xml:space="preserve">values. Methods of the coupled leaf gas exchange model are described in Duursma et al</w:t>
      </w:r>
      <w:r>
        <w:t xml:space="preserve"> </w:t>
      </w:r>
      <w:r>
        <w:t xml:space="preserve">(2014)</w:t>
      </w:r>
      <w:r>
        <w:t xml:space="preserve">. Combined with the meteorological parameters; PPFD, air temperature, and relative humidity, at 15 min intervals, leaf A rates (</w:t>
      </w:r>
      <m:oMath>
        <m:r>
          <m:rPr>
            <m:sty m:val="p"/>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 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 C</w:t>
      </w:r>
      <w:r>
        <w:rPr>
          <w:vertAlign w:val="subscript"/>
        </w:rPr>
        <w:t xml:space="preserve">day</w:t>
      </w:r>
      <w:r>
        <w:t xml:space="preserve"> </w:t>
      </w:r>
      <w:r>
        <w:t xml:space="preserve">for each soil volume treatment, one value for each day of the experiment. Thus, each daily time step for model runs included a value of C</w:t>
      </w:r>
      <w:r>
        <w:rPr>
          <w:vertAlign w:val="subscript"/>
        </w:rPr>
        <w:t xml:space="preserve">day</w:t>
      </w:r>
      <w:r>
        <w:t xml:space="preserve"> </w:t>
      </w:r>
      <w:r>
        <w:t xml:space="preserve">that represented both treatment specific photosynthetic parameters and meteorological constraints across the duration of the experiment.</w:t>
      </w:r>
    </w:p>
    <w:p>
      <w:r>
        <w:br w:type="textWrapping"/>
      </w:r>
      <w:r>
        <w:t xml:space="preserve">It was further necessary to calculate a self-shading parameter (</w:t>
      </w:r>
      <m:oMath>
        <m:r>
          <m:rPr>
            <m:sty m:val="p"/>
          </m:rPr>
          <m:t>σ</m:t>
        </m:r>
      </m:oMath>
      <w:r>
        <w:rPr>
          <w:vertAlign w:val="subscript"/>
        </w:rPr>
        <w:t xml:space="preserve">s</w:t>
      </w:r>
      <w:r>
        <w:t xml:space="preserve">) when scaling leaf A with total plant leaf area. This was accomplished by utilizing 61 previously digitized Eucalyptus 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w:t>
      </w:r>
      <w:r>
        <w:t xml:space="preserve">Cieslak, Mik. Uses code by Robert Pearcy</w:t>
      </w:r>
      <w:r>
        <w:t xml:space="preserve"> </w:t>
      </w:r>
      <w:r>
        <w:t xml:space="preserve">and Medlyn.)</w:t>
      </w:r>
      <w:r>
        <w:t xml:space="preserve"> </w:t>
      </w:r>
      <w:r>
        <w:t xml:space="preserve">in R to build a 3D plant structure based on digitized metrics of plant allometry and crown structure. Inputting the same treatment specific physiological parameters listed above, 'YplantQMC' outputs total A, using total leaf area, for seedlings assuming self-shading as well as for a full sun large horizontal leaf. The ratio of total A with self-shading to horizontal leaf was then used to calculate</w:t>
      </w:r>
      <w:r>
        <w:t xml:space="preserve"> </w:t>
      </w:r>
      <m:oMath>
        <m:r>
          <m:rPr>
            <m:sty m:val="p"/>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sty m:val="p"/>
          </m:rPr>
          <m:t>σ</m:t>
        </m:r>
      </m:oMath>
      <w:r>
        <w:rPr>
          <w:vertAlign w:val="subscript"/>
        </w:rPr>
        <w:t xml:space="preserve">s</w:t>
      </w:r>
      <w:r>
        <w:t xml:space="preserve"> </w:t>
      </w:r>
      <w:r>
        <w:t xml:space="preserve">and total leaf area was for determined across digitized seedlings, within each treatment. For the growth model,</w:t>
      </w:r>
      <w:r>
        <w:t xml:space="preserve"> </w:t>
      </w:r>
      <m:oMath>
        <m:r>
          <m:rPr>
            <m:sty m:val="p"/>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S1.</w:t>
      </w:r>
    </w:p>
    <w:p>
      <w:r>
        <w:br w:type="textWrapping"/>
      </w:r>
      <w:r>
        <w:t xml:space="preserve">We then utilized this model to test the hypothesis that the effects of belowground sink limitation on rates of leaf A where sufficient to accurately predict overall seedling biomass production after 120 days. Each model run utilized changes in A and leaf mass fraction (LMF), with values of stem and root respiration rates, to generate total seedling mass and leaf area after 120 days. Cumulative net leaf C gain for each treatment was equal to the sum of each value of C</w:t>
      </w:r>
      <w:r>
        <w:rPr>
          <w:vertAlign w:val="subscript"/>
        </w:rPr>
        <w:t xml:space="preserve">day,i</w:t>
      </w:r>
      <w:r>
        <w:t xml:space="preserve"> </w:t>
      </w:r>
      <w:r>
        <w:t xml:space="preserve">over 120 days and final seedling C was assumed to equal half of the final mass for both modeled and observed seedlings.</w:t>
      </w:r>
    </w:p>
    <w:p>
      <w:r>
        <w:br w:type="textWrapping"/>
      </w:r>
      <w:r>
        <w:t xml:space="preserve">First, a default model was fitted with mean photosynthetic parameters from the free seedlings and then optimized to produce a LMF which correctly predicted both the leaf mass and total biomass of the harvested free seedling (M</w:t>
      </w:r>
      <w:r>
        <w:rPr>
          <w:vertAlign w:val="subscript"/>
        </w:rPr>
        <w:t xml:space="preserve">free</w:t>
      </w:r>
      <w:r>
        <w:t xml:space="preserve">). This optimized LMF was then used to constrain model runs with soil volume treatment specific C</w:t>
      </w:r>
      <w:r>
        <w:rPr>
          <w:vertAlign w:val="subscript"/>
        </w:rPr>
        <w:t xml:space="preserve">day</w:t>
      </w:r>
      <w:r>
        <w:t xml:space="preserve">, while keeping tissue respiration and turnover parameters constant, to determine if changes in leaf A alone could predict biomass of seedlings in containers (M</w:t>
      </w:r>
      <w:r>
        <w:rPr>
          <w:vertAlign w:val="subscript"/>
        </w:rPr>
        <w:t xml:space="preserve">pots</w:t>
      </w:r>
      <w:r>
        <w:t xml:space="preserve">). Next, model sensitivity to different C allocation scenarios, including observed treatment specific LMF and up regulation of non-leaf tissue respiration by 50 % of default values (M</w:t>
      </w:r>
      <w:r>
        <w:rPr>
          <w:vertAlign w:val="subscript"/>
        </w:rPr>
        <w:t xml:space="preserve">S1</w:t>
      </w:r>
      <w:r>
        <w:t xml:space="preserve"> </w:t>
      </w:r>
      <w:r>
        <w:t xml:space="preserve">and M</w:t>
      </w:r>
      <w:r>
        <w:rPr>
          <w:vertAlign w:val="subscript"/>
        </w:rPr>
        <w:t xml:space="preserve">S2</w:t>
      </w:r>
      <w:r>
        <w:t xml:space="preserve">, respectively), was used to improve model biomass predictions compared to measured harvest biomass. For all cases, seedling biomass production was compared between model output and harvested seedlings with treatment specific mean 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r>
        <w:t xml:space="preserve">Differences in experimental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 A</w:t>
      </w:r>
      <w:r>
        <w:rPr>
          <w:vertAlign w:val="subscript"/>
        </w:rPr>
        <w:t xml:space="preserve">max</w:t>
      </w:r>
      <w:r>
        <w:t xml:space="preserve"> </w:t>
      </w:r>
      <w:r>
        <w:t xml:space="preserve">and leaf chemistry was performed using the 'nlme' package</w:t>
      </w:r>
      <w:r>
        <w:t xml:space="preserve"> </w:t>
      </w:r>
      <w:r>
        <w:t xml:space="preserve">(Pinheiro et al. 2014)</w:t>
      </w:r>
      <w:r>
        <w:t xml:space="preserve"> </w:t>
      </w:r>
      <w:r>
        <w:t xml:space="preserve">in R. Explained variance (R</w:t>
      </w:r>
      <w:r>
        <w:rPr>
          <w:vertAlign w:val="superscript"/>
        </w:rPr>
        <w:t xml:space="preserve">2</w:t>
      </w:r>
      <w:r>
        <w:t xml:space="preserve">) of mixed models were computed as in</w:t>
      </w:r>
      <w:r>
        <w:t xml:space="preserve"> </w:t>
      </w:r>
      <w:r>
        <w:t xml:space="preserve">(Nakagawa and Schielzeth 2013)</w:t>
      </w:r>
      <w:r>
        <w:t xml:space="preserve">. Tests of allometric relationships between log-transformed biomass components were implemented using standardized major axis regression in the 'smatr' package in R</w:t>
      </w:r>
      <w:r>
        <w:t xml:space="preserve"> </w:t>
      </w:r>
      <w:r>
        <w:t xml:space="preserve">(Warton et al. 2012)</w:t>
      </w:r>
      <w:r>
        <w:t xml:space="preserve">. Results were considered significant at P &lt;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r>
        <w:t xml:space="preserve">Plant height, diameter and leaf area diverged between container volumes soon after start of the experiment (Figure 1). First, seedling leaf area significantly diverged between soil volumes (P &lt;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(P &lt;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(Figure 1). Seedlings maintained diameter growth throughout the experiment, although marginal with smaller soil volumes in the final month. Final seedling height significantly increased with increasing soil volume (P &lt; 0.001). Increases in both final stem diameter (P &lt; 0.001) and cumulative leaf area (both P &lt; 0.001) were found with increasing soil volume and these differences were driven mainly by the largest container and the free seedling treatments.</w:t>
      </w:r>
    </w:p>
    <w:p>
      <w:r>
        <w:br w:type="textWrapping"/>
      </w:r>
      <w:r>
        <w:t xml:space="preserve">Total seedling biomass at harvest was significantly different across container volumes (P &lt; 0.001) and between container treatments and free seedlings (P &lt; 0.001, Table 1). On average, harvested biomass of free seedlings was 84% higher than seedlings in containers. Plant biomass was postively correlated with total leaf area across all treatments (R</w:t>
      </w:r>
      <w:r>
        <w:rPr>
          <w:vertAlign w:val="superscript"/>
        </w:rPr>
        <w:t xml:space="preserve">2</w:t>
      </w:r>
      <w:r>
        <w:t xml:space="preserve"> </w:t>
      </w:r>
      <w:r>
        <w:t xml:space="preserve">= 0.97, P &lt; 0.001). Differences in biomass partitioning to leaves, stems and roots were not different across soil volumes after variation in seedling biomass across treatments was factored in the analysis (Figure 3a,b). Across all treatments, the final harvest root:shoot biomass ratio was conserved in these seedlings which exhibited a slightly higher shoot than root mass (</w:t>
      </w:r>
      <m:oMath>
        <m:bar>
          <m:barPr>
            <m:pos m:val="top"/>
          </m:barPr>
          <m:e>
            <m:r>
              <m:rPr>
                <m:sty m:val="p"/>
              </m:rPr>
              <m:t>x</m:t>
            </m:r>
          </m:e>
        </m:bar>
      </m:oMath>
      <w:r>
        <w:t xml:space="preserve"> </w:t>
      </w:r>
      <w:r>
        <w:t xml:space="preserve">= 0.904, 95% CI = [0.846,1.119]) and a near identical ratio of leaf to fine root mass (Figure 3c).</w:t>
      </w:r>
    </w:p>
    <w:p>
      <w:r>
        <w:br w:type="textWrapping"/>
      </w:r>
      <w:r>
        <w:t xml:space="preserve">Overall, SRL was higher in seedlings in containers compared to free seedlings but only in some of the container size treatments (Table 2, P = 0.009). Fine root length density was significantly higher in the two smallest container sizes and was the lowest in the largest container size (Table 2, P &lt; 0.001). Over the duration of the experiment SLA</w:t>
      </w:r>
      <w:r>
        <w:rPr>
          <w:vertAlign w:val="subscript"/>
        </w:rPr>
        <w:t xml:space="preserve">f</w:t>
      </w:r>
      <w:r>
        <w:t xml:space="preserve"> </w:t>
      </w:r>
      <w:r>
        <w:t xml:space="preserve">was higher in free seedlings, but was not different across containers sizes (Table 1, P &lt; 0.001) and this pattern was evident beginning in the first gas exchange measurement campaign (P &lt; 0.001).</w:t>
      </w:r>
    </w:p>
    <w:p>
      <w:pPr>
        <w:pStyle w:val="Heading2"/>
      </w:pPr>
      <w:bookmarkStart w:id="35" w:name="leaf-and-root-chemistry"/>
      <w:bookmarkEnd w:id="35"/>
      <w:r>
        <w:t xml:space="preserve">Leaf and root chemistry</w:t>
      </w:r>
    </w:p>
    <w:p>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 P &lt; 0.001). Throughout the remainder of the experiment the smallest container volume had a significant reduction in leaf N</w:t>
      </w:r>
      <w:r>
        <w:rPr>
          <w:vertAlign w:val="subscript"/>
        </w:rPr>
        <w:t xml:space="preserve">f</w:t>
      </w:r>
      <w:r>
        <w:t xml:space="preserve"> </w:t>
      </w:r>
      <w:r>
        <w:t xml:space="preserve">compared to other soil volumes, while free seedlings maintained the highest leaf N</w:t>
      </w:r>
      <w:r>
        <w:rPr>
          <w:vertAlign w:val="subscript"/>
        </w:rPr>
        <w:t xml:space="preserve">f</w:t>
      </w:r>
      <w:r>
        <w:t xml:space="preserve"> </w:t>
      </w:r>
      <w:r>
        <w:t xml:space="preserve">(Table 1, P &lt; 0.001). Leaf starch content in the smallest container was ca. double that of free seedlings (P = 0.039), while leaf soluble sugars did not differ across treatments throughout the experiment (Table 1). Differences in leaf starch between the free seedling and the smallest container were evident during the first gas exchange campaign (P = 0.001). Root N 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r>
        <w:t xml:space="preserve">At the first measurement campaign, both A</w:t>
      </w:r>
      <w:r>
        <w:rPr>
          <w:vertAlign w:val="subscript"/>
        </w:rPr>
        <w:t xml:space="preserve">sat</w:t>
      </w:r>
      <w:r>
        <w:t xml:space="preserve"> </w:t>
      </w:r>
      <w:r>
        <w:t xml:space="preserve">and A</w:t>
      </w:r>
      <w:r>
        <w:rPr>
          <w:vertAlign w:val="subscript"/>
        </w:rPr>
        <w:t xml:space="preserve">max</w:t>
      </w:r>
      <w:r>
        <w:t xml:space="preserve"> </w:t>
      </w:r>
      <w:r>
        <w:t xml:space="preserve">were significantly higher in the free seedling treatment compared to seedlings in containers (both P &lt; 0.001). Across all measurement campaigns mean A</w:t>
      </w:r>
      <w:r>
        <w:rPr>
          <w:vertAlign w:val="subscript"/>
        </w:rPr>
        <w:t xml:space="preserve">sat</w:t>
      </w:r>
      <w:r>
        <w:t xml:space="preserve"> </w:t>
      </w:r>
      <w:r>
        <w:t xml:space="preserve">(Figure 4) and A</w:t>
      </w:r>
      <w:r>
        <w:rPr>
          <w:vertAlign w:val="subscript"/>
        </w:rPr>
        <w:t xml:space="preserve">max</w:t>
      </w:r>
      <w:r>
        <w:t xml:space="preserve"> </w:t>
      </w:r>
      <w:r>
        <w:t xml:space="preserve">(Table 3) were consistently higher in free seedlings than in containers (26 % and 29 %, respectively). The relationships between photosynthetic capacity, leaf starch and leaf N on a mass basis was marginally significant (P = 0.058) but A</w:t>
      </w:r>
      <w:r>
        <w:rPr>
          <w:vertAlign w:val="subscript"/>
        </w:rPr>
        <w:t xml:space="preserve">max</w:t>
      </w:r>
      <w:r>
        <w:t xml:space="preserve"> </w:t>
      </w:r>
      <w:r>
        <w:t xml:space="preserve">on a mass basis was highly correlated to both leaf N content and leaf starch (both P &lt; 0.001). We used predictions from the linear mixed effect model equation to visualize these relationship of A</w:t>
      </w:r>
      <w:r>
        <w:rPr>
          <w:vertAlign w:val="subscript"/>
        </w:rPr>
        <w:t xml:space="preserve">max</w:t>
      </w:r>
      <w:r>
        <w:t xml:space="preserve"> </w:t>
      </w:r>
      <w:r>
        <w:t xml:space="preserve">to either leaf N content or leaf starch at muliple bin levels (n=5) of the covariate parameter (Figure 5). Across all measurement campaigns and treatments A</w:t>
      </w:r>
      <w:r>
        <w:rPr>
          <w:vertAlign w:val="subscript"/>
        </w:rPr>
        <w:t xml:space="preserve">max</w:t>
      </w:r>
      <w:r>
        <w:t xml:space="preserve"> </w:t>
      </w:r>
      <w:r>
        <w:t xml:space="preserve">was higher when foliar N was also higher, usually associated with low levels of leaf starch (Figure 5a). A</w:t>
      </w:r>
      <w:r>
        <w:rPr>
          <w:vertAlign w:val="subscript"/>
        </w:rPr>
        <w:t xml:space="preserve">max</w:t>
      </w:r>
      <w:r>
        <w:t xml:space="preserve"> </w:t>
      </w:r>
      <w:r>
        <w:t xml:space="preserve">was also lower when leaf starch was high as higher leaf N often did not coincide with high leaf starch (Figure 5b). Overall, A</w:t>
      </w:r>
      <w:r>
        <w:rPr>
          <w:vertAlign w:val="subscript"/>
        </w:rPr>
        <w:t xml:space="preserve">max</w:t>
      </w:r>
      <w:r>
        <w:t xml:space="preserve"> </w:t>
      </w:r>
      <w:r>
        <w:t xml:space="preserve">was postively correlated with final harvest biomass across all seedlings (P &lt; 0.001).</w:t>
      </w:r>
    </w:p>
    <w:p>
      <w:r>
        <w:br w:type="textWrapping"/>
      </w:r>
      <w:r>
        <w:t xml:space="preserve">Both J</w:t>
      </w:r>
      <w:r>
        <w:rPr>
          <w:vertAlign w:val="subscript"/>
        </w:rPr>
        <w:t xml:space="preserve">max</w:t>
      </w:r>
      <w:r>
        <w:t xml:space="preserve"> </w:t>
      </w:r>
      <w:r>
        <w:t xml:space="preserve">and 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 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r>
        <w:br w:type="textWrapping"/>
      </w:r>
      <w:r>
        <w:t xml:space="preserve">Neither</w:t>
      </w:r>
      <w:r>
        <w:t xml:space="preserve"> </w:t>
      </w:r>
      <m:oMath>
        <m:r>
          <m:rPr>
            <m:sty m:val="p"/>
          </m:rPr>
          <m:t>Ψ</m:t>
        </m:r>
      </m:oMath>
      <w:r>
        <w:rPr>
          <w:vertAlign w:val="subscript"/>
        </w:rPr>
        <w:t xml:space="preserve">pd</w:t>
      </w:r>
      <w:r>
        <w:t xml:space="preserve"> </w:t>
      </w:r>
      <w:r>
        <w:t xml:space="preserve">nor</w:t>
      </w:r>
      <w:r>
        <w:t xml:space="preserve"> </w:t>
      </w:r>
      <m:oMath>
        <m:r>
          <m:rPr>
            <m:sty m:val="p"/>
          </m:rPr>
          <m:t>Ψ</m:t>
        </m:r>
      </m:oMath>
      <w:r>
        <w:rPr>
          <w:vertAlign w:val="subscript"/>
        </w:rPr>
        <w:t xml:space="preserve">l</w:t>
      </w:r>
      <w:r>
        <w:t xml:space="preserve"> </w:t>
      </w:r>
      <w:r>
        <w:t xml:space="preserve">were different across treatments, with mean values of -0.27 and -1.2 MPa across all seedlings, respectively. Although g</w:t>
      </w:r>
      <w:r>
        <w:rPr>
          <w:vertAlign w:val="subscript"/>
        </w:rPr>
        <w:t xml:space="preserve">s</w:t>
      </w:r>
      <w:r>
        <w:t xml:space="preserve"> </w:t>
      </w:r>
      <w:r>
        <w:t xml:space="preserve">in free seedlings was generally higher than those in containers (Table 3. P &lt;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sty m:val="p"/>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sty m:val="p"/>
              </m:rPr>
              <m:t>x</m:t>
            </m:r>
          </m:e>
        </m:bar>
      </m:oMath>
      <w:r>
        <w:t xml:space="preserve"> </w:t>
      </w:r>
      <w:r>
        <w:t xml:space="preserve">= 4.5 %), with minimal decreases from pre-planting value (</w:t>
      </w:r>
      <m:oMath>
        <m:bar>
          <m:barPr>
            <m:pos m:val="top"/>
          </m:barPr>
          <m:e>
            <m:r>
              <m:rPr>
                <m:sty m:val="p"/>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r>
        <w:t xml:space="preserve">The default model 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(M</w:t>
      </w:r>
      <w:r>
        <w:rPr>
          <w:vertAlign w:val="subscript"/>
        </w:rPr>
        <w:t xml:space="preserve">pots</w:t>
      </w:r>
      <w:r>
        <w:t xml:space="preserve">) were on average 23±2.4 g C more than measured seedling biomass when compared against predicted total net leaf C gain (Figure 6a). Thus, seedling C mass was overestimated by an average of 50±8.7 % in modeled seedlings across the soil volume treatments (Figure 6b). As a result, the observed reductions in leaf A with decreasing soil volume when integrated across the 120 day experiment were not large enough to explain the reduction in observed seedling biomass across the container size treatments.</w:t>
      </w:r>
    </w:p>
    <w:p>
      <w:r>
        <w:br w:type="textWrapping"/>
      </w:r>
      <w:r>
        <w:t xml:space="preserve">Next, we performed a series of model simulations to test possible C allocation scenarios to account for the over predictions of seedling C mass. Testing the sensitivity of the model to observed treatment-specific LMF from the final harvest (M</w:t>
      </w:r>
      <w:r>
        <w:rPr>
          <w:vertAlign w:val="subscript"/>
        </w:rPr>
        <w:t xml:space="preserve">S1</w:t>
      </w:r>
      <w:r>
        <w:t xml:space="preserve">), which were each lower than the optmized LMF value (see Figure 3a), improved model predictions of seedling C mass but still overestimated seedling total C by 32±11.1 % (Figure S1a). Using harvest values of LMF, however, does not capture the observed increase in leaf turnover of seedlings in small containers (Figure 1c). Thus, the use of harvest LMF values for seedlings in containers in M</w:t>
      </w:r>
      <w:r>
        <w:rPr>
          <w:vertAlign w:val="subscript"/>
        </w:rPr>
        <w:t xml:space="preserve">S1</w:t>
      </w:r>
      <w:r>
        <w:t xml:space="preserve"> </w:t>
      </w:r>
      <w:r>
        <w:t xml:space="preserve">likely underestimates daily C allocation to leaves over the final montsh of the experiment. Increases of 50 % in non-leaf tissue respiration (M</w:t>
      </w:r>
      <w:r>
        <w:rPr>
          <w:vertAlign w:val="subscript"/>
        </w:rPr>
        <w:t xml:space="preserve">S2</w:t>
      </w:r>
      <w:r>
        <w:t xml:space="preserve">) improved biomass estimates slightly but overestimated mass C by an average of 46±9.3 % in seedlings with soil volume restriction (Figure S1b). With 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 A and growth by complementing empirical results with a C mass balance model. We found that reductions in leaf A 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 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r>
        <w:br w:type="textWrapping"/>
      </w:r>
      <w:r>
        <w:t xml:space="preserve">Decreases in 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 A. However, there are several possible mechanisms that can explain reduced A in small containers including nutrient content, water or reduced sink strength</w:t>
      </w:r>
      <w:r>
        <w:t xml:space="preserve"> </w:t>
      </w:r>
      <w:r>
        <w:t xml:space="preserve">(Poorter et al. 2012a)</w:t>
      </w:r>
      <w:r>
        <w:t xml:space="preserve">. It was therefore necessary to examine each of these factors to determine if the induced belowground sink limitation actually triggered photosynthetic down regulation.</w:t>
      </w:r>
    </w:p>
    <w:p>
      <w:r>
        <w:br w:type="textWrapping"/>
      </w:r>
      <w:r>
        <w:t xml:space="preserve">With high rates of g</w:t>
      </w:r>
      <w:r>
        <w:rPr>
          <w:vertAlign w:val="subscript"/>
        </w:rPr>
        <w:t xml:space="preserve">s</w:t>
      </w:r>
      <w:r>
        <w:t xml:space="preserve">, non-limiting leaf water potential and consistent leaf</w:t>
      </w:r>
      <w:r>
        <w:t xml:space="preserve"> </w:t>
      </w:r>
      <m:oMath>
        <m:r>
          <m:rPr>
            <m:sty m:val="p"/>
          </m:rPr>
          <m:t>δ</m:t>
        </m:r>
      </m:oMath>
      <w:r>
        <w:rPr>
          <w:vertAlign w:val="superscript"/>
        </w:rPr>
        <w:t xml:space="preserve">13</w:t>
      </w:r>
      <w:r>
        <w:t xml:space="preserve">C across soil volume treatments there was little evidence that water stress caused the reduction in A. This finding is consistent with other container size studies without drought treatments. For example, reduced 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 g</w:t>
      </w:r>
      <w:r>
        <w:rPr>
          <w:vertAlign w:val="subscript"/>
        </w:rPr>
        <w:t xml:space="preserve">s</w:t>
      </w:r>
      <w:r>
        <w:t xml:space="preserve"> </w:t>
      </w:r>
      <w:r>
        <w:t xml:space="preserve">(Thomas and Strain 1991)</w:t>
      </w:r>
      <w:r>
        <w:t xml:space="preserve">. Additionally, severe reductions in A in coffee plants were not attributed to impacts of container size on leaf water potentials or g</w:t>
      </w:r>
      <w:r>
        <w:rPr>
          <w:vertAlign w:val="subscript"/>
        </w:rPr>
        <w:t xml:space="preserve">s</w:t>
      </w:r>
      <w:r>
        <w:t xml:space="preserve"> </w:t>
      </w:r>
      <w:r>
        <w:t xml:space="preserve">(Ronchi et al. 2006)</w:t>
      </w:r>
      <w:r>
        <w:t xml:space="preserve">. It is likely that reductions in A of well-watered seedlings oberved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r>
        <w:br w:type="textWrapping"/>
      </w:r>
      <w:r>
        <w:t xml:space="preserve">Here, reductions in A were postively correlated with decreases in leaf N and leaf N was considerably reduced for seedlings in containers. As leaf N reductions were detected with TNC-free leaf mass, this suggests that physical root restriction or decreased supply likely affected seedling N uptake instead of TNC dilution in leaves in the smalles containers. Root N at the end of the experiment was on average higher in free seedlings but not consistently higher than every container volume treatment. Unrestricted mycorrhizal recruitment could have instead faciliated the increases in leaf N in free seedlings, but this effect is unknown. Combined with the fact that soil N declined evenly across all treatments, there was no clear mechanism present to identify changes in root N 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 N pool and decreases in leaf N, the affects of belowground sink limitation on A of seedlings in containers was evidents throughout the experiment.</w:t>
      </w:r>
    </w:p>
    <w:p>
      <w:r>
        <w:br w:type="textWrapping"/>
      </w:r>
      <w:r>
        <w:t xml:space="preserve">As both rooting space and resources were finite in containers, the inability of seedlings to maintain the capacity of the belowground C sink resulted in the buildup of C assimilate in leaves. The feedback inhibition of A from starch accumulation has been proposed, yet it is still not known whether there is a starch threshold that triggers the down-regulation process (Nebauer et al. 2011). Here, declines in A</w:t>
      </w:r>
      <w:r>
        <w:rPr>
          <w:vertAlign w:val="subscript"/>
        </w:rPr>
        <w:t xml:space="preserve">max</w:t>
      </w:r>
      <w:r>
        <w:t xml:space="preserve"> </w:t>
      </w:r>
      <w:r>
        <w:t xml:space="preserve">were correlated with higher starch content throughout the experiment. This agrees with a study on a deciduous conifer by Equiza et al. (2006) where photosynthetic downregulation from reduced sink strength was correlated with starch content. As starch content in leaves of plants grown in the smallest containers was nearly double that of free seedlings in our study, this suggests the response of A to sink inhibition was regulated by this accumulation, as hypothesized.</w:t>
      </w:r>
    </w:p>
    <w:p>
      <w:pPr>
        <w:pStyle w:val="Heading2"/>
      </w:pPr>
      <w:bookmarkStart w:id="40" w:name="biomass-partitioning-under-sink-limitation"/>
      <w:bookmarkEnd w:id="40"/>
      <w:r>
        <w:t xml:space="preserve">Biomass partitioning under sink limitation</w:t>
      </w:r>
    </w:p>
    <w:p>
      <w:r>
        <w:t xml:space="preserve">As biomass partitioning is likely controlled by the source and sink strength of all organs</w:t>
      </w:r>
      <w:r>
        <w:t xml:space="preserve"> </w:t>
      </w:r>
      <w:r>
        <w:t xml:space="preserve">(Poorter et al.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3a,b). This is a surprising result as shifts in allocation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r>
        <w:br w:type="textWrapping"/>
      </w:r>
      <w:r>
        <w:t xml:space="preserve">As partitioning to fine roots did not change this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show that FRLD was highest in smallest containers suggesting that root restiction likely occurred as simple function of available rooting space. Alternatively, physical restriction of root proliferation could also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r>
        <w:t xml:space="preserve">Our model used a simple approach to drive seedling growth with measured reductions in leaf A , via soil volume effects, while treating C use efficiency, respiration and C allocation as fixed processes. Contrary to expectation, the model consistently overestimated seedling growth in containers when parameterized with an optimized LMF for free seedlings. Although reductions in 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 A can not fully explain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w:t>
      </w:r>
      <w:r>
        <w:t xml:space="preserve">Le Roux</w:t>
      </w:r>
      <w:r>
        <w:t xml:space="preserve"> </w:t>
      </w:r>
      <w:r>
        <w:t xml:space="preserve">et al. 2001)</w:t>
      </w:r>
      <w:r>
        <w:t xml:space="preserve"> </w:t>
      </w:r>
      <w:r>
        <w:t xml:space="preserve">or growth rate</w:t>
      </w:r>
      <w:r>
        <w:t xml:space="preserve"> </w:t>
      </w:r>
      <w:r>
        <w:t xml:space="preserve">(Tjoelker et al. 1999)</w:t>
      </w:r>
      <w:r>
        <w:t xml:space="preserve">. It is possible that the overestimation of growth was due to an initial overestimation of A, however, the robust empirical based methods used to generate photosynthetic parameters (J</w:t>
      </w:r>
      <w:r>
        <w:rPr>
          <w:vertAlign w:val="subscript"/>
        </w:rPr>
        <w:t xml:space="preserve">max</w:t>
      </w:r>
      <w:r>
        <w:t xml:space="preserve">, V</w:t>
      </w:r>
      <w:r>
        <w:rPr>
          <w:vertAlign w:val="subscript"/>
        </w:rPr>
        <w:t xml:space="preserve">cmax</w:t>
      </w:r>
      <w:r>
        <w:t xml:space="preserve">, R</w:t>
      </w:r>
      <w:r>
        <w:rPr>
          <w:vertAlign w:val="subscript"/>
        </w:rPr>
        <w:t xml:space="preserve">d</w:t>
      </w:r>
      <w:r>
        <w:t xml:space="preserve"> </w:t>
      </w:r>
      <w:r>
        <w:t xml:space="preserve">and g</w:t>
      </w:r>
      <w:r>
        <w:rPr>
          <w:vertAlign w:val="subscript"/>
        </w:rPr>
        <w:t xml:space="preserve">1</w:t>
      </w:r>
      <w:r>
        <w:t xml:space="preserve">) make this unlikely. Instead, our results indicate a need to evaluate how oversimplified representations of proceses other than A affect models which distinguish the fate of assimilate C within a plant. Doing so will provide valuable input to future models as assimilate allocation is a key component in carbon-balance driven plant growth models, yet C partitioning remains a key weakness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r>
        <w:br w:type="textWrapping"/>
      </w:r>
      <w:r>
        <w:t xml:space="preserve">Using measured LMF from the harvest, instead of the optimized seedling control (M</w:t>
      </w:r>
      <w:r>
        <w:rPr>
          <w:vertAlign w:val="subscript"/>
        </w:rPr>
        <w:t xml:space="preserve">S1</w:t>
      </w:r>
      <w:r>
        <w:t xml:space="preserve">), improved biomass predictions and provided insight into how sink limitation can impact leaf C allocation beyond A.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 A and the fate of C allocated to growth, respiration and C storage in leaves. It will be the interactions between these two components that will determine the total C gain available for plant growth.</w:t>
      </w:r>
    </w:p>
    <w:p>
      <w:r>
        <w:br w:type="textWrapping"/>
      </w:r>
      <w:r>
        <w:t xml:space="preserve">Increasing rates of non-leaf respiration (M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 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 A and respiration, partial accounting of C dynamics can easily lead to erroneous conclusions (Valentini et al. 2000).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 A, are likely at play in driving the observed seedling biomass response to sink manipulation. However, the degree to which these mechanisms will regulate a growth will undoubtedly shift across different experimental manipulations and plant species.</w:t>
      </w:r>
    </w:p>
    <w:p>
      <w:pPr>
        <w:pStyle w:val="Heading2"/>
      </w:pPr>
      <w:bookmarkStart w:id="42" w:name="conclusions"/>
      <w:bookmarkEnd w:id="42"/>
      <w:r>
        <w:t xml:space="preserve">Conclusions</w:t>
      </w:r>
    </w:p>
    <w:p>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non-photosynthesis parameters were kept contant changes in A 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 A through the demand for C. Although this may be true, we results infer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3" w:name="list-of-tables"/>
      <w:bookmarkEnd w:id="43"/>
      <w:r>
        <w:t xml:space="preserve">List of Tables</w:t>
      </w:r>
    </w:p>
    <w:p>
      <w:r>
        <w:rPr>
          <w:b/>
        </w:rPr>
        <w:t xml:space="preserve">Table 1</w:t>
      </w:r>
      <w:r>
        <w:t xml:space="preserve">.Responses of plant and leaf characterisitics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sty m:val="p"/>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p>
      <w:r>
        <w:br w:type="textWrapping"/>
      </w:r>
      <w:r>
        <w:rPr>
          <w:b/>
        </w:rPr>
        <w:t xml:space="preserve">Table 2.</w:t>
      </w:r>
      <w:r>
        <w:t xml:space="preserve"> </w:t>
      </w:r>
      <w:r>
        <w:t xml:space="preserve">Responses of root characterisitics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Vaules for RLD are only calculated for seedlings in containers as free seedlings have potentially unlimeted soil volume to exploit. Different letters represent significant differences between treatments. The volume effect P value represents the overall difference between seedlings with soil volume restriction and the control seedlings, except for RLD which represents only diffeences between seedlings in containers.</w:t>
      </w:r>
    </w:p>
    <w:p>
      <w:r>
        <w:br w:type="textWrapping"/>
      </w:r>
      <w:r>
        <w:rPr>
          <w:b/>
        </w:rPr>
        <w:t xml:space="preserve">Table 3.</w:t>
      </w:r>
      <w:r>
        <w:t xml:space="preserve"> </w:t>
      </w:r>
      <w:r>
        <w:t xml:space="preserve">Responses of leaf level gas exchange parameters of</w:t>
      </w:r>
      <w:r>
        <w:t xml:space="preserve"> </w:t>
      </w:r>
      <w:r>
        <w:rPr>
          <w:i/>
        </w:rPr>
        <w:t xml:space="preserve">Eucalyptus tereticornis</w:t>
      </w:r>
      <w:r>
        <w:t xml:space="preserve"> </w:t>
      </w:r>
      <w:r>
        <w:t xml:space="preserve">seedlings to soil volume treatments. Each value reflects the mean(standard error) for each treatment. A</w:t>
      </w:r>
      <w:r>
        <w:rPr>
          <w:vertAlign w:val="subscript"/>
        </w:rPr>
        <w:t xml:space="preserve">max</w:t>
      </w:r>
      <w:r>
        <w:t xml:space="preserve">, R</w:t>
      </w:r>
      <w:r>
        <w:rPr>
          <w:vertAlign w:val="subscript"/>
        </w:rPr>
        <w:t xml:space="preserve">dark</w:t>
      </w:r>
      <w:r>
        <w:t xml:space="preserve"> </w:t>
      </w:r>
      <w:r>
        <w:t xml:space="preserve">and g</w:t>
      </w:r>
      <w:r>
        <w:rPr>
          <w:vertAlign w:val="subscript"/>
        </w:rPr>
        <w:t xml:space="preserve">s</w:t>
      </w:r>
      <w:r>
        <w:t xml:space="preserve"> </w:t>
      </w:r>
      <w:r>
        <w:t xml:space="preserve">are each measured at 25 °C. Values of A</w:t>
      </w:r>
      <w:r>
        <w:rPr>
          <w:vertAlign w:val="subscript"/>
        </w:rPr>
        <w:t xml:space="preserve">max</w:t>
      </w:r>
      <w:r>
        <w:t xml:space="preserve">, g</w:t>
      </w:r>
      <w:r>
        <w:rPr>
          <w:vertAlign w:val="subscript"/>
        </w:rPr>
        <w:t xml:space="preserve">s</w:t>
      </w:r>
      <w:r>
        <w:t xml:space="preserve"> </w:t>
      </w:r>
      <w:r>
        <w:t xml:space="preserve">and g</w:t>
      </w:r>
      <w:r>
        <w:rPr>
          <w:vertAlign w:val="subscript"/>
        </w:rPr>
        <w:t xml:space="preserve">1</w:t>
      </w:r>
      <w:r>
        <w:t xml:space="preserve"> </w:t>
      </w:r>
      <w:r>
        <w:t xml:space="preserve">represent overall means across measurement campaigns (n=6). R</w:t>
      </w:r>
      <w:r>
        <w:rPr>
          <w:vertAlign w:val="subscript"/>
        </w:rPr>
        <w:t xml:space="preserve">dark</w:t>
      </w:r>
      <w:r>
        <w:t xml:space="preserve">, J</w:t>
      </w:r>
      <w:r>
        <w:rPr>
          <w:vertAlign w:val="subscript"/>
        </w:rPr>
        <w:t xml:space="preserve">max</w:t>
      </w:r>
      <w:r>
        <w:t xml:space="preserve"> </w:t>
      </w:r>
      <w:r>
        <w:t xml:space="preserve">and 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 P value represents the overall difference between seedlings with soil volume restriction and the control seedlings.</w:t>
      </w:r>
    </w:p>
    <w:p>
      <w:r>
        <w:br w:type="textWrapping"/>
      </w:r>
      <w:r>
        <w:rPr>
          <w:b/>
        </w:rPr>
        <w:t xml:space="preserve">Table S1</w:t>
      </w:r>
      <w:r>
        <w:t xml:space="preserve">. Seedling growth model default parameters.</w:t>
      </w:r>
    </w:p>
    <w:p>
      <w:pPr>
        <w:pStyle w:val="Heading1"/>
      </w:pPr>
      <w:bookmarkStart w:id="44" w:name="list-of-figures"/>
      <w:bookmarkEnd w:id="44"/>
      <w:r>
        <w:t xml:space="preserve">List of Figures</w:t>
      </w:r>
    </w:p>
    <w:p>
      <w:r>
        <w:rPr>
          <w:b/>
        </w:rPr>
        <w:t xml:space="preserve">Figure 1</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p>
    <w:p>
      <w:r>
        <w:br w:type="textWrapping"/>
      </w:r>
      <w:r>
        <w:rPr>
          <w:b/>
        </w:rPr>
        <w:t xml:space="preserve">Figure 2</w:t>
      </w:r>
      <w:r>
        <w:t xml:space="preserve">. Daily maximum and minimum temperature (a), total daily PPFD (b), and daily maximum vapour pressure deficit (c) across the experiment duration in 2013.</w:t>
      </w:r>
    </w:p>
    <w:p>
      <w:r>
        <w:br w:type="textWrapping"/>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(R</w:t>
      </w:r>
      <w:r>
        <w:rPr>
          <w:vertAlign w:val="superscript"/>
        </w:rPr>
        <w:t xml:space="preserve">2</w:t>
      </w:r>
      <w:r>
        <w:t xml:space="preserve"> </w:t>
      </w:r>
      <w:r>
        <w:t xml:space="preserve">= 0.82) with equation: log(x) = 0.983(log(y)) - 0.036.</w:t>
      </w:r>
    </w:p>
    <w:p>
      <w:r>
        <w:br w:type="textWrapping"/>
      </w:r>
      <w:r>
        <w:rPr>
          <w:b/>
        </w:rPr>
        <w:t xml:space="preserve">Figure 4</w:t>
      </w:r>
      <w:r>
        <w:t xml:space="preserve">. Soil volume treatment means ± standard error, across all measurement campaigns (n = 6), of light saturated rates of photosynthesis at 25°C. Different letters represent significant differences between treatments.</w:t>
      </w:r>
    </w:p>
    <w:p>
      <w:r>
        <w:br w:type="textWrapping"/>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r>
        <w:br w:type="textWrapping"/>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r>
        <w:br w:type="textWrapping"/>
      </w:r>
      <w:r>
        <w:rPr>
          <w:b/>
        </w:rPr>
        <w:t xml:space="preserve">Figure 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45" w:name="tables"/>
      <w:bookmarkEnd w:id="45"/>
      <w:r>
        <w:t xml:space="preserve">Tables</w:t>
      </w:r>
    </w:p>
    <w:p>
      <w:r>
        <w:rPr>
          <w:b/>
        </w:rPr>
        <w:t xml:space="preserve">Table 1</w:t>
      </w:r>
      <w:r>
        <w:t xml:space="preserve">.Responses of plant and leaf characterisitics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sty m:val="p"/>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 d</w:t>
            </w:r>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r>
        <w:rPr>
          <w:b/>
        </w:rPr>
        <w:t xml:space="preserve">Table 2.</w:t>
      </w:r>
      <w:r>
        <w:t xml:space="preserve"> </w:t>
      </w:r>
      <w:r>
        <w:t xml:space="preserve">Responses of root characterisitics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Vaules for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diffeences between seedlings in containers.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Pr>
              <w:pStyle w:val="Compact"/>
            </w:pPr>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r>
        <w:br w:type="textWrapping"/>
      </w:r>
      <w:r>
        <w:rPr>
          <w:b/>
        </w:rPr>
        <w:t xml:space="preserve">Table 3.</w:t>
      </w:r>
      <w:r>
        <w:t xml:space="preserve"> </w:t>
      </w:r>
      <w:r>
        <w:t xml:space="preserve">Responses of leaf level gas exchange parameters of</w:t>
      </w:r>
      <w:r>
        <w:t xml:space="preserve"> </w:t>
      </w:r>
      <w:r>
        <w:rPr>
          <w:i/>
        </w:rPr>
        <w:t xml:space="preserve">Eucalyptus tereticornis</w:t>
      </w:r>
      <w:r>
        <w:t xml:space="preserve"> </w:t>
      </w:r>
      <w:r>
        <w:t xml:space="preserve">seedlings to soil volume treatments. Each value reflects the mean(standard error) for each treatment. A</w:t>
      </w:r>
      <w:r>
        <w:rPr>
          <w:vertAlign w:val="subscript"/>
        </w:rPr>
        <w:t xml:space="preserve">max</w:t>
      </w:r>
      <w:r>
        <w:t xml:space="preserve">, R</w:t>
      </w:r>
      <w:r>
        <w:rPr>
          <w:vertAlign w:val="subscript"/>
        </w:rPr>
        <w:t xml:space="preserve">dark</w:t>
      </w:r>
      <w:r>
        <w:t xml:space="preserve"> </w:t>
      </w:r>
      <w:r>
        <w:t xml:space="preserve">and g</w:t>
      </w:r>
      <w:r>
        <w:rPr>
          <w:vertAlign w:val="subscript"/>
        </w:rPr>
        <w:t xml:space="preserve">s</w:t>
      </w:r>
      <w:r>
        <w:t xml:space="preserve"> </w:t>
      </w:r>
      <w:r>
        <w:t xml:space="preserve">are each measured at 25 °C. Values of A</w:t>
      </w:r>
      <w:r>
        <w:rPr>
          <w:vertAlign w:val="subscript"/>
        </w:rPr>
        <w:t xml:space="preserve">max</w:t>
      </w:r>
      <w:r>
        <w:t xml:space="preserve">, g</w:t>
      </w:r>
      <w:r>
        <w:rPr>
          <w:vertAlign w:val="subscript"/>
        </w:rPr>
        <w:t xml:space="preserve">s</w:t>
      </w:r>
      <w:r>
        <w:t xml:space="preserve"> </w:t>
      </w:r>
      <w:r>
        <w:t xml:space="preserve">and g</w:t>
      </w:r>
      <w:r>
        <w:rPr>
          <w:vertAlign w:val="subscript"/>
        </w:rPr>
        <w:t xml:space="preserve">1</w:t>
      </w:r>
      <w:r>
        <w:t xml:space="preserve"> </w:t>
      </w:r>
      <w:r>
        <w:t xml:space="preserve">represent overall means across measurement campaigns (n=6). R</w:t>
      </w:r>
      <w:r>
        <w:rPr>
          <w:vertAlign w:val="subscript"/>
        </w:rPr>
        <w:t xml:space="preserve">dark</w:t>
      </w:r>
      <w:r>
        <w:t xml:space="preserve">, J</w:t>
      </w:r>
      <w:r>
        <w:rPr>
          <w:vertAlign w:val="subscript"/>
        </w:rPr>
        <w:t xml:space="preserve">max</w:t>
      </w:r>
      <w:r>
        <w:t xml:space="preserve"> </w:t>
      </w:r>
      <w:r>
        <w:t xml:space="preserve">and 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 P value represents the overall difference between seedlings with soil volume restriction and the control seedlings.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A</w:t>
            </w:r>
            <w:r>
              <w:rPr>
                <w:vertAlign w:val="subscript"/>
                <w:b/>
              </w:rPr>
              <w:t xml:space="preserve">max</w:t>
            </w:r>
            <w:r>
              <w:rPr>
                <w:b/>
              </w:rPr>
              <w:t xml:space="preserve"> </w:t>
            </w:r>
            <w:r>
              <w:rPr>
                <w:b/>
              </w:rPr>
              <w:t xml:space="preserve">(</w:t>
            </w:r>
            <m:oMath>
              <m:r>
                <m:rPr>
                  <m:sty m:val="p"/>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w:t>
            </w:r>
            <w:r>
              <w:rPr>
                <w:vertAlign w:val="subscript"/>
                <w:b/>
              </w:rPr>
              <w:t xml:space="preserve">dark</w:t>
            </w:r>
            <w:r>
              <w:rPr>
                <w:b/>
              </w:rPr>
              <w:t xml:space="preserve"> </w:t>
            </w:r>
            <w:r>
              <w:rPr>
                <w:b/>
              </w:rPr>
              <w:t xml:space="preserve">(</w:t>
            </w:r>
            <m:oMath>
              <m:r>
                <m:rPr>
                  <m:sty m:val="p"/>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6" w:name="figures"/>
      <w:bookmarkEnd w:id="46"/>
      <w:r>
        <w:t xml:space="preserve">Figures</w:t>
      </w:r>
    </w:p>
    <w:p>
      <w:r>
        <w:drawing>
          <wp:inline>
            <wp:extent cx="5440680" cy="7074141"/>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7"/>
                    <a:stretch>
                      <a:fillRect/>
                    </a:stretch>
                  </pic:blipFill>
                  <pic:spPr bwMode="auto">
                    <a:xfrm>
                      <a:off x="0" y="0"/>
                      <a:ext cx="5440680" cy="7074141"/>
                    </a:xfrm>
                    <a:prstGeom prst="rect">
                      <a:avLst/>
                    </a:prstGeom>
                    <a:noFill/>
                    <a:ln w="9525">
                      <a:noFill/>
                      <a:headEnd/>
                      <a:tailEnd/>
                    </a:ln>
                  </pic:spPr>
                </pic:pic>
              </a:graphicData>
            </a:graphic>
          </wp:inline>
        </w:drawing>
      </w:r>
    </w:p>
    <w:p>
      <w:r>
        <w:rPr>
          <w:b/>
        </w:rPr>
        <w:t xml:space="preserve">Figure 1</w:t>
      </w:r>
      <w:r>
        <w:t xml:space="preserve">.</w:t>
      </w:r>
    </w:p>
    <w:p>
      <w:r>
        <w:drawing>
          <wp:inline>
            <wp:extent cx="5440680" cy="7250052"/>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8"/>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7250052"/>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9"/>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4082867"/>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51"/>
                    <a:stretch>
                      <a:fillRect/>
                    </a:stretch>
                  </pic:blipFill>
                  <pic:spPr bwMode="auto">
                    <a:xfrm>
                      <a:off x="0" y="0"/>
                      <a:ext cx="5440680" cy="4082867"/>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7250052"/>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2"/>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6</w:t>
      </w:r>
      <w:r>
        <w:t xml:space="preserve">.</w:t>
      </w:r>
    </w:p>
    <w:p>
      <w:pPr>
        <w:pStyle w:val="Heading1"/>
      </w:pPr>
      <w:bookmarkStart w:id="53" w:name="supporting-information"/>
      <w:bookmarkEnd w:id="53"/>
      <w:r>
        <w:t xml:space="preserve">Supporting Information</w:t>
      </w:r>
    </w:p>
    <w:p>
      <w:r>
        <w:rPr>
          <w:b/>
        </w:rPr>
        <w:t xml:space="preserve">Table S1</w:t>
      </w:r>
      <w:r>
        <w:t xml:space="preserve">.Seedling growth model default parameters.</w:t>
      </w:r>
    </w:p>
    <w:tbl>
      <w:tblPr>
        <w:tblStyle w:val="TableNormal"/>
        <w:tblW w:type="pct" w:w="0.0"/>
      </w:tblPr>
      <w:tblGrid/>
      <w:t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sty m:val="p"/>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sty m:val="p"/>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r>
        <w:drawing>
          <wp:inline>
            <wp:extent cx="5440680" cy="7250052"/>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4"/>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S1</w:t>
      </w:r>
      <w:r>
        <w:t xml:space="preserve">.</w:t>
      </w:r>
    </w:p>
    <w:p>
      <w:pPr>
        <w:pStyle w:val="Heading1"/>
      </w:pPr>
      <w:bookmarkStart w:id="55" w:name="references"/>
      <w:bookmarkEnd w:id="55"/>
      <w:r>
        <w:t xml:space="preserve">References</w:t>
      </w:r>
    </w:p>
    <w:p>
      <w:pPr>
        <w:pStyle w:val="Bibliography"/>
      </w:pPr>
      <w:r>
        <w:t xml:space="preserve">Ainsworth EA, Long SP (2005) What have we learned from 15 years of free-air CO</w:t>
      </w:r>
      <w:r>
        <w:rPr>
          <w:vertAlign w:val="subscript"/>
        </w:rPr>
        <w:t xml:space="preserve">2</w:t>
      </w:r>
      <w:r>
        <w:t xml:space="preserve"> </w:t>
      </w:r>
      <w:r>
        <w:t xml:space="preserve">enrichment (FACE)? A meta-analytic review of the responses of photosynthesis, canopy properties and plant production to rising CO</w:t>
      </w:r>
      <w:r>
        <w:rPr>
          <w:vertAlign w:val="subscript"/>
        </w:rPr>
        <w:t xml:space="preserve">2</w:t>
      </w:r>
      <w:r>
        <w:t xml:space="preserve">. New Phytologist 165:351–372.</w:t>
      </w:r>
    </w:p>
    <w:p>
      <w:pPr>
        <w:pStyle w:val="Bibliography"/>
      </w:pPr>
      <w:r>
        <w:t xml:space="preserve">Ainsworth EA, Rogers A (2007) The response of photosynthesis and stomatal conductance to rising [CO</w:t>
      </w:r>
      <w:r>
        <w:rPr>
          <w:vertAlign w:val="subscript"/>
        </w:rPr>
        <w:t xml:space="preserve">2</w:t>
      </w:r>
      <w:r>
        <w:t xml:space="preserve">]: mechanisms and environmental interactions. Plant, cell &amp; environment 30:258–270.</w:t>
      </w:r>
    </w:p>
    <w:p>
      <w:pPr>
        <w:pStyle w:val="Bibliography"/>
      </w:pPr>
      <w:r>
        <w:t xml:space="preserve">Arp WJ (1991) Effects of source-sink relations on photosynthetic acclimation to elevated CO</w:t>
      </w:r>
      <w:r>
        <w:rPr>
          <w:vertAlign w:val="subscript"/>
        </w:rPr>
        <w:t xml:space="preserve">2</w:t>
      </w:r>
      <w:r>
        <w:t xml:space="preserve">.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Cieslak, Mik. Uses code by Robert Pearcy</w:t>
      </w:r>
      <w:r>
        <w:t xml:space="preserve"> </w:t>
      </w:r>
      <w:r>
        <w:t xml:space="preserve">RDQ, Medlyn. B YplantQMC: Plant architectural analysis with Yplant and QuasiMC.</w:t>
      </w:r>
      <w:r>
        <w:t xml:space="preserve"> </w:t>
      </w:r>
      <w:hyperlink r:id="rId56">
        <w:r>
          <w:rPr>
            <w:rStyle w:val="Link"/>
          </w:rPr>
          <w:t xml:space="preserve">http://www.remkoduursma.com/yplantqmc, https://www.bitbucket.org/remkoduursma/yplantqmc/</w:t>
        </w:r>
      </w:hyperlink>
    </w:p>
    <w:p>
      <w:pPr>
        <w:pStyle w:val="Bibliography"/>
      </w:pPr>
      <w:r>
        <w:t xml:space="preserve">Crous KY, Quentin AG, Lin Y-S, Medlyn BE, Williams DG, Barton CVM, Ellsworth DS (2013) Photosynthesis of temperate Eucalyptus globulus trees outside their native range has limited adjustment to elevated CO</w:t>
      </w:r>
      <w:r>
        <w:rPr>
          <w:vertAlign w:val="subscript"/>
        </w:rPr>
        <w:t xml:space="preserve">2</w:t>
      </w:r>
      <w:r>
        <w:t xml:space="preserve"> </w:t>
      </w:r>
      <w:r>
        <w:t xml:space="preserve">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 Eucalyptus species. Global change biology</w:t>
      </w:r>
    </w:p>
    <w:p>
      <w:pPr>
        <w:pStyle w:val="Bibliography"/>
      </w:pPr>
      <w:r>
        <w:t xml:space="preserve">Drake BG, Gonzàlez-Meler MA, Long SP (1997) More efficient plants: a consequence of rising atmospheric CO</w:t>
      </w:r>
      <w:r>
        <w:rPr>
          <w:vertAlign w:val="subscript"/>
        </w:rPr>
        <w:t xml:space="preserve">2</w:t>
      </w:r>
      <w:r>
        <w:t xml:space="preserve">?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 (2014) plantecophys: Modelling and analysis of leaf gas exchange data.</w:t>
      </w:r>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Eyles A, Pinkard EA, Davies NW, Corkrey R, Churchill K, O’Grady AP, Sands P, Mohammed C (2013) Whole-plant versus leaf-level regulation of photosynthetic responses after partial defoliation in Eucalyptus globulus 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w:t>
      </w:r>
      <w:r>
        <w:rPr>
          <w:vertAlign w:val="subscript"/>
        </w:rPr>
        <w:t xml:space="preserve">2</w:t>
      </w:r>
      <w:r>
        <w:t xml:space="preserve"> </w:t>
      </w:r>
      <w:r>
        <w:t xml:space="preserve">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w:t>
      </w:r>
      <w:r>
        <w:rPr>
          <w:vertAlign w:val="subscript"/>
        </w:rPr>
        <w:t xml:space="preserve">2</w:t>
      </w:r>
      <w:r>
        <w:t xml:space="preserve">: a broader perspective. Photosynthesis research 39:369–388.</w:t>
      </w:r>
    </w:p>
    <w:p>
      <w:pPr>
        <w:pStyle w:val="Bibliography"/>
      </w:pPr>
      <w:r>
        <w:t xml:space="preserve">Handa IT, Körner C, Hättenschwiler S (2005) A test of the treeline carbon limitation hypothesis by in situ CO</w:t>
      </w:r>
      <w:r>
        <w:rPr>
          <w:vertAlign w:val="subscript"/>
        </w:rPr>
        <w:t xml:space="preserve">2</w:t>
      </w:r>
      <w:r>
        <w:t xml:space="preserve"> </w:t>
      </w:r>
      <w:r>
        <w:t xml:space="preserve">enrichment and defoliation. Ecology 86:1288–1300.</w:t>
      </w:r>
    </w:p>
    <w:p>
      <w:pPr>
        <w:pStyle w:val="Bibliography"/>
      </w:pPr>
      <w:r>
        <w:t xml:space="preserve">Haouari A,</w:t>
      </w:r>
      <w:r>
        <w:t xml:space="preserve"> </w:t>
      </w:r>
      <w:r>
        <w:t xml:space="preserve">Van Labeke</w:t>
      </w:r>
      <w:r>
        <w:t xml:space="preserve"> </w:t>
      </w:r>
      <w:r>
        <w:t xml:space="preserve">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Hoch G, Popp M, Körner C (2002) Altitudinal increase of mobile carbon pools in Pinus cembra 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 Eucalyptus grandis for planting in the tropics. Forest Ecology and Management 95:53–61.</w:t>
      </w:r>
    </w:p>
    <w:p>
      <w:pPr>
        <w:pStyle w:val="Bibliography"/>
      </w:pPr>
      <w:r>
        <w:t xml:space="preserve">Kirschbaum MUF (2011) Does enhanced photosynthesis enhance growth? Lessons learned from CO</w:t>
      </w:r>
      <w:r>
        <w:rPr>
          <w:vertAlign w:val="subscript"/>
        </w:rPr>
        <w:t xml:space="preserve">2</w:t>
      </w:r>
      <w:r>
        <w:t xml:space="preserve"> </w:t>
      </w:r>
      <w:r>
        <w:t xml:space="preserve">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r>
        <w:t xml:space="preserve"> </w:t>
      </w:r>
      <w:hyperlink r:id="rId57">
        <w:r>
          <w:rPr>
            <w:rStyle w:val="Link"/>
          </w:rPr>
          <w:t xml:space="preserve">http://dx.doi.org/10.1007/978-0-387-78341-3\_5</w:t>
        </w:r>
      </w:hyperlink>
    </w:p>
    <w:p>
      <w:pPr>
        <w:pStyle w:val="Bibliography"/>
      </w:pPr>
      <w:r>
        <w:t xml:space="preserve">Layne DR, Flore JA (1995) End-product inhibition of photosynthesis in Prunus cerasus L. in response to whole-plant source-sink manipulation. Journal of the American Society for Horticultural Science 120:583–599.</w:t>
      </w:r>
    </w:p>
    <w:p>
      <w:pPr>
        <w:pStyle w:val="Bibliography"/>
      </w:pPr>
      <w:r>
        <w:t xml:space="preserve">Le Roux</w:t>
      </w:r>
      <w:r>
        <w:t xml:space="preserve"> </w:t>
      </w:r>
      <w:r>
        <w:t xml:space="preserve">X, Lacointe A, Escobar-Gutiérrez A,</w:t>
      </w:r>
      <w:r>
        <w:t xml:space="preserve"> </w:t>
      </w:r>
      <w:r>
        <w:t xml:space="preserve">Le Dizès</w:t>
      </w:r>
      <w:r>
        <w:t xml:space="preserve"> </w:t>
      </w:r>
      <w:r>
        <w:t xml:space="preserve">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botany:mcu128.</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sty m:val="p"/>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A general and simple method for obtaining R</w:t>
      </w:r>
      <w:r>
        <w:rPr>
          <w:vertAlign w:val="superscript"/>
        </w:rPr>
        <w:t xml:space="preserve">2</w:t>
      </w:r>
      <w:r>
        <w:t xml:space="preserve"> </w:t>
      </w:r>
      <w:r>
        <w:t xml:space="preserve">from generalized linear mixed-effects models. Methods in Ecology and Evolution 4:133–142.</w:t>
      </w:r>
    </w:p>
    <w:p>
      <w:pPr>
        <w:pStyle w:val="Bibliography"/>
      </w:pPr>
      <w:r>
        <w:t xml:space="preserve">Nebauer SG, Renau-Morata B, Guardiola JL, Molina R-V (2011) Photosynthesis down-regulation precedes carbohydrate accumulation under sink limitation in Citrus. Tree Physiology 431:169–177.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w:t>
      </w:r>
      <w:r>
        <w:rPr>
          <w:vertAlign w:val="subscript"/>
        </w:rPr>
        <w:t xml:space="preserve">2</w:t>
      </w:r>
      <w:r>
        <w:t xml:space="preserve"> </w:t>
      </w:r>
      <w:r>
        <w:t xml:space="preserve">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 Betula pendula 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 Betula pendula saplings I. Changes in growth ,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(2014) {nlme}: Linear and Nonlinear Mixed Effects Models.</w:t>
      </w:r>
      <w:r>
        <w:t xml:space="preserve"> </w:t>
      </w:r>
      <w:hyperlink r:id="rId58">
        <w:r>
          <w:rPr>
            <w:rStyle w:val="Link"/>
          </w:rPr>
          <w:t xml:space="preserve">http://cran.r-project.org/package=nlme</w:t>
        </w:r>
      </w:hyperlink>
    </w:p>
    <w:p>
      <w:pPr>
        <w:pStyle w:val="Bibliography"/>
      </w:pPr>
      <w:r>
        <w:t xml:space="preserve">Pinkard EA, Beadle CL, Davidson NJ, Battaglia M (1998) Photosynthetic responses of Eucalyptus nitens (Deane and Maiden) Maiden to green pruning. Trees 12:119–129.</w:t>
      </w:r>
    </w:p>
    <w:p>
      <w:pPr>
        <w:pStyle w:val="Bibliography"/>
      </w:pPr>
      <w:r>
        <w:t xml:space="preserve">Poorter H, Bühler J, Dusschoten D van, Climent J, Postma JA (2012a)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(2012b)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9">
        <w:r>
          <w:rPr>
            <w:rStyle w:val="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 Coffea arabica in response to restricted root volume. Functional Plant Biology 33:1013–1023.</w:t>
      </w:r>
    </w:p>
    <w:p>
      <w:pPr>
        <w:pStyle w:val="Bibliography"/>
      </w:pPr>
      <w:r>
        <w:t xml:space="preserve">Sage RF (1994) Acclimation of photosynthesis to increasing atmospheric CO</w:t>
      </w:r>
      <w:r>
        <w:rPr>
          <w:vertAlign w:val="subscript"/>
        </w:rPr>
        <w:t xml:space="preserve">2</w:t>
      </w:r>
      <w:r>
        <w:t xml:space="preserve">: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 Eucalyptus globulus 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860323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hyperlink" Id="rId58" Target="http://cran.r-project.org/package=nlme" TargetMode="External" /><Relationship Type="http://schemas.openxmlformats.org/officeDocument/2006/relationships/hyperlink" Id="rId57" Target="http://dx.doi.org/10.1007/978-0-387-78341-3\_5" TargetMode="External" /><Relationship Type="http://schemas.openxmlformats.org/officeDocument/2006/relationships/hyperlink" Id="rId59" Target="http://www.r-project.org" TargetMode="External" /><Relationship Type="http://schemas.openxmlformats.org/officeDocument/2006/relationships/hyperlink" Id="rId56"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8" Target="http://cran.r-project.org/package=nlme" TargetMode="External" /><Relationship Type="http://schemas.openxmlformats.org/officeDocument/2006/relationships/hyperlink" Id="rId57" Target="http://dx.doi.org/10.1007/978-0-387-78341-3\_5" TargetMode="External" /><Relationship Type="http://schemas.openxmlformats.org/officeDocument/2006/relationships/hyperlink" Id="rId59" Target="http://www.r-project.org" TargetMode="External" /><Relationship Type="http://schemas.openxmlformats.org/officeDocument/2006/relationships/hyperlink" Id="rId56"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Below-ground sink limitation alters growth and carbon balance of Eucalyptus seedlings</dc:title>
  <dc:creator/>
</cp:coreProperties>
</file>