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 Main text: Introduction: Materials and methods: Results: Discussion: Acknowledgements: 7 figures (6 color), 3 tables Supporting information: 1 table</w:t>
      </w:r>
    </w:p>
    <w:p>
      <w:pPr>
        <w:pStyle w:val="Heading1"/>
      </w:pPr>
      <w:bookmarkStart w:id="22" w:name="summary"/>
      <w:bookmarkEnd w:id="22"/>
      <w:r>
        <w:t xml:space="preserve">Summary</w:t>
      </w:r>
    </w:p>
    <w:p>
      <w:pPr>
        <w:numPr>
          <w:numId w:val="1001"/>
          <w:ilvl w:val="0"/>
        </w:numPr>
      </w:pPr>
      <w:r>
        <w:t xml:space="preserve">Interpreting limitations to plant growth requires accounting of carbon (C) mass balance between uptake and allocation.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both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not large enough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further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 C balance and will correlate to plant growth. At shorter temporal scales, however, growth can instead be mediated by tissue C storage pools. This discrepancy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w:t>
      </w:r>
      <w:r>
        <w:t xml:space="preserve"> </w:t>
      </w:r>
      <w:r>
        <w:rPr>
          <w:i/>
        </w:rPr>
        <w:t xml:space="preserve">et al.</w:t>
      </w:r>
      <w:r>
        <w:t xml:space="preserve">, 2008)</w:t>
      </w:r>
      <w:r>
        <w:t xml:space="preserve">. Despite a wealth of studies, large uncertainties still remain regarding the coordination of C supply and growth of woody species.</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w:t>
      </w:r>
      <w:r>
        <w:t xml:space="preserve"> </w:t>
      </w:r>
      <w:r>
        <w:t xml:space="preserve">and regulatory sugar signaling</w:t>
      </w:r>
      <w:r>
        <w:t xml:space="preserve"> </w:t>
      </w:r>
      <w:r>
        <w:t xml:space="preserve">(Eyles</w:t>
      </w:r>
      <w:r>
        <w:t xml:space="preserve"> </w:t>
      </w:r>
      <w:r>
        <w:rPr>
          <w:i/>
        </w:rPr>
        <w:t xml:space="preserve">et al.</w:t>
      </w:r>
      <w:r>
        <w:t xml:space="preserve">)</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&amp; Pharr, 1988)</w:t>
      </w:r>
      <w:r>
        <w:t xml:space="preserve">.</w:t>
      </w:r>
    </w:p>
    <w:p>
      <w:pPr>
        <w:pStyle w:val="BodyText"/>
      </w:pPr>
      <w:r>
        <w:t xml:space="preserve">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or not down regulation of</w:t>
      </w:r>
      <w:r>
        <w:t xml:space="preserve"> </w:t>
      </w:r>
      <w:r>
        <w:rPr>
          <w:i/>
        </w:rPr>
        <w:t xml:space="preserve">A</w:t>
      </w:r>
      <w:r>
        <w:rPr>
          <w:vertAlign w:val="subscript"/>
        </w:rPr>
        <w:t xml:space="preserve">n</w:t>
      </w:r>
      <w:r>
        <w:t xml:space="preserve"> </w:t>
      </w:r>
      <w:r>
        <w:t xml:space="preserve">and reductions of growth are quantitavely similiar has rarely been tested.</w:t>
      </w:r>
    </w:p>
    <w:p>
      <w:pPr>
        <w:pStyle w:val="BodyText"/>
      </w:pPr>
      <w:r>
        <w:t xml:space="preserve">Based on these previous studies, using a range of container sizes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([N])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0,i</w:t>
      </w:r>
      <w:r>
        <w:t xml:space="preserve">, stem</w:t>
      </w:r>
      <w:r>
        <w:rPr>
          <w:vertAlign w:val="subscript"/>
        </w:rPr>
        <w:t xml:space="preserve">0,i</w:t>
      </w:r>
      <w:r>
        <w:t xml:space="preserve"> </w:t>
      </w:r>
      <w:r>
        <w:t xml:space="preserve">and root</w:t>
      </w:r>
      <w:r>
        <w:rPr>
          <w:vertAlign w:val="subscript"/>
        </w:rPr>
        <w:t xml:space="preserve">0,i</w:t>
      </w:r>
      <w:r>
        <w:t xml:space="preserve">) and a starting leaf area (L</w:t>
      </w:r>
      <w:r>
        <w:rPr>
          <w:vertAlign w:val="subscript"/>
        </w:rPr>
        <w:t xml:space="preserve">0,i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f>
            <m:fPr>
              <m:type m:val="bar"/>
            </m:fPr>
            <m:num>
              <m:sSub>
                <m:e>
                  <m:r>
                    <m:rPr/>
                    <m:t>L</m:t>
                  </m:r>
                </m:e>
                <m:sub>
                  <m:r>
                    <m:rPr/>
                    <m:t>i</m:t>
                  </m:r>
                </m:sub>
              </m:sSub>
              <m:r>
                <m:rPr/>
                <m:t> </m:t>
              </m:r>
              <m:sSub>
                <m:e>
                  <m:r>
                    <m:rPr/>
                    <m:t>C</m:t>
                  </m:r>
                </m:e>
                <m:sub>
                  <m:r>
                    <m:rPr>
                      <m:sty m:val="p"/>
                    </m:rPr>
                    <m:t>d</m:t>
                  </m:r>
                  <m:r>
                    <m:rPr>
                      <m:sty m:val="p"/>
                    </m:rPr>
                    <m:t>a</m:t>
                  </m:r>
                  <m:r>
                    <m:rPr>
                      <m:sty m:val="p"/>
                    </m:rPr>
                    <m:t>y</m:t>
                  </m:r>
                  <m:r>
                    <m:rPr>
                      <m:sty m:val="p"/>
                    </m:rPr>
                    <m:t>′</m:t>
                  </m:r>
                  <m:r>
                    <m:rPr>
                      <m:sty m:val="p"/>
                    </m:rPr>
                    <m:t>i</m:t>
                  </m:r>
                </m:sub>
              </m:sSub>
              <m:r>
                <m:rPr/>
                <m:t> </m:t>
              </m:r>
              <m:r>
                <m:rPr/>
                <m:t>σ</m:t>
              </m:r>
              <m:r>
                <m:rPr/>
                <m:t>−</m:t>
              </m:r>
              <m:sSub>
                <m:e>
                  <m:r>
                    <m:rPr/>
                    <m:t>R</m:t>
                  </m:r>
                </m:e>
                <m:sub>
                  <m:r>
                    <m:rPr/>
                    <m:t>i</m:t>
                  </m:r>
                </m:sub>
              </m:sSub>
            </m:num>
            <m:den>
              <m:r>
                <m:rPr/>
                <m:t>ϵ</m:t>
              </m:r>
            </m:den>
          </m:f>
        </m:oMath>
      </m:oMathPara>
    </w:p>
    <w:p>
      <w:pPr>
        <w:pStyle w:val="BodyText"/>
      </w:pPr>
      <w:r>
        <w:t xml:space="preserve">where</w:t>
      </w:r>
      <w:r>
        <w:t xml:space="preserve"> </w:t>
      </w:r>
      <w:r>
        <w:rPr>
          <w:i/>
        </w:rPr>
        <w:t xml:space="preserve">L</w:t>
      </w:r>
      <w:r>
        <w:rPr>
          <w:vertAlign w:val="subscript"/>
        </w:rPr>
        <w:t xml:space="preserve">i</w:t>
      </w:r>
      <w:r>
        <w:t xml:space="preserve"> </w:t>
      </w:r>
      <w:r>
        <w:t xml:space="preserve">is modelled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rPr>
          <w:vertAlign w:val="subscript"/>
        </w:rPr>
        <w:t xml:space="preserve">i</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sSub>
            <m:e>
              <m:r>
                <m:rPr/>
                <m:t>R</m:t>
              </m:r>
            </m:e>
            <m:sub>
              <m:r>
                <m:rPr/>
                <m:t>i</m:t>
              </m:r>
            </m:sub>
          </m:sSub>
          <m:r>
            <m:rPr/>
            <m:t>=</m:t>
          </m:r>
          <m:r>
            <m:rPr/>
            <m:t>Σ</m:t>
          </m:r>
          <m:r>
            <m:rPr/>
            <m:t>(</m:t>
          </m:r>
          <m:sSub>
            <m:e>
              <m:r>
                <m:rPr/>
                <m:t>R</m:t>
              </m:r>
            </m:e>
            <m:sub>
              <m:r>
                <m:rPr>
                  <m:sty m:val="p"/>
                </m:rPr>
                <m:t>c</m:t>
              </m:r>
            </m:sub>
          </m:sSub>
          <m:r>
            <m:rPr/>
            <m:t> </m:t>
          </m:r>
          <m:sSub>
            <m:e>
              <m:r>
                <m:rPr/>
                <m:t>M</m:t>
              </m:r>
            </m:e>
            <m:sub>
              <m:r>
                <m:rPr>
                  <m:sty m:val="p"/>
                </m:rPr>
                <m:t>c</m:t>
              </m:r>
              <m:r>
                <m:rPr>
                  <m:sty m:val="p"/>
                </m:rPr>
                <m:t>,</m:t>
              </m:r>
              <m:r>
                <m:rPr>
                  <m:sty m:val="p"/>
                </m:rPr>
                <m:t>i</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measured tissue respiration rates of each woody tissue component, including fine roots, coarse roots and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c,i</w:t>
      </w:r>
      <w:r>
        <w:t xml:space="preserve"> </w:t>
      </w:r>
      <w:r>
        <w:t xml:space="preserve">is the modelled standing biomass of each component (g). Leaf respiration is included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c,i</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θ</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r>
                <m:rPr>
                  <m:sty m:val="p"/>
                </m:rPr>
                <m:t>,</m:t>
              </m:r>
              <m:r>
                <m:rPr>
                  <m:sty m:val="p"/>
                </m:rPr>
                <m:t>i</m:t>
              </m:r>
            </m:sub>
          </m:sSub>
          <m:r>
            <m:rPr/>
            <m:t>)</m:t>
          </m:r>
        </m:oMath>
      </m:oMathPara>
    </w:p>
    <w:p>
      <w:pPr>
        <w:pStyle w:val="BodyText"/>
      </w:pPr>
      <w:r>
        <w:t xml:space="preserve">where</w:t>
      </w:r>
      <w:r>
        <w:t xml:space="preserve"> </w:t>
      </w:r>
      <m:oMath>
        <m:r>
          <m:rPr/>
          <m:t>θ</m:t>
        </m:r>
      </m:oMath>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BodyText"/>
      </w:pPr>
      <w:r>
        <w:br w:type="textWrapping"/>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C</w:t>
      </w:r>
      <w:r>
        <w:rPr>
          <w:vertAlign w:val="subscript"/>
        </w:rPr>
        <w:t xml:space="preserve">day,i</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C</w:t>
      </w:r>
      <w:r>
        <w:rPr>
          <w:vertAlign w:val="subscript"/>
        </w:rPr>
        <w:t xml:space="preserve">day</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C</w:t>
      </w:r>
      <w:r>
        <w:rPr>
          <w:vertAlign w:val="subscript"/>
        </w:rPr>
        <w:t xml:space="preserve">day,i</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 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 content 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 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 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 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0.1 %. Using this optimized LMF, the modeled total biomass of seedlings for each soil volume treatment (</w:t>
      </w:r>
      <w:r>
        <w:rPr>
          <w:i/>
        </w:rPr>
        <w:t xml:space="preserve">M</w:t>
      </w:r>
      <w:r>
        <w:rPr>
          <w:vertAlign w:val="subscript"/>
        </w:rPr>
        <w:t xml:space="preserve">pots</w:t>
      </w:r>
      <w:r>
        <w:t xml:space="preserve">) was on average 23±2.4 g C more than measured seedling biomass when compared against predicted total net leaf C 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Next, we performed a series of model simulations to test possible C allocation scenarios to account for the over-predictions of seedling C mass. Running the model with observed treatment-specific LMF values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 C 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nonetheless overestimated mass C 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nutrient content or water availability,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 and leaf N was considerably reduced for seedlings in containers. As leaf N reductions were detected with TNC-free leaf mass, it is likely that physical root restriction or decreased supply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drive changes in root N uptake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&amp;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w:t>
      </w:r>
      <w:r>
        <w:rPr>
          <w:i/>
        </w:rPr>
        <w:t xml:space="preserve">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w:t>
      </w:r>
      <w:r>
        <w:t xml:space="preserve"> </w:t>
      </w:r>
      <w:r>
        <w:rPr>
          <w:i/>
        </w:rPr>
        <w:t xml:space="preserve">et al.</w:t>
      </w:r>
      <w:r>
        <w:t xml:space="preserve">,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 C dynamics can easily lead to erroneous conclusions</w:t>
      </w:r>
      <w:r>
        <w:t xml:space="preserve"> </w:t>
      </w:r>
      <w:r>
        <w:t xml:space="preserve">(Valentini</w:t>
      </w:r>
      <w:r>
        <w:t xml:space="preserve"> </w:t>
      </w:r>
      <w:r>
        <w:rPr>
          <w:i/>
        </w:rPr>
        <w:t xml:space="preserve">et al.</w:t>
      </w:r>
      <w:r>
        <w:t xml:space="preserve">,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 C. Although this may be true, our results imply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86400" cy="7315200"/>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S1</w:t>
      </w:r>
      <w:r>
        <w:t xml:space="preserve">. Sensitivity testing of the seedling growth model to different carbon allocation strategies, including; (a) leaf mass fraction set to treatment-specific final harvest values and (b) increases in respiration of non-leaf tissue components by 50 %. Open and filled symbols represent default model and harvest values, respectively, while shaded symbols represent model sensitivity to each scenario by soil volume treatment. Both seedling carbon mass and daily carbon assimilation were first scaled to the free seedling control.</w:t>
      </w:r>
    </w:p>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DeLucia E</w:t>
      </w:r>
      <w:r>
        <w:rPr>
          <w:b/>
        </w:rPr>
        <w:t xml:space="preserve">,</w:t>
      </w:r>
      <w:r>
        <w:rPr>
          <w:b/>
        </w:rPr>
        <w:t xml:space="preserve"> </w:t>
      </w:r>
      <w:r>
        <w:rPr>
          <w:b w:val="0"/>
          <w:b/>
        </w:rPr>
        <w:t xml:space="preserve">Drake JE</w:t>
      </w:r>
      <w:r>
        <w:rPr>
          <w:b/>
        </w:rPr>
        <w:t xml:space="preserve">,</w:t>
      </w:r>
      <w:r>
        <w:rPr>
          <w:b/>
        </w:rPr>
        <w:t xml:space="preserve"> </w:t>
      </w:r>
      <w:r>
        <w:rPr>
          <w:b w:val="0"/>
          <w:b/>
        </w:rPr>
        <w:t xml:space="preserve">Thomas RB</w:t>
      </w:r>
      <w:r>
        <w:rPr>
          <w:b/>
        </w:rPr>
        <w:t xml:space="preserve">,</w:t>
      </w:r>
      <w:r>
        <w:rPr>
          <w:b/>
        </w:rPr>
        <w:t xml:space="preserve"> </w:t>
      </w:r>
      <w:r>
        <w:rPr>
          <w:b w:val="0"/>
          <w:b/>
        </w:rPr>
        <w:t xml:space="preserve">Gonzalez-Meler M</w:t>
      </w:r>
      <w:r>
        <w:t xml:space="preserve">.</w:t>
      </w:r>
      <w:r>
        <w:t xml:space="preserve"> </w:t>
      </w:r>
      <w:r>
        <w:rPr>
          <w:b/>
        </w:rPr>
        <w:t xml:space="preserve">2007</w:t>
      </w:r>
      <w:r>
        <w:t xml:space="preserve">.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1157–1167.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m:oMath>
        <m:r>
          <m:rPr/>
          <m:t>∖</m:t>
        </m:r>
      </m:oMath>
      <w:r>
        <w:t xml:space="preserve">textit{Eucalyptus} 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m:oMath>
        <m:r>
          <m:rPr/>
          <m:t>∖</m:t>
        </m:r>
      </m:oMath>
      <w:r>
        <w:t xml:space="preserve">textit{Metasequoia glyptostroboides} 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m:oMath>
        <m:r>
          <m:rPr/>
          <m:t>∖</m:t>
        </m:r>
      </m:oMath>
      <w:r>
        <w:t xml:space="preserve">textit{Eucalyptus grandis} 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m:oMath>
        <m:r>
          <m:rPr/>
          <m:t>∖</m:t>
        </m:r>
      </m:oMath>
      <w:r>
        <w:t xml:space="preserve">textit{Prunus cerasus} 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Lohier T</w:t>
      </w:r>
      <w:r>
        <w:rPr>
          <w:b/>
        </w:rPr>
        <w:t xml:space="preserve">,</w:t>
      </w:r>
      <w:r>
        <w:rPr>
          <w:b/>
        </w:rPr>
        <w:t xml:space="preserve"> </w:t>
      </w:r>
      <w:r>
        <w:rPr>
          <w:b w:val="0"/>
          <w:b/>
        </w:rPr>
        <w:t xml:space="preserve">Jabot F</w:t>
      </w:r>
      <w:r>
        <w:rPr>
          <w:b/>
        </w:rPr>
        <w:t xml:space="preserve">,</w:t>
      </w:r>
      <w:r>
        <w:rPr>
          <w:b/>
        </w:rPr>
        <w:t xml:space="preserve"> </w:t>
      </w:r>
      <w:r>
        <w:rPr>
          <w:b w:val="0"/>
          <w:b/>
        </w:rPr>
        <w:t xml:space="preserve">Meziane D</w:t>
      </w:r>
      <w:r>
        <w:rPr>
          <w:b/>
        </w:rPr>
        <w:t xml:space="preserve">,</w:t>
      </w:r>
      <w:r>
        <w:rPr>
          <w:b/>
        </w:rPr>
        <w:t xml:space="preserve"> </w:t>
      </w:r>
      <w:r>
        <w:rPr>
          <w:b w:val="0"/>
          <w:b/>
        </w:rPr>
        <w:t xml:space="preserve">Shipley B</w:t>
      </w:r>
      <w:r>
        <w:rPr>
          <w:b/>
        </w:rPr>
        <w:t xml:space="preserve">,</w:t>
      </w:r>
      <w:r>
        <w:rPr>
          <w:b/>
        </w:rPr>
        <w:t xml:space="preserve"> </w:t>
      </w:r>
      <w:r>
        <w:rPr>
          <w:b w:val="0"/>
          <w:b/>
        </w:rPr>
        <w:t xml:space="preserve">Reich PB</w:t>
      </w:r>
      <w:r>
        <w:rPr>
          <w:b/>
        </w:rPr>
        <w:t xml:space="preserve">,</w:t>
      </w:r>
      <w:r>
        <w:rPr>
          <w:b/>
        </w:rPr>
        <w:t xml:space="preserve"> </w:t>
      </w:r>
      <w:r>
        <w:rPr>
          <w:b w:val="0"/>
          <w:b/>
        </w:rPr>
        <w:t xml:space="preserve">Deffuant G</w:t>
      </w:r>
      <w:r>
        <w:t xml:space="preserve">.</w:t>
      </w:r>
      <w:r>
        <w:t xml:space="preserve"> </w:t>
      </w:r>
      <w:r>
        <w:rPr>
          <w:b/>
        </w:rPr>
        <w:t xml:space="preserve">2014</w:t>
      </w:r>
      <w:r>
        <w:t xml:space="preserve">. Explaining ontogenetic shifts in root–shoot scaling with transient dynamics.</w:t>
      </w:r>
      <w:r>
        <w:t xml:space="preserve"> </w:t>
      </w:r>
      <w:r>
        <w:rPr>
          <w:i/>
        </w:rPr>
        <w:t xml:space="preserve">Annals of Botany</w:t>
      </w:r>
      <w:r>
        <w:t xml:space="preserve"> </w:t>
      </w:r>
      <w:r>
        <w:rPr>
          <w:b/>
        </w:rPr>
        <w:t xml:space="preserve">114</w:t>
      </w:r>
      <w:r>
        <w:t xml:space="preserve">: 513–524.</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m:oMath>
        <m:r>
          <m:rPr/>
          <m:t>∖</m:t>
        </m:r>
      </m:oMath>
      <w:r>
        <w:t xml:space="preserve">textit{Betula pubescens}.</w:t>
      </w:r>
      <w:r>
        <w:t xml:space="preserve"> </w:t>
      </w:r>
      <w:r>
        <w:rPr>
          <w:i/>
        </w:rPr>
        <w:t xml:space="preserve">Oecologia</w:t>
      </w:r>
      <w:r>
        <w:t xml:space="preserve"> </w:t>
      </w:r>
      <w:r>
        <w:rPr>
          <w:b/>
        </w:rPr>
        <w:t xml:space="preserve">140</w:t>
      </w:r>
      <w:r>
        <w:t xml:space="preserve">: 234–240.</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m:oMath>
        <m:r>
          <m:rPr/>
          <m:t>∖</m:t>
        </m:r>
      </m:oMath>
      <w:r>
        <w:t xml:space="preserve">textit{Betula pendula} 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m:oMath>
        <m:r>
          <m:rPr/>
          <m:t>∖</m:t>
        </m:r>
      </m:oMath>
      <w:r>
        <w:t xml:space="preserve">textit{Betula pendula} 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m:oMath>
        <m:r>
          <m:rPr/>
          <m:t>∖</m:t>
        </m:r>
      </m:oMath>
      <w:r>
        <w:t xml:space="preserve">textit{Eucalyptus nitens} (Deane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 Cucumis sativus 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m:oMath>
        <m:r>
          <m:rPr/>
          <m:t>∖</m:t>
        </m:r>
      </m:oMath>
      <w:r>
        <w:t xml:space="preserve">textit{Coffea arabica} 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m:oMath>
        <m:r>
          <m:rPr/>
          <m:t>∖</m:t>
        </m:r>
      </m:oMath>
      <w:r>
        <w:t xml:space="preserve">textit{Eucalyptus globulus} 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3305e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23336c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