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Abstract</w:t>
      </w:r>
    </w:p>
    <w:p>
      <w:pPr>
        <w:pStyle w:val="FirstParagraph"/>
      </w:pPr>
      <w:r>
        <w:t xml:space="preserve">Interpreting limitations to plant growth requires understanding of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rPr>
        <w:t xml:space="preserve">n</w:t>
      </w:r>
      <w:r>
        <w:t xml:space="preserve">,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excess photosynthetic</w:t>
      </w:r>
      <w:r>
        <w:t xml:space="preserve"> </w:t>
      </w:r>
      <w:r>
        <w:rPr>
          <w:i/>
        </w:rPr>
        <w:t xml:space="preserve">C</w:t>
      </w:r>
      <w:r>
        <w:t xml:space="preserve"> </w:t>
      </w:r>
      <w:r>
        <w:t xml:space="preserve">not attributed to biomass 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infer similar responses in growth.</w:t>
      </w:r>
    </w:p>
    <w:p>
      <w:pPr>
        <w:pStyle w:val="BodyText"/>
      </w:pPr>
      <w:r>
        <w:br w:type="textWrapping"/>
      </w:r>
      <w:r>
        <w:t xml:space="preserve">Alternatively, manipulating plant tissue</w:t>
      </w:r>
      <w:r>
        <w:t xml:space="preserve"> </w:t>
      </w:r>
      <w:r>
        <w:rPr>
          <w:i/>
        </w:rPr>
        <w:t xml:space="preserve">C</w:t>
      </w:r>
      <w:r>
        <w:t xml:space="preserve"> </w:t>
      </w:r>
      <w:r>
        <w:t xml:space="preserve">sinks is often used to investigate the correlation of</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and leaf</w:t>
      </w:r>
      <w:r>
        <w:t xml:space="preserve"> </w:t>
      </w:r>
      <w:r>
        <w:rPr>
          <w:i/>
        </w:rPr>
        <w:t xml:space="preserve">N</w:t>
      </w:r>
      <w:r>
        <w:t xml:space="preserve"> </w:t>
      </w:r>
      <w:r>
        <w:t xml:space="preserve">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S3,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w:t>
      </w:r>
      <w:r>
        <w:t xml:space="preserve"> </w:t>
      </w:r>
      <w:r>
        <w:rPr>
          <w:i/>
        </w:rPr>
        <w:t xml:space="preserve">R</w:t>
      </w:r>
      <w:r>
        <w:rPr>
          <w:vertAlign w:val="subscript"/>
        </w:rPr>
        <w:t xml:space="preserve">leaf</w:t>
      </w:r>
      <w:r>
        <w:t xml:space="preserve"> </w:t>
      </w:r>
      <w:r>
        <w:t xml:space="preserve">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where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 Leaf dark respiration rates were not significantly different across soil volumes (Table 2).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2,</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w:t>
      </w:r>
      <w:r>
        <w:t xml:space="preserve"> </w:t>
      </w:r>
      <w:r>
        <w:rPr>
          <w:i/>
        </w:rPr>
        <w:t xml:space="preserve">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Thus, seedling C mass was overestimated by an average of 50±8.7 % in modeled seedlings across the soil volume treatments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infer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22900" cy="7054791"/>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pPr>
        <w:pStyle w:val="BodyText"/>
      </w:pP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22900" cy="4067175"/>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references"/>
      <w:bookmarkEnd w:id="53"/>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4">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5">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6">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2eef2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