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7.png" ContentType="image/png"/>
  <Override PartName="/word/media/rId48.png" ContentType="image/png"/>
  <Override PartName="/word/media/rId46.png" ContentType="image/png"/>
  <Override PartName="/word/media/rId49.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Summary: 200</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 30</w:t>
      </w:r>
      <w:r>
        <w:br w:type="textWrapping"/>
      </w:r>
      <w:r>
        <w:t xml:space="preserve">6 figures (5 color), 3 tables</w:t>
      </w:r>
      <w:r>
        <w:br w:type="textWrapping"/>
      </w:r>
      <w:r>
        <w:t xml:space="preserve">Supporting information: 1 table</w:t>
      </w:r>
    </w:p>
    <w:p>
      <w:pPr>
        <w:pStyle w:val="Heading1"/>
      </w:pPr>
      <w:bookmarkStart w:id="22" w:name="summary"/>
      <w:bookmarkEnd w:id="22"/>
      <w:r>
        <w:t xml:space="preserve">Summary</w:t>
      </w:r>
    </w:p>
    <w:p>
      <w:pPr>
        <w:numPr>
          <w:numId w:val="1001"/>
          <w:ilvl w:val="0"/>
        </w:numPr>
      </w:pPr>
      <w:r>
        <w:t xml:space="preserve">The difficulty in quantifying all components of plant carbon (C) balance inhibits our ability to interpret growth limitation in woody species.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too small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plant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carbon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is driven by the allocation of photosynthate from source leaves among these different tissue sinks. At long enough time scales leaf photosynthesis (</w:t>
      </w:r>
      <w:r>
        <w:rPr>
          <w:i/>
        </w:rPr>
        <w:t xml:space="preserve">A</w:t>
      </w:r>
      <w:r>
        <w:rPr>
          <w:vertAlign w:val="subscript"/>
        </w:rPr>
        <w:t xml:space="preserve">n</w:t>
      </w:r>
      <w:r>
        <w:t xml:space="preserve">) and respiratory losses together determine net C balance and plant growth. At shorter temporal scales growth can instead be mediated by tissue C storage pools</w:t>
      </w:r>
      <w:r>
        <w:t xml:space="preserve"> </w:t>
      </w:r>
      <w:r>
        <w:t xml:space="preserve">(Chapin</w:t>
      </w:r>
      <w:r>
        <w:t xml:space="preserve"> </w:t>
      </w:r>
      <w:r>
        <w:rPr>
          <w:i/>
        </w:rPr>
        <w:t xml:space="preserve">et al.</w:t>
      </w:r>
      <w:r>
        <w:t xml:space="preserve">, 1990)</w:t>
      </w:r>
      <w:r>
        <w:t xml:space="preserve">, which disrupts the coordination between</w:t>
      </w:r>
      <w:r>
        <w:t xml:space="preserve"> </w:t>
      </w:r>
      <w:r>
        <w:rPr>
          <w:i/>
        </w:rPr>
        <w:t xml:space="preserve">A</w:t>
      </w:r>
      <w:r>
        <w:rPr>
          <w:vertAlign w:val="subscript"/>
        </w:rPr>
        <w:t xml:space="preserve">n</w:t>
      </w:r>
      <w:r>
        <w:t xml:space="preserve"> </w:t>
      </w:r>
      <w:r>
        <w:t xml:space="preserve">and growth. This discrepancy has led to the current debate on how strongly plant growth is controlled by either source or sink activity. As plant growth cannot be simply determined by</w:t>
      </w:r>
      <w:r>
        <w:t xml:space="preserve"> </w:t>
      </w:r>
      <w:r>
        <w:rPr>
          <w:i/>
        </w:rPr>
        <w:t xml:space="preserve">A</w:t>
      </w:r>
      <w:r>
        <w:rPr>
          <w:vertAlign w:val="subscript"/>
        </w:rPr>
        <w:t xml:space="preserve">n</w:t>
      </w:r>
      <w:r>
        <w:t xml:space="preserve">, growth models must take into account several simultaneous processes affecting the C balance at any given time</w:t>
      </w:r>
      <w:r>
        <w:t xml:space="preserve"> </w:t>
      </w:r>
      <w:r>
        <w:t xml:space="preserve">(Fourcaud</w:t>
      </w:r>
      <w:r>
        <w:t xml:space="preserve"> </w:t>
      </w:r>
      <w:r>
        <w:rPr>
          <w:i/>
        </w:rPr>
        <w:t xml:space="preserve">et al.</w:t>
      </w:r>
      <w:r>
        <w:t xml:space="preserve">, 2008)</w:t>
      </w:r>
      <w:r>
        <w:t xml:space="preserve">. Whether growth limitation in woody species is driven mostly by</w:t>
      </w:r>
      <w:r>
        <w:t xml:space="preserve"> </w:t>
      </w:r>
      <w:r>
        <w:rPr>
          <w:i/>
        </w:rPr>
        <w:t xml:space="preserve">A</w:t>
      </w:r>
      <w:r>
        <w:rPr>
          <w:vertAlign w:val="subscript"/>
        </w:rPr>
        <w:t xml:space="preserve">n</w:t>
      </w:r>
      <w:r>
        <w:t xml:space="preserve"> </w:t>
      </w:r>
      <w:r>
        <w:t xml:space="preserve">or other components of the C balance remains largely uncertain.</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 Pinkard</w:t>
      </w:r>
      <w:r>
        <w:t xml:space="preserve"> </w:t>
      </w:r>
      <w:r>
        <w:rPr>
          <w:i/>
        </w:rPr>
        <w:t xml:space="preserve">et al.</w:t>
      </w:r>
      <w:r>
        <w:t xml:space="preserve">, 2011)</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 Pinkard</w:t>
      </w:r>
      <w:r>
        <w:t xml:space="preserve"> </w:t>
      </w:r>
      <w:r>
        <w:rPr>
          <w:i/>
        </w:rPr>
        <w:t xml:space="preserve">et al.</w:t>
      </w:r>
      <w:r>
        <w:t xml:space="preserve">, 2011)</w:t>
      </w:r>
      <w:r>
        <w:t xml:space="preserve"> </w:t>
      </w:r>
      <w:r>
        <w:t xml:space="preserve">and regulatory sugar signaling</w:t>
      </w:r>
      <w:r>
        <w:t xml:space="preserve"> </w:t>
      </w:r>
      <w:r>
        <w:t xml:space="preserve">(Eyles</w:t>
      </w:r>
      <w:r>
        <w:t xml:space="preserve"> </w:t>
      </w:r>
      <w:r>
        <w:rPr>
          <w:i/>
        </w:rPr>
        <w:t xml:space="preserve">et al.</w:t>
      </w:r>
      <w:r>
        <w:t xml:space="preserve">, 2013)</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matted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percentange of N in samples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Similarly, TNC-free leaf N content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w:t>
      </w:r>
      <w:r>
        <w:t xml:space="preserve">, stem</w:t>
      </w:r>
      <w:r>
        <w:rPr>
          <w:vertAlign w:val="subscript"/>
        </w:rPr>
        <w:t xml:space="preserve">0</w:t>
      </w:r>
      <w:r>
        <w:t xml:space="preserve"> </w:t>
      </w:r>
      <w:r>
        <w:t xml:space="preserve">and root</w:t>
      </w:r>
      <w:r>
        <w:rPr>
          <w:vertAlign w:val="subscript"/>
        </w:rPr>
        <w:t xml:space="preserve">0</w:t>
      </w:r>
      <w:r>
        <w:t xml:space="preserve">) and a starting leaf area (L</w:t>
      </w:r>
      <w:r>
        <w:rPr>
          <w:vertAlign w:val="subscript"/>
        </w:rPr>
        <w:t xml:space="preserve">0</w:t>
      </w:r>
      <w:r>
        <w:t xml:space="preserve">) measured prior to planting. The initial biomass of roots was divided evenly between fine and coarse roots. The daily net biomass production of seedlings (</w:t>
      </w:r>
      <w:r>
        <w:rPr>
          <w:i/>
        </w:rPr>
        <w:t xml:space="preserve">G</w:t>
      </w:r>
      <w:r>
        <w:t xml:space="preserve">), from</w:t>
      </w:r>
      <w:r>
        <w:t xml:space="preserve"> </w:t>
      </w:r>
      <w:r>
        <w:t xml:space="preserve">Mäkelä (1997)</w:t>
      </w:r>
      <w:r>
        <w:t xml:space="preserve">, is then given by</w:t>
      </w:r>
    </w:p>
    <w:p>
      <w:pPr>
        <w:pStyle w:val="BodyText"/>
      </w:pPr>
      <w:r>
        <w:br w:type="textWrapping"/>
      </w:r>
      <w:r>
        <w:t xml:space="preserve">(1)</w:t>
      </w:r>
    </w:p>
    <w:p>
      <w:pPr>
        <w:pStyle w:val="BodyText"/>
      </w:pPr>
      <m:oMathPara>
        <m:oMathParaPr>
          <m:jc m:val="center"/>
        </m:oMathParaPr>
        <m:oMath>
          <m:r>
            <m:rPr/>
            <m:t>G</m:t>
          </m:r>
          <m:r>
            <m:rPr/>
            <m:t>(</m:t>
          </m:r>
          <m:r>
            <m:rPr/>
            <m:t>t</m:t>
          </m:r>
          <m:r>
            <m:rPr/>
            <m:t>)</m:t>
          </m:r>
          <m:r>
            <m:rPr/>
            <m:t>=</m:t>
          </m:r>
          <m:f>
            <m:fPr>
              <m:type m:val="bar"/>
            </m:fPr>
            <m:num>
              <m:r>
                <m:rPr/>
                <m:t>L</m:t>
              </m:r>
              <m:r>
                <m:rPr/>
                <m:t> </m:t>
              </m:r>
              <m:r>
                <m:rPr/>
                <m:t>P</m:t>
              </m:r>
              <m:r>
                <m:rPr/>
                <m:t> </m:t>
              </m:r>
              <m:r>
                <m:rPr/>
                <m:t>σ</m:t>
              </m:r>
              <m:r>
                <m:rPr/>
                <m:t>−</m:t>
              </m:r>
              <m:r>
                <m:rPr/>
                <m:t>R</m:t>
              </m:r>
            </m:num>
            <m:den>
              <m:r>
                <m:rPr/>
                <m:t>ϵ</m:t>
              </m:r>
            </m:den>
          </m:f>
        </m:oMath>
      </m:oMathPara>
    </w:p>
    <w:p>
      <w:pPr>
        <w:pStyle w:val="BodyText"/>
      </w:pPr>
      <w:r>
        <w:t xml:space="preserve">where</w:t>
      </w:r>
      <w:r>
        <w:t xml:space="preserve"> </w:t>
      </w:r>
      <w:r>
        <w:rPr>
          <w:i/>
        </w:rPr>
        <w:t xml:space="preserve">L</w:t>
      </w:r>
      <w:r>
        <w:t xml:space="preserve"> </w:t>
      </w:r>
      <w:r>
        <w:t xml:space="preserve">is modelled total plant leaf area (m</w:t>
      </w:r>
      <w:r>
        <w:rPr>
          <w:vertAlign w:val="superscript"/>
        </w:rPr>
        <w:t xml:space="preserve">2</w:t>
      </w:r>
      <w:r>
        <w:t xml:space="preserve">),</w:t>
      </w:r>
      <w:r>
        <w:t xml:space="preserve"> </w:t>
      </w:r>
      <w:r>
        <w:rPr>
          <w:i/>
        </w:rPr>
        <w:t xml:space="preserve">P</w:t>
      </w:r>
      <w:r>
        <w:t xml:space="preserve"> </w:t>
      </w:r>
      <w:r>
        <w:t xml:space="preserve">is the daily carbon assimilation per unit leaf area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t</m:t>
          </m:r>
          <m:r>
            <m:rPr/>
            <m:t>)</m:t>
          </m:r>
          <m:r>
            <m:rPr/>
            <m:t>=</m:t>
          </m:r>
          <m:sSub>
            <m:e>
              <m:r>
                <m:rPr/>
                <m:t>R</m:t>
              </m:r>
            </m:e>
            <m:sub>
              <m:r>
                <m:rPr>
                  <m:sty m:val="p"/>
                </m:rPr>
                <m:t>s</m:t>
              </m:r>
            </m:sub>
          </m:sSub>
          <m:sSub>
            <m:e>
              <m:r>
                <m:rPr/>
                <m:t>M</m:t>
              </m:r>
            </m:e>
            <m:sub>
              <m:r>
                <m:rPr>
                  <m:sty m:val="p"/>
                </m:rPr>
                <m:t>s</m:t>
              </m:r>
            </m:sub>
          </m:sSub>
          <m:r>
            <m:rPr/>
            <m:t> </m:t>
          </m:r>
          <m:r>
            <m:rPr/>
            <m:t>+</m:t>
          </m:r>
          <m:r>
            <m:rPr/>
            <m:t> </m:t>
          </m:r>
          <m:sSub>
            <m:e>
              <m:r>
                <m:rPr/>
                <m:t>R</m:t>
              </m:r>
            </m:e>
            <m:sub>
              <m:r>
                <m:rPr>
                  <m:sty m:val="p"/>
                </m:rPr>
                <m:t>f</m:t>
              </m:r>
              <m:r>
                <m:rPr>
                  <m:sty m:val="p"/>
                </m:rPr>
                <m:t>r</m:t>
              </m:r>
            </m:sub>
          </m:sSub>
          <m:sSub>
            <m:e>
              <m:r>
                <m:rPr/>
                <m:t>M</m:t>
              </m:r>
            </m:e>
            <m:sub>
              <m:r>
                <m:rPr>
                  <m:sty m:val="p"/>
                </m:rPr>
                <m:t>f</m:t>
              </m:r>
              <m:r>
                <m:rPr>
                  <m:sty m:val="p"/>
                </m:rPr>
                <m:t>r</m:t>
              </m:r>
            </m:sub>
          </m:sSub>
          <m:r>
            <m:rPr/>
            <m:t> </m:t>
          </m:r>
          <m:r>
            <m:rPr/>
            <m:t>+</m:t>
          </m:r>
          <m:r>
            <m:rPr/>
            <m:t> </m:t>
          </m:r>
          <m:sSub>
            <m:e>
              <m:r>
                <m:rPr/>
                <m:t>R</m:t>
              </m:r>
            </m:e>
            <m:sub>
              <m:r>
                <m:rPr>
                  <m:sty m:val="p"/>
                </m:rPr>
                <m:t>c</m:t>
              </m:r>
              <m:r>
                <m:rPr>
                  <m:sty m:val="p"/>
                </m:rPr>
                <m:t>r</m:t>
              </m:r>
            </m:sub>
          </m:sSub>
          <m:sSub>
            <m:e>
              <m:r>
                <m:rPr/>
                <m:t>M</m:t>
              </m:r>
            </m:e>
            <m:sub>
              <m:r>
                <m:rPr>
                  <m:sty m:val="p"/>
                </m:rPr>
                <m:t>c</m:t>
              </m:r>
              <m:r>
                <m:rPr>
                  <m:sty m:val="p"/>
                </m:rPr>
                <m:t>r</m:t>
              </m:r>
            </m:sub>
          </m:sSub>
        </m:oMath>
      </m:oMathPara>
    </w:p>
    <w:p>
      <w:pPr>
        <w:pStyle w:val="BodyText"/>
      </w:pPr>
      <w:r>
        <w:t xml:space="preserve">where</w:t>
      </w:r>
      <w:r>
        <w:t xml:space="preserve"> </w:t>
      </w:r>
      <w:r>
        <w:rPr>
          <w:i/>
        </w:rPr>
        <w:t xml:space="preserve">R</w:t>
      </w:r>
      <w:r>
        <w:t xml:space="preserve"> </w:t>
      </w:r>
      <w:r>
        <w:t xml:space="preserve">is published or measured tissue respiration rates (g C g mass</w:t>
      </w:r>
      <w:r>
        <w:rPr>
          <w:vertAlign w:val="superscript"/>
        </w:rPr>
        <w:t xml:space="preserve">-1</w:t>
      </w:r>
      <w:r>
        <w:t xml:space="preserve"> </w:t>
      </w:r>
      <w:r>
        <w:t xml:space="preserve">d</w:t>
      </w:r>
      <w:r>
        <w:rPr>
          <w:vertAlign w:val="superscript"/>
        </w:rPr>
        <w:t xml:space="preserve">-1</w:t>
      </w:r>
      <w:r>
        <w:t xml:space="preserve">) of stems (s), fine roots (fr) and coarse roots (cr) and</w:t>
      </w:r>
      <w:r>
        <w:t xml:space="preserve"> </w:t>
      </w:r>
      <w:r>
        <w:rPr>
          <w:i/>
        </w:rPr>
        <w:t xml:space="preserve">M</w:t>
      </w:r>
      <w:r>
        <w:t xml:space="preserve"> </w:t>
      </w:r>
      <w:r>
        <w:t xml:space="preserve">is the modelled standing biomass for each tissue component (g). Leaf respiration is included in the calculation of</w:t>
      </w:r>
      <w:r>
        <w:t xml:space="preserve"> </w:t>
      </w:r>
      <w:r>
        <w:rPr>
          <w:i/>
        </w:rPr>
        <w:t xml:space="preserve">P</w:t>
      </w:r>
      <w:r>
        <w:t xml:space="preserve">. The change in each tissue component biomass (</w:t>
      </w:r>
      <w:r>
        <w:rPr>
          <w:i/>
        </w:rPr>
        <w:t xml:space="preserve">M</w:t>
      </w:r>
      <w:r>
        <w:t xml:space="preserve">) on daily time steps, including leaves, stems, fine roots and coarse roots, is given by</w:t>
      </w:r>
    </w:p>
    <w:p>
      <w:pPr>
        <w:pStyle w:val="BodyText"/>
      </w:pPr>
      <w:r>
        <w:br w:type="textWrapping"/>
      </w:r>
      <w:r>
        <w:t xml:space="preserve">(3)</w:t>
      </w:r>
    </w:p>
    <w:p>
      <w:pPr>
        <w:pStyle w:val="BodyText"/>
      </w:pPr>
      <m:oMathPara>
        <m:oMathParaPr>
          <m:jc m:val="center"/>
        </m:oMathParaPr>
        <m:oMath>
          <m:f>
            <m:fPr>
              <m:type m:val="bar"/>
            </m:fPr>
            <m:num>
              <m:r>
                <m:rPr/>
                <m:t>d</m:t>
              </m:r>
              <m:r>
                <m:rPr/>
                <m:t>M</m:t>
              </m:r>
            </m:num>
            <m:den>
              <m:r>
                <m:rPr/>
                <m:t>d</m:t>
              </m:r>
              <m:r>
                <m:rPr/>
                <m:t>t</m:t>
              </m:r>
            </m:den>
          </m:f>
          <m:r>
            <m:rPr/>
            <m:t>=</m:t>
          </m:r>
          <m:r>
            <m:rPr/>
            <m:t>θ</m:t>
          </m:r>
          <m:r>
            <m:rPr/>
            <m:t> </m:t>
          </m:r>
          <m:r>
            <m:rPr/>
            <m:t>P</m:t>
          </m:r>
          <m:r>
            <m:rPr/>
            <m:t>(</m:t>
          </m:r>
          <m:r>
            <m:rPr/>
            <m:t>t</m:t>
          </m:r>
          <m:r>
            <m:rPr/>
            <m:t>)</m:t>
          </m:r>
          <m:r>
            <m:rPr/>
            <m:t> </m:t>
          </m:r>
          <m:r>
            <m:rPr/>
            <m:t>−</m:t>
          </m:r>
          <m:r>
            <m:rPr/>
            <m:t> </m:t>
          </m:r>
          <m:r>
            <m:rPr/>
            <m:t>(</m:t>
          </m:r>
          <m:r>
            <m:rPr/>
            <m:t>Λ</m:t>
          </m:r>
          <m:r>
            <m:rPr/>
            <m:t> </m:t>
          </m:r>
          <m:r>
            <m:rPr/>
            <m:t>M</m:t>
          </m:r>
          <m:r>
            <m:rPr/>
            <m:t>)</m:t>
          </m:r>
        </m:oMath>
      </m:oMathPara>
    </w:p>
    <w:p>
      <w:pPr>
        <w:pStyle w:val="BodyText"/>
      </w:pPr>
      <w:r>
        <w:t xml:space="preserve">where</w:t>
      </w:r>
      <w:r>
        <w:t xml:space="preserve"> </w:t>
      </w:r>
      <m:oMath>
        <m:r>
          <m:rPr/>
          <m:t>θ</m:t>
        </m:r>
      </m:oMath>
      <w:r>
        <w:t xml:space="preserve"> </w:t>
      </w:r>
      <w:r>
        <w:t xml:space="preserve">is the component specific biomass partitioning to whole plant biomass (%) and</w:t>
      </w:r>
      <w:r>
        <w:t xml:space="preserve"> </w:t>
      </w:r>
      <m:oMath>
        <m:r>
          <m:rPr/>
          <m:t>Λ</m:t>
        </m:r>
      </m:oMath>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Heading2"/>
      </w:pPr>
      <w:bookmarkStart w:id="32" w:name="model-parameters-and-simulations"/>
      <w:bookmarkEnd w:id="32"/>
      <w:r>
        <w:t xml:space="preserve">Model parameters and simulations</w:t>
      </w:r>
    </w:p>
    <w:p>
      <w:pPr>
        <w:pStyle w:val="FirstParagraph"/>
      </w:pPr>
      <w:r>
        <w:rPr>
          <w:i/>
        </w:rPr>
        <w:t xml:space="preserve">P</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P</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P</w:t>
      </w:r>
      <w:r>
        <w:t xml:space="preserve"> </w:t>
      </w:r>
      <w:r>
        <w:t xml:space="preserve">for each soil volume treatment, one value for each day of the experiment. Thus, each daily time step for model runs included a value of</w:t>
      </w:r>
      <w:r>
        <w:t xml:space="preserve"> </w:t>
      </w:r>
      <w:r>
        <w:rPr>
          <w:i/>
        </w:rPr>
        <w:t xml:space="preserve">P</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Accurately modeling canopy photosynthesis requires inclusion of the heterogenous nature of light availability that occurs from self-shading and the limitations this then imposes on leaf</w:t>
      </w:r>
      <w:r>
        <w:t xml:space="preserve"> </w:t>
      </w:r>
      <w:r>
        <w:rPr>
          <w:i/>
        </w:rPr>
        <w:t xml:space="preserve">A</w:t>
      </w:r>
      <w:r>
        <w:rPr>
          <w:vertAlign w:val="subscript"/>
          <w:i/>
        </w:rPr>
        <w:t xml:space="preserve">n</w:t>
      </w:r>
      <w:r>
        <w:t xml:space="preserve"> </w:t>
      </w:r>
      <w:r>
        <w:t xml:space="preserve">(De Pury &amp; Farquhar, 1997; Marchiori</w:t>
      </w:r>
      <w:r>
        <w:t xml:space="preserve"> </w:t>
      </w:r>
      <w:r>
        <w:rPr>
          <w:i/>
        </w:rPr>
        <w:t xml:space="preserve">et al.</w:t>
      </w:r>
      <w:r>
        <w:t xml:space="preserve">, 2014)</w:t>
      </w:r>
      <w:r>
        <w:t xml:space="preserve">.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P</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leaf mass fraction (LMF) which correctly predicted both the leaf mass and total biomass of the harvested free seedlings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P</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P</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P</w:t>
      </w:r>
      <w:r>
        <w:t xml:space="preserve"> </w:t>
      </w:r>
      <w:r>
        <w:t xml:space="preserve">by first scaling values to the free seedling control.</w:t>
      </w:r>
    </w:p>
    <w:p>
      <w:pPr>
        <w:pStyle w:val="Heading2"/>
      </w:pPr>
      <w:bookmarkStart w:id="33" w:name="data-analysis"/>
      <w:bookmarkEnd w:id="33"/>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4" w:name="results"/>
      <w:bookmarkEnd w:id="34"/>
      <w:r>
        <w:t xml:space="preserve">Results</w:t>
      </w:r>
    </w:p>
    <w:p>
      <w:pPr>
        <w:pStyle w:val="Heading2"/>
      </w:pPr>
      <w:bookmarkStart w:id="35" w:name="growth-and-morphology"/>
      <w:bookmarkEnd w:id="35"/>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6" w:name="leaf-and-root-chemistry"/>
      <w:bookmarkEnd w:id="36"/>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7" w:name="gas-exchange-and-photosynthetic-parameters"/>
      <w:bookmarkEnd w:id="37"/>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w:t>
      </w:r>
      <w:r>
        <w:rPr>
          <w:vertAlign w:val="subscript"/>
        </w:rPr>
        <w:t xml:space="preserve">f</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w:t>
      </w:r>
      <w:r>
        <w:rPr>
          <w:vertAlign w:val="subscript"/>
        </w:rPr>
        <w:t xml:space="preserve">f</w:t>
      </w:r>
      <w:r>
        <w:t xml:space="preserve"> </w:t>
      </w:r>
      <w:r>
        <w:t xml:space="preserve">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w:t>
      </w:r>
      <w:r>
        <w:rPr>
          <w:vertAlign w:val="subscript"/>
        </w:rPr>
        <w:t xml:space="preserve">f</w:t>
      </w:r>
      <w:r>
        <w:t xml:space="preserve"> </w:t>
      </w:r>
      <w:r>
        <w:t xml:space="preserve">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w:t>
      </w:r>
      <w:r>
        <w:rPr>
          <w:vertAlign w:val="subscript"/>
        </w:rPr>
        <w:t xml:space="preserve">f</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w:t>
      </w:r>
      <w:r>
        <w:rPr>
          <w:vertAlign w:val="subscript"/>
        </w:rPr>
        <w:t xml:space="preserve">f</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Overall, the J</w:t>
      </w:r>
      <w:r>
        <w:rPr>
          <w:vertAlign w:val="subscript"/>
        </w:rPr>
        <w:t xml:space="preserve">max</w:t>
      </w:r>
      <w:r>
        <w:t xml:space="preserve">:Vc</w:t>
      </w:r>
      <w:r>
        <w:rPr>
          <w:vertAlign w:val="subscript"/>
        </w:rPr>
        <w:t xml:space="preserve">max</w:t>
      </w:r>
      <w:r>
        <w:t xml:space="preserve"> </w:t>
      </w:r>
      <w:r>
        <w:t xml:space="preserve">ratio was relatively conserved across all treatments (1.6±0.02), which is consistent with findings across many tree species</w:t>
      </w:r>
      <w:r>
        <w:t xml:space="preserve"> </w:t>
      </w:r>
      <w:r>
        <w:t xml:space="preserve">(Medlyn, 1996; Leuning, 1997; Medlyn</w:t>
      </w:r>
      <w:r>
        <w:t xml:space="preserve"> </w:t>
      </w:r>
      <w:r>
        <w:rPr>
          <w:i/>
        </w:rPr>
        <w:t xml:space="preserve">et al.</w:t>
      </w:r>
      <w:r>
        <w:t xml:space="preserve">, 1999; Warren</w:t>
      </w:r>
      <w:r>
        <w:t xml:space="preserve"> </w:t>
      </w:r>
      <w:r>
        <w:rPr>
          <w:i/>
        </w:rPr>
        <w:t xml:space="preserve">et al.</w:t>
      </w:r>
      <w:r>
        <w:t xml:space="preserve">, 2003; Crous</w:t>
      </w:r>
      <w:r>
        <w:t xml:space="preserve"> </w:t>
      </w:r>
      <w:r>
        <w:rPr>
          <w:i/>
        </w:rPr>
        <w:t xml:space="preserve">et al.</w:t>
      </w:r>
      <w:r>
        <w:t xml:space="preserve">, 2008)</w:t>
      </w:r>
      <w:r>
        <w:t xml:space="preserve">.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8" w:name="modelling-seedling-biomass"/>
      <w:bookmarkEnd w:id="38"/>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1.0 %. Using this optimized LMF, the modeled total biomass of seedlings for each soil volume treatment (</w:t>
      </w:r>
      <w:r>
        <w:rPr>
          <w:i/>
        </w:rPr>
        <w:t xml:space="preserve">M</w:t>
      </w:r>
      <w:r>
        <w:rPr>
          <w:vertAlign w:val="subscript"/>
        </w:rPr>
        <w:t xml:space="preserve">pots</w:t>
      </w:r>
      <w:r>
        <w:t xml:space="preserve">) was on average 11±2.3 g C more than measured seedling biomass when compared against predicted total net leaf C gain (Figure 6a). As a result, seedling C mass was overestimated by an average of 45±6.2 %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Heading1"/>
      </w:pPr>
      <w:bookmarkStart w:id="39" w:name="discussion"/>
      <w:bookmarkEnd w:id="39"/>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0" w:name="reductions-in-growth-and-physiology-under-sink-limitation"/>
      <w:bookmarkEnd w:id="40"/>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water availability or nutrient content,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w:t>
      </w:r>
      <w:r>
        <w:rPr>
          <w:vertAlign w:val="subscript"/>
        </w:rPr>
        <w:t xml:space="preserve">f</w:t>
      </w:r>
      <w:r>
        <w:t xml:space="preserve"> </w:t>
      </w:r>
      <w:r>
        <w:t xml:space="preserve">and leaf N</w:t>
      </w:r>
      <w:r>
        <w:rPr>
          <w:vertAlign w:val="subscript"/>
        </w:rPr>
        <w:t xml:space="preserve">f</w:t>
      </w:r>
      <w:r>
        <w:t xml:space="preserve"> </w:t>
      </w:r>
      <w:r>
        <w:t xml:space="preserve">was considerably reduced for seedlings in containers. Since reductions in leaf N</w:t>
      </w:r>
      <w:r>
        <w:rPr>
          <w:vertAlign w:val="subscript"/>
        </w:rPr>
        <w:t xml:space="preserve">f</w:t>
      </w:r>
      <w:r>
        <w:t xml:space="preserve"> </w:t>
      </w:r>
      <w:r>
        <w:t xml:space="preserve">were detected with TNC-free leaf mass, TNC dilution of leaf N was accounted for in all seedlings. It it possible that either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w:t>
      </w:r>
      <w:r>
        <w:rPr>
          <w:vertAlign w:val="subscript"/>
        </w:rPr>
        <w:t xml:space="preserve">f</w:t>
      </w:r>
      <w:r>
        <w:t xml:space="preserve"> </w:t>
      </w:r>
      <w:r>
        <w:t xml:space="preserve">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w:t>
      </w:r>
      <w:r>
        <w:rPr>
          <w:vertAlign w:val="subscript"/>
        </w:rPr>
        <w:t xml:space="preserve">f</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1" w:name="biomass-partitioning-under-sink-limitation"/>
      <w:bookmarkEnd w:id="41"/>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2" w:name="do-reductions-in-photosynthesis-explain-reductions-in-seedling-growth"/>
      <w:bookmarkEnd w:id="42"/>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w:t>
      </w:r>
    </w:p>
    <w:p>
      <w:pPr>
        <w:pStyle w:val="BodyText"/>
      </w:pPr>
      <w:r>
        <w:br w:type="textWrapping"/>
      </w:r>
      <w:r>
        <w:t xml:space="preserve">Focusing only on empirical results in this study points to</w:t>
      </w:r>
      <w:r>
        <w:t xml:space="preserve"> </w:t>
      </w:r>
      <w:r>
        <w:rPr>
          <w:i/>
        </w:rPr>
        <w:t xml:space="preserve">A</w:t>
      </w:r>
      <w:r>
        <w:rPr>
          <w:vertAlign w:val="subscript"/>
        </w:rPr>
        <w:t xml:space="preserve">n</w:t>
      </w:r>
      <w:r>
        <w:t xml:space="preserve"> </w:t>
      </w:r>
      <w:r>
        <w:t xml:space="preserve">driving reductions in seedling growth. Our modelling results reveal that other components of the C balance, beyond</w:t>
      </w:r>
      <w:r>
        <w:t xml:space="preserve"> </w:t>
      </w:r>
      <w:r>
        <w:rPr>
          <w:i/>
        </w:rPr>
        <w:t xml:space="preserve">A</w:t>
      </w:r>
      <w:r>
        <w:rPr>
          <w:vertAlign w:val="subscript"/>
        </w:rPr>
        <w:t xml:space="preserve">n</w:t>
      </w:r>
      <w:r>
        <w:t xml:space="preserve">, are required to explain the observed seedling biomass response to sink manipulation. This discrepancy is noteworty, as partial accounting of the different mechaninsms involved in plant carbon balance can lead to erroneous conclusions</w:t>
      </w:r>
      <w:r>
        <w:t xml:space="preserve"> </w:t>
      </w:r>
      <w:r>
        <w:t xml:space="preserve">(Valentini</w:t>
      </w:r>
      <w:r>
        <w:t xml:space="preserve"> </w:t>
      </w:r>
      <w:r>
        <w:rPr>
          <w:i/>
        </w:rPr>
        <w:t xml:space="preserve">et al.</w:t>
      </w:r>
      <w:r>
        <w:t xml:space="preserve">, 2000)</w:t>
      </w:r>
      <w:r>
        <w:t xml:space="preserve">. For example, the fraction of photosynthate used in respiration is known to vary depending on species and local environmental conditions</w:t>
      </w:r>
      <w:r>
        <w:t xml:space="preserve"> </w:t>
      </w:r>
      <w:r>
        <w:t xml:space="preserve">(Lambers</w:t>
      </w:r>
      <w:r>
        <w:t xml:space="preserve"> </w:t>
      </w:r>
      <w:r>
        <w:rPr>
          <w:i/>
        </w:rPr>
        <w:t xml:space="preserve">et al.</w:t>
      </w:r>
      <w:r>
        <w:t xml:space="preserve">, 2008)</w:t>
      </w:r>
      <w:r>
        <w:t xml:space="preserve">, yet is often considered a static parameter in process based growth models. The use of fixed rates of respiration in our model likely underestimates seedling responses to sink limitation. Thus,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However, the degree to which these mechanisms regulate the C available for growth will undoubtedly shift across different species and environmental conditions.</w:t>
      </w:r>
    </w:p>
    <w:p>
      <w:pPr>
        <w:pStyle w:val="Heading2"/>
      </w:pPr>
      <w:bookmarkStart w:id="43" w:name="conclusions"/>
      <w:bookmarkEnd w:id="43"/>
      <w:r>
        <w:t xml:space="preserve">Conclusions</w:t>
      </w:r>
    </w:p>
    <w:p>
      <w:pPr>
        <w:pStyle w:val="FirstParagraph"/>
      </w:pPr>
      <w:r>
        <w:t xml:space="preserve">With a novel field-based design we detected a massive effect of container volume on seedling growth, when compared with naturally planted seedlings. This finding is important as manipulations of plants grown in containers are often used to draw conclusions about growth and physiological principles, but how these results actually reflect field-grown plants is seldom studied. Although biomass partitioning was conserved, our empirical and model results suggest that the amount of photosynthate allocated to non-biomass pools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It has been suggested that tissue sink activity strongly feedbacks onto source activity, causing growth to control</w:t>
      </w:r>
      <w:r>
        <w:t xml:space="preserve"> </w:t>
      </w:r>
      <w:r>
        <w:rPr>
          <w:i/>
        </w:rPr>
        <w:t xml:space="preserve">A</w:t>
      </w:r>
      <w:r>
        <w:rPr>
          <w:vertAlign w:val="subscript"/>
        </w:rPr>
        <w:t xml:space="preserve">n</w:t>
      </w:r>
      <w:r>
        <w:t xml:space="preserve"> </w:t>
      </w:r>
      <w:r>
        <w:t xml:space="preserve">through the demand for C</w:t>
      </w:r>
      <w:r>
        <w:t xml:space="preserve"> </w:t>
      </w:r>
      <w:r>
        <w:t xml:space="preserve">(Körner, 2013, 2015)</w:t>
      </w:r>
      <w:r>
        <w:t xml:space="preserve">. Although this may be true, our results imply that quantifying the fate of assimilated C into known pools of growth, storage and C loss are needed prior to addressing this debate. The approach used here has the flexibility to account for multiple drivers of C allocation and provides an avenue to address future questions regarding the impact of environmental change on plant growth.</w:t>
      </w:r>
    </w:p>
    <w:p>
      <w:pPr>
        <w:pStyle w:val="Heading1"/>
      </w:pPr>
      <w:bookmarkStart w:id="44" w:name="tables"/>
      <w:bookmarkEnd w:id="44"/>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SLA</w:t>
      </w:r>
      <w:r>
        <w:rPr>
          <w:vertAlign w:val="subscript"/>
        </w:rPr>
        <w:t xml:space="preserve">f</w:t>
      </w:r>
      <w:r>
        <w:t xml:space="preserve">, leaf starch, leaf sugars and leaf N</w:t>
      </w:r>
      <w:r>
        <w:rPr>
          <w:vertAlign w:val="subscript"/>
        </w:rPr>
        <w:t xml:space="preserve">f</w:t>
      </w:r>
      <w:r>
        <w:t xml:space="preserve"> </w:t>
      </w:r>
      <w:r>
        <w:t xml:space="preserve">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319.444444444443"/>
        <w:tblLook w:firstRow="1"/>
      </w:tblPr>
      <w:tblGrid>
        <w:gridCol w:w="2750"/>
        <w:gridCol w:w="2530"/>
        <w:gridCol w:w="2860"/>
        <w:gridCol w:w="2310"/>
        <w:gridCol w:w="2310"/>
        <w:gridCol w:w="209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f</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w:t>
            </w:r>
            <w:r>
              <w:rPr>
                <w:vertAlign w:val="subscript"/>
                <w:b/>
              </w:rPr>
              <w:t xml:space="preserve">f</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5625.0"/>
        <w:tblLook w:firstRow="1"/>
      </w:tblPr>
      <w:tblGrid>
        <w:gridCol w:w="2750"/>
        <w:gridCol w:w="176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5" w:name="figures"/>
      <w:bookmarkEnd w:id="45"/>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6"/>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8"/>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1"/>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2" w:name="supporting-information"/>
      <w:bookmarkEnd w:id="52"/>
      <w:r>
        <w:t xml:space="preserve">Supporting Information</w:t>
      </w:r>
    </w:p>
    <w:p>
      <w:pPr>
        <w:pStyle w:val="FirstParagraph"/>
      </w:pPr>
      <w:r>
        <w:rPr>
          <w:b/>
        </w:rPr>
        <w:t xml:space="preserve">Table S1</w:t>
      </w:r>
      <w:r>
        <w:t xml:space="preserve">.Seedling growth model default parameters.</w:t>
      </w:r>
    </w:p>
    <w:tbl>
      <w:tblPr>
        <w:tblStyle w:val="TableNormal"/>
        <w:tblW w:type="pct" w:w="8402.777777777777"/>
        <w:tblLook w:firstRow="1"/>
      </w:tblPr>
      <w:tblGrid>
        <w:gridCol w:w="220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rPr>
                <w:i/>
              </w:rP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rPr>
                <w:i/>
              </w:rP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rPr>
                <w:i/>
              </w:rP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rPr>
                <w:i/>
              </w:rPr>
              <w:t xml:space="preserve">P</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Chapin FS</w:t>
      </w:r>
      <w:r>
        <w:rPr>
          <w:b/>
        </w:rPr>
        <w:t xml:space="preserve">,</w:t>
      </w:r>
      <w:r>
        <w:rPr>
          <w:b/>
        </w:rPr>
        <w:t xml:space="preserve"> </w:t>
      </w:r>
      <w:r>
        <w:rPr>
          <w:b w:val="0"/>
          <w:b/>
        </w:rPr>
        <w:t xml:space="preserve">Schulze E-D</w:t>
      </w:r>
      <w:r>
        <w:rPr>
          <w:b/>
        </w:rPr>
        <w:t xml:space="preserve">,</w:t>
      </w:r>
      <w:r>
        <w:rPr>
          <w:b/>
        </w:rPr>
        <w:t xml:space="preserve"> </w:t>
      </w:r>
      <w:r>
        <w:rPr>
          <w:b w:val="0"/>
          <w:b/>
        </w:rPr>
        <w:t xml:space="preserve">Mooney HA</w:t>
      </w:r>
      <w:r>
        <w:t xml:space="preserve">.</w:t>
      </w:r>
      <w:r>
        <w:t xml:space="preserve"> </w:t>
      </w:r>
      <w:r>
        <w:rPr>
          <w:b/>
        </w:rPr>
        <w:t xml:space="preserve">1990</w:t>
      </w:r>
      <w:r>
        <w:t xml:space="preserve">. The ecology and economics of storage in plants.</w:t>
      </w:r>
      <w:r>
        <w:t xml:space="preserve"> </w:t>
      </w:r>
      <w:r>
        <w:rPr>
          <w:i/>
        </w:rPr>
        <w:t xml:space="preserve">Annual review of ecology and systematics</w:t>
      </w:r>
      <w:r>
        <w:t xml:space="preserve"> </w:t>
      </w:r>
      <w:r>
        <w:rPr>
          <w:b/>
        </w:rPr>
        <w:t xml:space="preserve">21</w:t>
      </w:r>
      <w:r>
        <w:t xml:space="preserve">: 423–447.</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w:r>
        <w:rPr>
          <w:i/>
        </w:rPr>
        <w:t xml:space="preserve">Eucalyptus globulus</w:t>
      </w:r>
      <w:r>
        <w:t xml:space="preserve"> </w:t>
      </w:r>
      <w:r>
        <w:t xml:space="preserve">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Crous KY</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2008</w:t>
      </w:r>
      <w:r>
        <w:t xml:space="preserve">. Elevated CO</w:t>
      </w:r>
      <w:r>
        <w:rPr>
          <w:vertAlign w:val="subscript"/>
        </w:rPr>
        <w:t xml:space="preserve">2</w:t>
      </w:r>
      <w:r>
        <w:t xml:space="preserve"> </w:t>
      </w:r>
      <w:r>
        <w:t xml:space="preserve">concentration affects leaf photosynthesis–nitrogen relationships in</w:t>
      </w:r>
      <w:r>
        <w:t xml:space="preserve"> </w:t>
      </w:r>
      <w:r>
        <w:rPr>
          <w:i/>
        </w:rPr>
        <w:t xml:space="preserve">Pinus taeda</w:t>
      </w:r>
      <w:r>
        <w:t xml:space="preserve"> </w:t>
      </w:r>
      <w:r>
        <w:t xml:space="preserve">over nine years in FACE.</w:t>
      </w:r>
      <w:r>
        <w:t xml:space="preserve"> </w:t>
      </w:r>
      <w:r>
        <w:rPr>
          <w:i/>
        </w:rPr>
        <w:t xml:space="preserve">Tree Physiology</w:t>
      </w:r>
      <w:r>
        <w:t xml:space="preserve"> </w:t>
      </w:r>
      <w:r>
        <w:rPr>
          <w:b/>
        </w:rPr>
        <w:t xml:space="preserve">28</w:t>
      </w:r>
      <w:r>
        <w:t xml:space="preserve">: 607–614.</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w:r>
        <w:rPr>
          <w:i/>
        </w:rPr>
        <w:t xml:space="preserve">Eucalyptus</w:t>
      </w:r>
      <w:r>
        <w:t xml:space="preserve"> </w:t>
      </w:r>
      <w:r>
        <w:t xml:space="preserve">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r>
        <w:t xml:space="preserve"> </w:t>
      </w:r>
      <w:r>
        <w:rPr>
          <w:b/>
        </w:rPr>
        <w:t xml:space="preserve">2013</w:t>
      </w:r>
      <w:r>
        <w:t xml:space="preserve">. Whole-plant versus leaf-level regulation of photosynthetic responses after partial defoliation in</w:t>
      </w:r>
      <w:r>
        <w:t xml:space="preserve"> </w:t>
      </w:r>
      <w:r>
        <w:rPr>
          <w:i/>
        </w:rPr>
        <w:t xml:space="preserve">Eucalyptus globulus</w:t>
      </w:r>
      <w:r>
        <w:t xml:space="preserve"> </w:t>
      </w:r>
      <w:r>
        <w:t xml:space="preserve">saplings.</w:t>
      </w:r>
      <w:r>
        <w:t xml:space="preserve"> </w:t>
      </w:r>
      <w:r>
        <w:rPr>
          <w:i/>
        </w:rPr>
        <w:t xml:space="preserve">Journal of Experimental Botany</w:t>
      </w:r>
      <w:r>
        <w:t xml:space="preserve"> </w:t>
      </w:r>
      <w:r>
        <w:rPr>
          <w:b/>
        </w:rPr>
        <w:t xml:space="preserve">64</w:t>
      </w:r>
      <w:r>
        <w:t xml:space="preserve">: 1625–1636.</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w:r>
        <w:rPr>
          <w:i/>
        </w:rPr>
        <w:t xml:space="preserve">Eucalyptus grandis</w:t>
      </w:r>
      <w:r>
        <w:t xml:space="preserve"> </w:t>
      </w:r>
      <w:r>
        <w:t xml:space="preserve">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Körner C</w:t>
      </w:r>
      <w:r>
        <w:t xml:space="preserve">.</w:t>
      </w:r>
      <w:r>
        <w:t xml:space="preserve"> </w:t>
      </w:r>
      <w:r>
        <w:rPr>
          <w:b/>
        </w:rPr>
        <w:t xml:space="preserve">2015</w:t>
      </w:r>
      <w:r>
        <w:t xml:space="preserve">. Paradigm shift in plant growth control.</w:t>
      </w:r>
      <w:r>
        <w:t xml:space="preserve"> </w:t>
      </w:r>
      <w:r>
        <w:rPr>
          <w:i/>
        </w:rPr>
        <w:t xml:space="preserve">Current Opinion in Plant Biology</w:t>
      </w:r>
      <w:r>
        <w:t xml:space="preserve"> </w:t>
      </w:r>
      <w:r>
        <w:rPr>
          <w:b/>
        </w:rPr>
        <w:t xml:space="preserve">25</w:t>
      </w:r>
      <w:r>
        <w:t xml:space="preserve">: 107–114.</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w:r>
        <w:rPr>
          <w:i/>
        </w:rPr>
        <w:t xml:space="preserve">Prunus cerasus</w:t>
      </w:r>
      <w:r>
        <w:t xml:space="preserve"> </w:t>
      </w:r>
      <w:r>
        <w:t xml:space="preserve">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Leuning R</w:t>
      </w:r>
      <w:r>
        <w:t xml:space="preserve">.</w:t>
      </w:r>
      <w:r>
        <w:t xml:space="preserve"> </w:t>
      </w:r>
      <w:r>
        <w:rPr>
          <w:b/>
        </w:rPr>
        <w:t xml:space="preserve">1997</w:t>
      </w:r>
      <w:r>
        <w:t xml:space="preserve">. Scaling to a common temperature improves the correlation between the photosynthesis parameters Jmax and Vcmax.</w:t>
      </w:r>
      <w:r>
        <w:t xml:space="preserve"> </w:t>
      </w:r>
      <w:r>
        <w:rPr>
          <w:i/>
        </w:rPr>
        <w:t xml:space="preserve">Journal of Experimental Botany</w:t>
      </w:r>
      <w:r>
        <w:t xml:space="preserve"> </w:t>
      </w:r>
      <w:r>
        <w:rPr>
          <w:b/>
        </w:rPr>
        <w:t xml:space="preserve">48</w:t>
      </w:r>
      <w:r>
        <w:t xml:space="preserve">: 345–347.</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Marchiori PER</w:t>
      </w:r>
      <w:r>
        <w:rPr>
          <w:b/>
        </w:rPr>
        <w:t xml:space="preserve">,</w:t>
      </w:r>
      <w:r>
        <w:rPr>
          <w:b/>
        </w:rPr>
        <w:t xml:space="preserve"> </w:t>
      </w:r>
      <w:r>
        <w:rPr>
          <w:b w:val="0"/>
          <w:b/>
        </w:rPr>
        <w:t xml:space="preserve">Machado EC</w:t>
      </w:r>
      <w:r>
        <w:rPr>
          <w:b/>
        </w:rPr>
        <w:t xml:space="preserve">,</w:t>
      </w:r>
      <w:r>
        <w:rPr>
          <w:b/>
        </w:rPr>
        <w:t xml:space="preserve"> </w:t>
      </w:r>
      <w:r>
        <w:rPr>
          <w:b w:val="0"/>
          <w:b/>
        </w:rPr>
        <w:t xml:space="preserve">Ribeiro RV</w:t>
      </w:r>
      <w:r>
        <w:t xml:space="preserve">.</w:t>
      </w:r>
      <w:r>
        <w:t xml:space="preserve"> </w:t>
      </w:r>
      <w:r>
        <w:rPr>
          <w:b/>
        </w:rPr>
        <w:t xml:space="preserve">2014</w:t>
      </w:r>
      <w:r>
        <w:t xml:space="preserve">. Photosynthetic limitations imposed by self-shading in field-grown sugarcane varieties.</w:t>
      </w:r>
      <w:r>
        <w:t xml:space="preserve"> </w:t>
      </w:r>
      <w:r>
        <w:rPr>
          <w:i/>
        </w:rPr>
        <w:t xml:space="preserve">Field Crops Research</w:t>
      </w:r>
      <w:r>
        <w:t xml:space="preserve"> </w:t>
      </w:r>
      <w:r>
        <w:rPr>
          <w:b/>
        </w:rPr>
        <w:t xml:space="preserve">155</w:t>
      </w:r>
      <w:r>
        <w:t xml:space="preserve">: 30–37.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w:r>
        <w:rPr>
          <w:i/>
        </w:rPr>
        <w:t xml:space="preserve">Betula pubescens</w:t>
      </w:r>
      <w:r>
        <w:t xml:space="preserve">.</w:t>
      </w:r>
      <w:r>
        <w:t xml:space="preserve"> </w:t>
      </w:r>
      <w:r>
        <w:rPr>
          <w:i/>
        </w:rPr>
        <w:t xml:space="preserve">Oecologia</w:t>
      </w:r>
      <w:r>
        <w:t xml:space="preserve"> </w:t>
      </w:r>
      <w:r>
        <w:rPr>
          <w:b/>
        </w:rPr>
        <w:t xml:space="preserve">140</w:t>
      </w:r>
      <w:r>
        <w:t xml:space="preserve">: 234–240.</w:t>
      </w:r>
    </w:p>
    <w:p>
      <w:pPr>
        <w:pStyle w:val="Bibliography"/>
      </w:pPr>
      <w:r>
        <w:rPr>
          <w:b w:val="0"/>
          <w:b/>
        </w:rPr>
        <w:t xml:space="preserve">Mäkelä A</w:t>
      </w:r>
      <w:r>
        <w:t xml:space="preserve">.</w:t>
      </w:r>
      <w:r>
        <w:t xml:space="preserve"> </w:t>
      </w:r>
      <w:r>
        <w:rPr>
          <w:b/>
        </w:rPr>
        <w:t xml:space="preserve">1997</w:t>
      </w:r>
      <w:r>
        <w:t xml:space="preserve">. A carbon balance model of growth and self-pruning in trees based on structural relationships.</w:t>
      </w:r>
      <w:r>
        <w:t xml:space="preserve"> </w:t>
      </w:r>
      <w:r>
        <w:rPr>
          <w:i/>
        </w:rPr>
        <w:t xml:space="preserve">Forest Science</w:t>
      </w:r>
      <w:r>
        <w:t xml:space="preserve"> </w:t>
      </w:r>
      <w:r>
        <w:rPr>
          <w:b/>
        </w:rPr>
        <w:t xml:space="preserve">43</w:t>
      </w:r>
      <w:r>
        <w:t xml:space="preserve">: 7–24.</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t xml:space="preserve">.</w:t>
      </w:r>
      <w:r>
        <w:t xml:space="preserve"> </w:t>
      </w:r>
      <w:r>
        <w:rPr>
          <w:b/>
        </w:rPr>
        <w:t xml:space="preserve">1996</w:t>
      </w:r>
      <w:r>
        <w:t xml:space="preserve">. The optimal allocation of nitrogen within the C3 photosynthetic system at elevated CO</w:t>
      </w:r>
      <w:r>
        <w:rPr>
          <w:vertAlign w:val="subscript"/>
        </w:rPr>
        <w:t xml:space="preserve">2</w:t>
      </w:r>
      <w:r>
        <w:t xml:space="preserve">.</w:t>
      </w:r>
      <w:r>
        <w:t xml:space="preserve"> </w:t>
      </w:r>
      <w:r>
        <w:rPr>
          <w:i/>
        </w:rPr>
        <w:t xml:space="preserve">Functional Plant Biology</w:t>
      </w:r>
      <w:r>
        <w:t xml:space="preserve"> </w:t>
      </w:r>
      <w:r>
        <w:rPr>
          <w:b/>
        </w:rPr>
        <w:t xml:space="preserve">23</w:t>
      </w:r>
      <w:r>
        <w:t xml:space="preserve">: 593–603.</w:t>
      </w:r>
    </w:p>
    <w:p>
      <w:pPr>
        <w:pStyle w:val="Bibliography"/>
      </w:pPr>
      <w:r>
        <w:rPr>
          <w:b w:val="0"/>
          <w:b/>
        </w:rPr>
        <w:t xml:space="preserve">Medlyn BE</w:t>
      </w:r>
      <w:r>
        <w:rPr>
          <w:b/>
        </w:rPr>
        <w:t xml:space="preserve">,</w:t>
      </w:r>
      <w:r>
        <w:rPr>
          <w:b/>
        </w:rPr>
        <w:t xml:space="preserve"> </w:t>
      </w:r>
      <w:r>
        <w:rPr>
          <w:b w:val="0"/>
          <w:b/>
        </w:rPr>
        <w:t xml:space="preserve">Badeck F-W</w:t>
      </w:r>
      <w:r>
        <w:rPr>
          <w:b/>
        </w:rPr>
        <w:t xml:space="preserve">,</w:t>
      </w:r>
      <w:r>
        <w:rPr>
          <w:b/>
        </w:rPr>
        <w:t xml:space="preserve"> </w:t>
      </w:r>
      <w:r>
        <w:rPr>
          <w:b w:val="0"/>
          <w:b/>
        </w:rPr>
        <w:t xml:space="preserve">De Pury DGG</w:t>
      </w:r>
      <w:r>
        <w:rPr>
          <w:b/>
        </w:rPr>
        <w:t xml:space="preserve">,</w:t>
      </w:r>
      <w:r>
        <w:rPr>
          <w:b/>
        </w:rPr>
        <w:t xml:space="preserve"> </w:t>
      </w:r>
      <w:r>
        <w:rPr>
          <w:b w:val="0"/>
          <w:b/>
        </w:rPr>
        <w:t xml:space="preserve">Barton CVM</w:t>
      </w:r>
      <w:r>
        <w:rPr>
          <w:b/>
        </w:rPr>
        <w:t xml:space="preserve">,</w:t>
      </w:r>
      <w:r>
        <w:rPr>
          <w:b/>
        </w:rPr>
        <w:t xml:space="preserve"> </w:t>
      </w:r>
      <w:r>
        <w:rPr>
          <w:b w:val="0"/>
          <w:b/>
        </w:rPr>
        <w:t xml:space="preserve">Broadmeadow M</w:t>
      </w:r>
      <w:r>
        <w:rPr>
          <w:b/>
        </w:rPr>
        <w:t xml:space="preserve">,</w:t>
      </w:r>
      <w:r>
        <w:rPr>
          <w:b/>
        </w:rPr>
        <w:t xml:space="preserve"> </w:t>
      </w:r>
      <w:r>
        <w:rPr>
          <w:b w:val="0"/>
          <w:b/>
        </w:rPr>
        <w:t xml:space="preserve">Ceulemans R</w:t>
      </w:r>
      <w:r>
        <w:rPr>
          <w:b/>
        </w:rPr>
        <w:t xml:space="preserve">,</w:t>
      </w:r>
      <w:r>
        <w:rPr>
          <w:b/>
        </w:rPr>
        <w:t xml:space="preserve"> </w:t>
      </w:r>
      <w:r>
        <w:rPr>
          <w:b w:val="0"/>
          <w:b/>
        </w:rPr>
        <w:t xml:space="preserve">De Angelis P</w:t>
      </w:r>
      <w:r>
        <w:rPr>
          <w:b/>
        </w:rPr>
        <w:t xml:space="preserve">,</w:t>
      </w:r>
      <w:r>
        <w:rPr>
          <w:b/>
        </w:rPr>
        <w:t xml:space="preserve"> </w:t>
      </w:r>
      <w:r>
        <w:rPr>
          <w:b w:val="0"/>
          <w:b/>
        </w:rPr>
        <w:t xml:space="preserve">Forstreuter M</w:t>
      </w:r>
      <w:r>
        <w:rPr>
          <w:b/>
        </w:rPr>
        <w:t xml:space="preserve">,</w:t>
      </w:r>
      <w:r>
        <w:rPr>
          <w:b/>
        </w:rPr>
        <w:t xml:space="preserve"> </w:t>
      </w:r>
      <w:r>
        <w:rPr>
          <w:b w:val="0"/>
          <w:b/>
        </w:rPr>
        <w:t xml:space="preserve">Jach ME</w:t>
      </w:r>
      <w:r>
        <w:rPr>
          <w:b/>
        </w:rPr>
        <w:t xml:space="preserve">,</w:t>
      </w:r>
      <w:r>
        <w:rPr>
          <w:b/>
        </w:rPr>
        <w:t xml:space="preserve"> </w:t>
      </w:r>
      <w:r>
        <w:rPr>
          <w:b w:val="0"/>
          <w:b/>
        </w:rPr>
        <w:t xml:space="preserve">Kellomäki S</w:t>
      </w:r>
      <w:r>
        <w:rPr>
          <w:b/>
        </w:rPr>
        <w:t xml:space="preserve"> </w:t>
      </w:r>
      <w:r>
        <w:rPr>
          <w:i/>
          <w:b/>
        </w:rPr>
        <w:t xml:space="preserve">et al.</w:t>
      </w:r>
      <w:r>
        <w:t xml:space="preserve"> </w:t>
      </w:r>
      <w:r>
        <w:rPr>
          <w:b/>
        </w:rPr>
        <w:t xml:space="preserve">1999</w:t>
      </w:r>
      <w:r>
        <w:t xml:space="preserve">. Effects of elevated [CO</w:t>
      </w:r>
      <w:r>
        <w:rPr>
          <w:vertAlign w:val="subscript"/>
        </w:rPr>
        <w:t xml:space="preserve">2</w:t>
      </w:r>
      <w:r>
        <w:t xml:space="preserve">] on photosynthesis in European forest species: a meta-analysis of model parameters.</w:t>
      </w:r>
      <w:r>
        <w:t xml:space="preserve"> </w:t>
      </w:r>
      <w:r>
        <w:rPr>
          <w:i/>
        </w:rPr>
        <w:t xml:space="preserve">Plant, Cell &amp; Environment</w:t>
      </w:r>
      <w:r>
        <w:t xml:space="preserve"> </w:t>
      </w:r>
      <w:r>
        <w:rPr>
          <w:b/>
        </w:rPr>
        <w:t xml:space="preserve">22</w:t>
      </w:r>
      <w:r>
        <w:t xml:space="preserve">: 1475–1495.</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w:t>
      </w:r>
      <w:r>
        <w:rPr>
          <w:vertAlign w:val="superscript"/>
        </w:rPr>
        <w:t xml:space="preserve">2</w:t>
      </w:r>
      <w:r>
        <w:t xml:space="preserve"> </w:t>
      </w:r>
      <w:r>
        <w:t xml:space="preserve">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w:r>
        <w:rPr>
          <w:i/>
        </w:rPr>
        <w:t xml:space="preserve">Betula pendula</w:t>
      </w:r>
      <w:r>
        <w:t xml:space="preserve"> </w:t>
      </w:r>
      <w:r>
        <w:t xml:space="preserve">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w:r>
        <w:rPr>
          <w:i/>
        </w:rPr>
        <w:t xml:space="preserve">Eucalyptus nitens</w:t>
      </w:r>
      <w:r>
        <w:t xml:space="preserve"> </w:t>
      </w:r>
      <w:r>
        <w:t xml:space="preserve">(Deane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Pinkard EA</w:t>
      </w:r>
      <w:r>
        <w:rPr>
          <w:b/>
        </w:rPr>
        <w:t xml:space="preserve">,</w:t>
      </w:r>
      <w:r>
        <w:rPr>
          <w:b/>
        </w:rPr>
        <w:t xml:space="preserve"> </w:t>
      </w:r>
      <w:r>
        <w:rPr>
          <w:b w:val="0"/>
          <w:b/>
        </w:rPr>
        <w:t xml:space="preserve">Eyles A</w:t>
      </w:r>
      <w:r>
        <w:rPr>
          <w:b/>
        </w:rPr>
        <w:t xml:space="preserve">,</w:t>
      </w:r>
      <w:r>
        <w:rPr>
          <w:b/>
        </w:rPr>
        <w:t xml:space="preserve"> </w:t>
      </w:r>
      <w:r>
        <w:rPr>
          <w:b w:val="0"/>
          <w:b/>
        </w:rPr>
        <w:t xml:space="preserve">O’Grady AP</w:t>
      </w:r>
      <w:r>
        <w:t xml:space="preserve">.</w:t>
      </w:r>
      <w:r>
        <w:t xml:space="preserve"> </w:t>
      </w:r>
      <w:r>
        <w:rPr>
          <w:b/>
        </w:rPr>
        <w:t xml:space="preserve">2011</w:t>
      </w:r>
      <w:r>
        <w:t xml:space="preserve">. Are gas exchange responses to resource limitation and defoliation linked to source: sink relationships?</w:t>
      </w:r>
      <w:r>
        <w:t xml:space="preserve"> </w:t>
      </w:r>
      <w:r>
        <w:rPr>
          <w:i/>
        </w:rPr>
        <w:t xml:space="preserve">Plant, Cell &amp; Environment</w:t>
      </w:r>
      <w:r>
        <w:t xml:space="preserve"> </w:t>
      </w:r>
      <w:r>
        <w:rPr>
          <w:b/>
        </w:rPr>
        <w:t xml:space="preserve">34</w:t>
      </w:r>
      <w:r>
        <w:t xml:space="preserve">: 1652–1665.</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w:t>
      </w:r>
      <w:r>
        <w:t xml:space="preserve"> </w:t>
      </w:r>
      <w:r>
        <w:rPr>
          <w:i/>
        </w:rPr>
        <w:t xml:space="preserve">Cucumis sativus</w:t>
      </w:r>
      <w:r>
        <w:t xml:space="preserve"> </w:t>
      </w:r>
      <w:r>
        <w:t xml:space="preserve">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w:r>
        <w:rPr>
          <w:i/>
        </w:rPr>
        <w:t xml:space="preserve">Coffea arabica</w:t>
      </w:r>
      <w:r>
        <w:t xml:space="preserve"> </w:t>
      </w:r>
      <w:r>
        <w:t xml:space="preserve">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w:r>
        <w:rPr>
          <w:i/>
        </w:rPr>
        <w:t xml:space="preserve">Eucalyptus globulus</w:t>
      </w:r>
      <w:r>
        <w:t xml:space="preserve"> </w:t>
      </w:r>
      <w:r>
        <w:t xml:space="preserve">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Warren CR</w:t>
      </w:r>
      <w:r>
        <w:rPr>
          <w:b/>
        </w:rPr>
        <w:t xml:space="preserve">,</w:t>
      </w:r>
      <w:r>
        <w:rPr>
          <w:b/>
        </w:rPr>
        <w:t xml:space="preserve"> </w:t>
      </w:r>
      <w:r>
        <w:rPr>
          <w:b w:val="0"/>
          <w:b/>
        </w:rPr>
        <w:t xml:space="preserve">Dreyer E</w:t>
      </w:r>
      <w:r>
        <w:rPr>
          <w:b/>
        </w:rPr>
        <w:t xml:space="preserve">,</w:t>
      </w:r>
      <w:r>
        <w:rPr>
          <w:b/>
        </w:rPr>
        <w:t xml:space="preserve"> </w:t>
      </w:r>
      <w:r>
        <w:rPr>
          <w:b w:val="0"/>
          <w:b/>
        </w:rPr>
        <w:t xml:space="preserve">Adams MA</w:t>
      </w:r>
      <w:r>
        <w:t xml:space="preserve">.</w:t>
      </w:r>
      <w:r>
        <w:t xml:space="preserve"> </w:t>
      </w:r>
      <w:r>
        <w:rPr>
          <w:b/>
        </w:rPr>
        <w:t xml:space="preserve">2003</w:t>
      </w:r>
      <w:r>
        <w:t xml:space="preserve">. Photosynthesis-Rubisco relationships in foliage of</w:t>
      </w:r>
      <w:r>
        <w:t xml:space="preserve"> </w:t>
      </w:r>
      <w:r>
        <w:rPr>
          <w:i/>
        </w:rPr>
        <w:t xml:space="preserve">Pinus sylvestris</w:t>
      </w:r>
      <w:r>
        <w:t xml:space="preserve"> </w:t>
      </w:r>
      <w:r>
        <w:t xml:space="preserve">in response to nitrogen supply and the proposed role of Rubisco and amino acids as nitrogen stores.</w:t>
      </w:r>
      <w:r>
        <w:t xml:space="preserve"> </w:t>
      </w:r>
      <w:r>
        <w:rPr>
          <w:i/>
        </w:rPr>
        <w:t xml:space="preserve">Trees</w:t>
      </w:r>
      <w:r>
        <w:t xml:space="preserve"> </w:t>
      </w:r>
      <w:r>
        <w:rPr>
          <w:b/>
        </w:rPr>
        <w:t xml:space="preserve">17</w:t>
      </w:r>
      <w:r>
        <w:t xml:space="preserve">: 359–366.</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8D1508">
          <w:rPr>
            <w:noProof/>
          </w:rPr>
          <w:t>9</w:t>
        </w:r>
        <w:r>
          <w:rPr>
            <w:noProof/>
          </w:rPr>
          <w:fldChar w:fldCharType="end"/>
        </w:r>
      </w:p>
    </w:sdtContent>
  </w:sdt>
  <w:p w:rsidR="006710CF" w:rsidRDefault="00EA099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beb6a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cf8960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