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University of Western Sydney,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w:t>
      </w:r>
      <w:r>
        <w:br w:type="textWrapping"/>
      </w:r>
      <w:r>
        <w:t xml:space="preserve">Introduction:</w:t>
      </w:r>
      <w:r>
        <w:br w:type="textWrapping"/>
      </w:r>
      <w:r>
        <w:t xml:space="preserve">Materials and methods:</w:t>
      </w:r>
      <w:r>
        <w:br w:type="textWrapping"/>
      </w:r>
      <w:r>
        <w:t xml:space="preserve">Results:</w:t>
      </w:r>
      <w:r>
        <w:br w:type="textWrapping"/>
      </w:r>
      <w:r>
        <w:t xml:space="preserve">Discussion:</w:t>
      </w:r>
      <w:r>
        <w:br w:type="textWrapping"/>
      </w:r>
      <w:r>
        <w:t xml:space="preserve">Acknowledgements:</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containers of different sizes and planted flush to the soil alongside freely-rooted seedlings.</w:t>
      </w:r>
    </w:p>
    <w:p>
      <w:pPr>
        <w:numPr>
          <w:numId w:val="1001"/>
          <w:ilvl w:val="0"/>
        </w:numPr>
      </w:pPr>
      <w:r>
        <w:t xml:space="preserve">Container volume negatively affected aboveground growth throughout the experiment, but mass partitioning to leaves, stems and roots was unchanged after 120 days.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carbon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t xml:space="preserve">Most current models of plant growth are based on the physical principle of mass balance: carbon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carbon balance by causing a down-regulation of photosynthetic rate, possibly mediated by carbohydrate accumulation (refs), but there is also evidence that photosynthesis and growth are decoupled under sink limitation (refs), suggesting that other processes must also be affected.</w:t>
      </w:r>
    </w:p>
    <w:p>
      <w:pPr>
        <w:pStyle w:val="BodyText"/>
      </w:pP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(e.g. Fatichi &amp; Leuzinger, 2013; 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 for C. Our goal in this paper was to investigate how the carbon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CO2 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Firstly, which physiological process best explains the down-regulation of photosynthesis? Secondly, does this down-regulation fully explain the observed response of growth, or are other components of the carbon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 Previous container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&amp; Eliassaf, 1980a,b)</w:t>
      </w:r>
      <w:r>
        <w:t xml:space="preserve">. By using a species with taproot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(&amp;pm30 m).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carbon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carbon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 J</w:t>
      </w:r>
      <w:r>
        <w:rPr>
          <w:vertAlign w:val="subscript"/>
        </w:rPr>
        <w:t xml:space="preserve">max</w:t>
      </w:r>
      <w:r>
        <w:t xml:space="preserve">:V</w:t>
      </w:r>
      <w:r>
        <w:rPr>
          <w:vertAlign w:val="subscript"/>
        </w:rPr>
        <w:t xml:space="preserve">cmax</w:t>
      </w:r>
      <w:r>
        <w:t xml:space="preserve"> </w:t>
      </w:r>
      <w:r>
        <w:t xml:space="preserve">ratio was relatively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.045 %), with minimal decreases from pre-planting values (</w:t>
      </w:r>
      <m:oMath>
        <m:bar>
          <m:barPr>
            <m:pos m:val="top"/>
          </m:barPr>
          <m:e>
            <m:r>
              <m:rPr/>
              <m:t>x</m:t>
            </m:r>
          </m:e>
        </m:bar>
      </m:oMath>
      <w:r>
        <w:t xml:space="preserve"> </w:t>
      </w:r>
      <w:r>
        <w:t xml:space="preserve">=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biomass production.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strongly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Although shifts in partitioning have been previously reported, specifically for nutrient limitation</w:t>
      </w:r>
      <w:r>
        <w:t xml:space="preserve"> </w:t>
      </w:r>
      <w:r>
        <w:t xml:space="preserve">(McConnaughay &amp; Coleman, 1999, and references therein)</w:t>
      </w:r>
      <w:r>
        <w:t xml:space="preserve">, a constant ratio of fine root mass to leaf mass was observed in this study across all treatments. These results suggest that seedlings kept a conservative strategy to maintain homeostasis with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It is instead possible that lateral root development is affected by inanimate obstacles and avoiding growth towards container walls may improve resource gain</w:t>
      </w:r>
      <w:r>
        <w:t xml:space="preserve"> </w:t>
      </w:r>
      <w:r>
        <w:t xml:space="preserve">(Falik</w:t>
      </w:r>
      <w:r>
        <w:t xml:space="preserve"> </w:t>
      </w:r>
      <w:r>
        <w:rPr>
          <w:i/>
        </w:rPr>
        <w:t xml:space="preserve">et al.</w:t>
      </w:r>
      <w:r>
        <w:t xml:space="preserve">, 2005)</w:t>
      </w:r>
      <w:r>
        <w:t xml:space="preserve">.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FRLD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SRL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carbon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Vc</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tables"/>
      <w:bookmarkEnd w:id="43"/>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rPr>
          <w:b/>
        </w:rPr>
        <w:t xml:space="preserve">Figure 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rPr>
          <w:b/>
        </w:rPr>
        <w:t xml:space="preserve">Figure 2</w:t>
      </w:r>
      <w:r>
        <w:t xml:space="preserve">. Daily maximum and minimum temperature (a), total daily PPFD (b), and daily maximum vapour pressure deficit (c) across the experiment duration in 2013.</w:t>
      </w:r>
    </w:p>
    <w:p>
      <w:pPr>
        <w:pStyle w:val="BodyText"/>
      </w:pP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w:t>
      </w:r>
      <w:r>
        <w:rPr>
          <w:i/>
        </w:rPr>
        <w:t xml:space="preserve">R</w:t>
      </w:r>
      <w:r>
        <w:rPr>
          <w:vertAlign w:val="superscript"/>
        </w:rPr>
        <w:t xml:space="preserve">2</w:t>
      </w:r>
      <w:r>
        <w:t xml:space="preserve"> </w:t>
      </w:r>
      <w:r>
        <w:t xml:space="preserve">= 0.82) with equation: log(x) = 0.983log(y) - 0.036.</w:t>
      </w:r>
    </w:p>
    <w:p>
      <w:pPr>
        <w:pStyle w:val="BodyText"/>
      </w:pPr>
      <w:r>
        <w:rPr>
          <w:b/>
        </w:rPr>
        <w:t xml:space="preserve">Figure 4</w:t>
      </w:r>
      <w:r>
        <w:t xml:space="preserve">. Soil volume treatment means ± standard error, across all measurement campaigns (n = 6), of light saturated rates of photosynthesis at 25 °C. Different letters represent significant differences between treatments.</w:t>
      </w:r>
    </w:p>
    <w:p>
      <w:pPr>
        <w:pStyle w:val="BodyText"/>
      </w:pP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28.58(N) - 3.31(Starch) - 0.87(N*Starch) - 221.96.</w:t>
      </w:r>
    </w:p>
    <w:p>
      <w:pPr>
        <w:pStyle w:val="BodyText"/>
      </w:pPr>
      <w:r>
        <w:rPr>
          <w:b/>
        </w:rPr>
        <w:t xml:space="preserve">Figure 6</w:t>
      </w:r>
      <w:r>
        <w:t xml:space="preserve">. Ratio of final biomass to modelled net leaf C gain of plants growth in different container sizes.</w:t>
      </w:r>
    </w:p>
    <w:p>
      <w:pPr>
        <w:pStyle w:val="Heading1"/>
      </w:pPr>
      <w:bookmarkStart w:id="45" w:name="acknowledgements"/>
      <w:bookmarkEnd w:id="45"/>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6" w:name="references"/>
      <w:bookmarkEnd w:id="46"/>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1980a</w:t>
      </w:r>
      <w:r>
        <w:t xml:space="preserve">. The effect of container size and aeration conditions on growth of roots and canopy of woody plants.</w:t>
      </w:r>
      <w:r>
        <w:t xml:space="preserve"> </w:t>
      </w:r>
      <w:r>
        <w:rPr>
          <w:i/>
        </w:rPr>
        <w:t xml:space="preserve">Scientia Horticulturae</w:t>
      </w:r>
      <w:r>
        <w:t xml:space="preserve"> </w:t>
      </w:r>
      <w:r>
        <w:rPr>
          <w:b/>
        </w:rPr>
        <w:t xml:space="preserve">12</w:t>
      </w:r>
      <w:r>
        <w:t xml:space="preserve">: 385–394.</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1980b</w:t>
      </w:r>
      <w:r>
        <w:t xml:space="preserve">. The effect of container shape on the development of roots and canopy of woody plants.</w:t>
      </w:r>
      <w:r>
        <w:t xml:space="preserve"> </w:t>
      </w:r>
      <w:r>
        <w:rPr>
          <w:i/>
        </w:rPr>
        <w:t xml:space="preserve">Scientia Horticulturae</w:t>
      </w:r>
      <w:r>
        <w:t xml:space="preserve"> </w:t>
      </w:r>
      <w:r>
        <w:rPr>
          <w:b/>
        </w:rPr>
        <w:t xml:space="preserve">12</w:t>
      </w:r>
      <w:r>
        <w:t xml:space="preserve">: 183–193.</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Falik O</w:t>
      </w:r>
      <w:r>
        <w:rPr>
          <w:b/>
        </w:rPr>
        <w:t xml:space="preserve">,</w:t>
      </w:r>
      <w:r>
        <w:rPr>
          <w:b/>
        </w:rPr>
        <w:t xml:space="preserve"> </w:t>
      </w:r>
      <w:r>
        <w:rPr>
          <w:b w:val="0"/>
          <w:b/>
        </w:rPr>
        <w:t xml:space="preserve">Reides P</w:t>
      </w:r>
      <w:r>
        <w:rPr>
          <w:b/>
        </w:rPr>
        <w:t xml:space="preserve">,</w:t>
      </w:r>
      <w:r>
        <w:rPr>
          <w:b/>
        </w:rPr>
        <w:t xml:space="preserve"> </w:t>
      </w:r>
      <w:r>
        <w:rPr>
          <w:b w:val="0"/>
          <w:b/>
        </w:rPr>
        <w:t xml:space="preserve">Gersani M</w:t>
      </w:r>
      <w:r>
        <w:rPr>
          <w:b/>
        </w:rPr>
        <w:t xml:space="preserve">,</w:t>
      </w:r>
      <w:r>
        <w:rPr>
          <w:b/>
        </w:rPr>
        <w:t xml:space="preserve"> </w:t>
      </w:r>
      <w:r>
        <w:rPr>
          <w:b w:val="0"/>
          <w:b/>
        </w:rPr>
        <w:t xml:space="preserve">Novoplansky A</w:t>
      </w:r>
      <w:r>
        <w:t xml:space="preserve">.</w:t>
      </w:r>
      <w:r>
        <w:t xml:space="preserve"> </w:t>
      </w:r>
      <w:r>
        <w:rPr>
          <w:b/>
        </w:rPr>
        <w:t xml:space="preserve">2005</w:t>
      </w:r>
      <w:r>
        <w:t xml:space="preserve">. Root navigation by self inhibition.</w:t>
      </w:r>
      <w:r>
        <w:t xml:space="preserve"> </w:t>
      </w:r>
      <w:r>
        <w:rPr>
          <w:i/>
        </w:rPr>
        <w:t xml:space="preserve">Plant, Cell &amp; Environment</w:t>
      </w:r>
      <w:r>
        <w:t xml:space="preserve"> </w:t>
      </w:r>
      <w:r>
        <w:rPr>
          <w:b/>
        </w:rPr>
        <w:t xml:space="preserve">28</w:t>
      </w:r>
      <w:r>
        <w:t xml:space="preserve">: 562–569.</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t xml:space="preserve">.</w:t>
      </w:r>
      <w:r>
        <w:t xml:space="preserve"> </w:t>
      </w:r>
      <w:r>
        <w:rPr>
          <w:b/>
        </w:rPr>
        <w:t xml:space="preserve">2013</w:t>
      </w:r>
      <w:r>
        <w:t xml:space="preserve">. Reconciling observations with modeling: the fate of water and carbon allocation in a mature deciduous forest exposed to elevated CO</w:t>
      </w:r>
      <w:r>
        <w:rPr>
          <w:vertAlign w:val="subscript"/>
        </w:rPr>
        <w:t xml:space="preserve">2</w:t>
      </w:r>
      <w:r>
        <w:t xml:space="preserve">.</w:t>
      </w:r>
      <w:r>
        <w:t xml:space="preserve"> </w:t>
      </w:r>
      <w:r>
        <w:rPr>
          <w:i/>
        </w:rPr>
        <w:t xml:space="preserve">Agricultural and Forest Meteorology</w:t>
      </w:r>
      <w:r>
        <w:t xml:space="preserve"> </w:t>
      </w:r>
      <w:r>
        <w:rPr>
          <w:b/>
        </w:rPr>
        <w:t xml:space="preserve">174</w:t>
      </w:r>
      <w:r>
        <w:t xml:space="preserve">: 144–157.</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McConnaughay KDM</w:t>
      </w:r>
      <w:r>
        <w:rPr>
          <w:b/>
        </w:rPr>
        <w:t xml:space="preserve">,</w:t>
      </w:r>
      <w:r>
        <w:rPr>
          <w:b/>
        </w:rPr>
        <w:t xml:space="preserve"> </w:t>
      </w:r>
      <w:r>
        <w:rPr>
          <w:b w:val="0"/>
          <w:b/>
        </w:rPr>
        <w:t xml:space="preserve">Coleman JS</w:t>
      </w:r>
      <w:r>
        <w:t xml:space="preserve">.</w:t>
      </w:r>
      <w:r>
        <w:t xml:space="preserve"> </w:t>
      </w:r>
      <w:r>
        <w:rPr>
          <w:b/>
        </w:rPr>
        <w:t xml:space="preserve">1999</w:t>
      </w:r>
      <w:r>
        <w:t xml:space="preserve">. Biomass allocation in plants: ontogeny or optimality? A test along three resource gradients.</w:t>
      </w:r>
      <w:r>
        <w:t xml:space="preserve"> </w:t>
      </w:r>
      <w:r>
        <w:rPr>
          <w:i/>
        </w:rPr>
        <w:t xml:space="preserve">Ecology</w:t>
      </w:r>
      <w:r>
        <w:t xml:space="preserve"> </w:t>
      </w:r>
      <w:r>
        <w:rPr>
          <w:b/>
        </w:rPr>
        <w:t xml:space="preserve">80</w:t>
      </w:r>
      <w:r>
        <w:t xml:space="preserve">: 2581–2593.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4da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8113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