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6.png" ContentType="image/png"/>
  <Override PartName="/word/media/rId37.png" ContentType="image/png"/>
  <Override PartName="/word/media/rId35.png" ContentType="image/png"/>
  <Override PartName="/word/media/rId40.png" ContentType="image/png"/>
  <Override PartName="/word/media/rId43.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2"/>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 the photosynthesis rate,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et al. 2012a)</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et al. 2012a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r>
        <w:t xml:space="preserve">2). As the finite pool of rooting volume and soil nutrients will decline faster in trees growing in small containers, we expected reductions in partitioning to fine root mass relative to tree size with decreasing container size.</w:t>
      </w:r>
    </w:p>
    <w:p>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r>
        <w:t xml:space="preserve">4). Last, observed seedling mass was expected to correspond to growth model mass predicted from a simple C 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roots.Previous pot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w:t>
      </w:r>
      <w:r>
        <w:t xml:space="preserve">2011)</w:t>
      </w:r>
      <w:r>
        <w:t xml:space="preserve">.</w:t>
      </w:r>
    </w:p>
    <w:p>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31" w:name="seedling-growth-model"/>
      <w:bookmarkEnd w:id="31"/>
      <w:r>
        <w:t xml:space="preserve">Seedling growth model</w:t>
      </w:r>
    </w:p>
    <w:p>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 (explained below),</w:t>
      </w:r>
      <w:r>
        <w:t xml:space="preserve"> </w:t>
      </w:r>
      <m:oMath>
        <m:r>
          <m:rPr>
            <m:sty m:val="p"/>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w:t>
      </w:r>
      <w:r>
        <w:t xml:space="preserve">Cieslak, Mik. Uses code by Robert Pearcy</w:t>
      </w:r>
      <w:r>
        <w:t xml:space="preserve"> </w:t>
      </w:r>
      <w:r>
        <w:t xml:space="preserve">and Medlyn.)</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w:t>
      </w:r>
      <w:r>
        <w:rPr>
          <w:b/>
        </w:rPr>
        <w:t xml:space="preserve">???</w:t>
      </w:r>
      <w:r>
        <w:t xml:space="preserve">)</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r>
        <w:t xml:space="preserve">Plant height, diameter and leaf area diverged between container volumes soon after start of the experiment (Figure 2.1).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(Figure 2.1).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p>
    <w:p>
      <w:r>
        <w:br w:type="textWrapping"/>
      </w:r>
      <w:r>
        <w:drawing>
          <wp:inline>
            <wp:extent cx="5440680" cy="707414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35"/>
                    <a:stretch>
                      <a:fillRect/>
                    </a:stretch>
                  </pic:blipFill>
                  <pic:spPr bwMode="auto">
                    <a:xfrm>
                      <a:off x="0" y="0"/>
                      <a:ext cx="5440680" cy="7074141"/>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br w:type="textWrapping"/>
      </w:r>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36"/>
                    <a:stretch>
                      <a:fillRect/>
                    </a:stretch>
                  </pic:blipFill>
                  <pic:spPr bwMode="auto">
                    <a:xfrm>
                      <a:off x="0" y="0"/>
                      <a:ext cx="5440680" cy="7250052"/>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sty m:val="p"/>
              </m:rPr>
              <m:t>x</m:t>
            </m:r>
          </m:e>
        </m:bar>
      </m:oMath>
      <w:r>
        <w:t xml:space="preserve"> </w:t>
      </w:r>
      <w:r>
        <w:t xml:space="preserve">= 0.904, 95% CI = [0.846,1.119]) and a near identical ratio of leaf to fine root mass (Figure 2.3c).</w:t>
      </w:r>
    </w:p>
    <w:p>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r>
        <w:br w:type="textWrapping"/>
      </w:r>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37"/>
                    <a:stretch>
                      <a:fillRect/>
                    </a:stretch>
                  </pic:blipFill>
                  <pic:spPr bwMode="auto">
                    <a:xfrm>
                      <a:off x="0" y="0"/>
                      <a:ext cx="5440680" cy="7250052"/>
                    </a:xfrm>
                    <a:prstGeom prst="rect">
                      <a:avLst/>
                    </a:prstGeom>
                    <a:noFill/>
                    <a:ln w="9525">
                      <a:noFill/>
                      <a:headEnd/>
                      <a:tailEnd/>
                    </a:ln>
                  </pic:spPr>
                </pic:pic>
              </a:graphicData>
            </a:graphic>
          </wp:inline>
        </w:draw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Pr>
              <w:pStyle w:val="Compact"/>
            </w:pPr>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8" w:name="leaf-and-root-chemistry"/>
      <w:bookmarkEnd w:id="38"/>
      <w:r>
        <w:t xml:space="preserve">Leaf and root chemistry</w:t>
      </w:r>
    </w:p>
    <w:p>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9" w:name="gas-exchange-and-photosynthetic-parameters"/>
      <w:bookmarkEnd w:id="39"/>
      <w:r>
        <w:t xml:space="preserve">Gas exchange and photosynthetic parameters</w:t>
      </w:r>
    </w:p>
    <w:p>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p>
    <w:p>
      <w:r>
        <w:br w:type="textWrapping"/>
      </w:r>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0"/>
                    <a:stretch>
                      <a:fillRect/>
                    </a:stretch>
                  </pic:blipFill>
                  <pic:spPr bwMode="auto">
                    <a:xfrm>
                      <a:off x="0" y="0"/>
                      <a:ext cx="5440680" cy="5440680"/>
                    </a:xfrm>
                    <a:prstGeom prst="rect">
                      <a:avLst/>
                    </a:prstGeom>
                    <a:noFill/>
                    <a:ln w="9525">
                      <a:noFill/>
                      <a:headEnd/>
                      <a:tailEnd/>
                    </a:ln>
                  </pic:spPr>
                </pic:pic>
              </a:graphicData>
            </a:graphic>
          </wp:inline>
        </w:drawing>
      </w:r>
    </w:p>
    <w:p>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p>
    <w:p>
      <w:r>
        <w:br w:type="textWrapping"/>
      </w:r>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1"/>
                    <a:stretch>
                      <a:fillRect/>
                    </a:stretch>
                  </pic:blipFill>
                  <pic:spPr bwMode="auto">
                    <a:xfrm>
                      <a:off x="0" y="0"/>
                      <a:ext cx="5440680" cy="4082867"/>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sty m:val="p"/>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sty m:val="p"/>
              </m:rPr>
              <m:t>x</m:t>
            </m:r>
          </m:e>
        </m:bar>
      </m:oMath>
      <w:r>
        <w:t xml:space="preserve"> </w:t>
      </w:r>
      <w:r>
        <w:t xml:space="preserve">= 4.5 %), with minimal decreases from pre-planting value (</w:t>
      </w:r>
      <m:oMath>
        <m:bar>
          <m:barPr>
            <m:pos m:val="top"/>
          </m:barPr>
          <m:e>
            <m:r>
              <m:rPr>
                <m:sty m:val="p"/>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2" w:name="modelling-seedling-biomass"/>
      <w:bookmarkEnd w:id="42"/>
      <w:r>
        <w:t xml:space="preserve">Modelling seedling biomass</w:t>
      </w:r>
    </w:p>
    <w:p>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r>
        <w:br w:type="textWrapping"/>
      </w:r>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3"/>
                    <a:stretch>
                      <a:fillRect/>
                    </a:stretch>
                  </pic:blipFill>
                  <pic:spPr bwMode="auto">
                    <a:xfrm>
                      <a:off x="0" y="0"/>
                      <a:ext cx="5440680" cy="7250052"/>
                    </a:xfrm>
                    <a:prstGeom prst="rect">
                      <a:avLst/>
                    </a:prstGeom>
                    <a:noFill/>
                    <a:ln w="9525">
                      <a:noFill/>
                      <a:headEnd/>
                      <a:tailEnd/>
                    </a:ln>
                  </pic:spPr>
                </pic:pic>
              </a:graphicData>
            </a:graphic>
          </wp:inline>
        </w:draw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4" w:name="discussion"/>
      <w:bookmarkEnd w:id="44"/>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5" w:name="reductions-in-growth-and-physiology-under-sink-limitation"/>
      <w:bookmarkEnd w:id="45"/>
      <w:r>
        <w:t xml:space="preserve">Reductions in growth and physiology under sink limitation</w:t>
      </w:r>
    </w:p>
    <w:p>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et al. 2012a)</w:t>
      </w:r>
      <w:r>
        <w:t xml:space="preserve">. It was therefore necessary to examine each of these factors to determine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6" w:name="biomass-partitioning-under-sink-limitation"/>
      <w:bookmarkEnd w:id="46"/>
      <w:r>
        <w:t xml:space="preserve">Biomass partitioning under sink limitation</w:t>
      </w:r>
    </w:p>
    <w:p>
      <w:r>
        <w:t xml:space="preserve">As biomass partitioning is likely controlled by the source and sink strength of all organs</w:t>
      </w:r>
      <w:r>
        <w:t xml:space="preserve"> </w:t>
      </w:r>
      <w:r>
        <w:t xml:space="preserve">(Poorter et al.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7" w:name="do-reductions-in-photosynthesis-explain-reductions-in-seedling-growth"/>
      <w:bookmarkEnd w:id="47"/>
      <w:r>
        <w:t xml:space="preserve">Do reductions in photosynthesis explain reductions in seedling growth?</w:t>
      </w:r>
    </w:p>
    <w:p>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w:t>
      </w:r>
      <w:r>
        <w:t xml:space="preserve">Le Roux</w:t>
      </w:r>
      <w:r>
        <w:t xml:space="preserve"> </w:t>
      </w:r>
      <w:r>
        <w:t xml:space="preserve">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8" w:name="conclusions"/>
      <w:bookmarkEnd w:id="48"/>
      <w:r>
        <w:t xml:space="preserve">Conclusions</w:t>
      </w:r>
    </w:p>
    <w:p>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9" w:name="supporting-information"/>
      <w:bookmarkEnd w:id="49"/>
      <w:r>
        <w:t xml:space="preserve">Supporting Information</w:t>
      </w:r>
    </w:p>
    <w:p>
      <w:r>
        <w:rPr>
          <w:b/>
        </w:rPr>
        <w:t xml:space="preserve">Table 2.S1</w:t>
      </w:r>
      <w:r>
        <w:t xml:space="preserve">.Seedling growth model default parameters.</w:t>
      </w:r>
    </w:p>
    <w:tbl>
      <w:tblPr>
        <w:tblStyle w:val="TableNormal"/>
        <w:tblW w:type="pct" w:w="0.0"/>
      </w:tblPr>
      <w:tblGrid/>
      <w:t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sty m:val="p"/>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sty m:val="p"/>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1" w:name="references"/>
      <w:bookmarkEnd w:id="51"/>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Cieslak, Mik. Uses code by Robert Pearcy</w:t>
      </w:r>
      <w:r>
        <w:t xml:space="preserve"> </w:t>
      </w:r>
      <w:r>
        <w:t xml:space="preserve">RDQ, Medlyn. B YplantQMC: Plant architectural analysis with Yplant and QuasiMC.</w:t>
      </w:r>
      <w:r>
        <w:t xml:space="preserve"> </w:t>
      </w:r>
      <w:hyperlink r:id="rId52">
        <w:r>
          <w:rPr>
            <w:rStyle w:val="Link"/>
          </w:rPr>
          <w:t xml:space="preserve">http://www.remkoduursma.com/yplantqmc, https://www.bitbucket.org/remkoduursma/yplantqmc/</w:t>
        </w:r>
      </w:hyperlink>
    </w:p>
    <w:p>
      <w:pPr>
        <w:pStyle w:val="Bibliography"/>
      </w:pPr>
      <w:r>
        <w:t xml:space="preserve">Crous KY, Quentin AG, Lin Y-S, Medlyn BE, Williams DG, Barton CVM, Ellsworth DS (2013) Photosynthesis of temperate 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10:e0143346.</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 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Le Roux</w:t>
      </w:r>
      <w:r>
        <w:t xml:space="preserve"> </w:t>
      </w:r>
      <w:r>
        <w:t xml:space="preserve">X, Lacointe A, Escobar-Gutiérrez A,</w:t>
      </w:r>
      <w:r>
        <w:t xml:space="preserve"> </w:t>
      </w:r>
      <w:r>
        <w:t xml:space="preserve">Le Dizès</w:t>
      </w:r>
      <w:r>
        <w:t xml:space="preserve"> </w:t>
      </w:r>
      <w:r>
        <w:t xml:space="preserve">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w:t>
      </w:r>
      <w:r>
        <w:rPr>
          <w:vertAlign w:val="superscript"/>
        </w:rPr>
        <w:t xml:space="preserve">2</w:t>
      </w:r>
      <w:r>
        <w:t xml:space="preserve"> </w:t>
      </w:r>
      <w:r>
        <w:t xml:space="preserve">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431:169–177.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(2012a)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(2012b)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3">
        <w:r>
          <w:rPr>
            <w:rStyle w:val="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df1c7b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hyperlink" Id="rId53" Target="http://www.r-project.org" TargetMode="External" /><Relationship Type="http://schemas.openxmlformats.org/officeDocument/2006/relationships/hyperlink" Id="rId52"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3" Target="http://www.r-project.org" TargetMode="External" /><Relationship Type="http://schemas.openxmlformats.org/officeDocument/2006/relationships/hyperlink" Id="rId52"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