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9.png" ContentType="image/png"/>
  <Override PartName="/word/media/rId48.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sink</w:t>
      </w:r>
      <w:r>
        <w:t xml:space="preserve"> </w:t>
      </w:r>
      <w:r>
        <w:t xml:space="preserve">limitation</w:t>
      </w:r>
      <w:r>
        <w:t xml:space="preserve"> </w:t>
      </w:r>
      <w:r>
        <w:t xml:space="preserve">on</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negatively impacting mass partitioning belowground. The accumulation of leaf non-structural carbohydrates, resulting from reduced sink strength, was expected to correlate to reductions in photosynthetic capacity. We observed a negative container effect on aboveground growth soon after the experiment started. Although growth was consistently different across soil volumes mass, partitioning to leaves, stems and roots was conserved after 120 days. Photosynthetic capacity was also significantly reduced in containers, and was related to both leaf nitrogen content and starch accumulation. We developed a seedling growth model that utilized leaf photosynthesis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A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correlated to maintain mass balance, however, at shorter temporal scales growth is not necessarily limited by the availability of recent photosynthate. This has led to the current debate over how strongly plant growth is controlled by either source of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increase in forest biomass production</w:t>
      </w:r>
      <w:r>
        <w:t xml:space="preserve"> </w:t>
      </w:r>
      <w:r>
        <w:t xml:space="preserve">(Norby et al. 2005)</w:t>
      </w:r>
      <w:r>
        <w:t xml:space="preserve">. Evidence from elevated CO</w:t>
      </w:r>
      <w:r>
        <w:rPr>
          <w:vertAlign w:val="subscript"/>
        </w:rPr>
        <w:t xml:space="preserve">2</w:t>
      </w:r>
      <w:r>
        <w:t xml:space="preserve"> </w:t>
      </w:r>
      <w:r>
        <w:t xml:space="preserve">experiments, however, also reveals that even with average photosynthetic enhancement of over 30 % the growth rate only increases by around 10 %</w:t>
      </w:r>
      <w:r>
        <w:t xml:space="preserve"> </w:t>
      </w:r>
      <w:r>
        <w:t xml:space="preserve">(Kirschbaum 2011)</w:t>
      </w:r>
      <w:r>
        <w:t xml:space="preserve">. In defoliation experiments, increases in A of the remaining foliage are commonly shown yet are attributed to variable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then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typical field conditions for woody species.</w:t>
      </w:r>
    </w:p>
    <w:p>
      <w:r>
        <w:br w:type="textWrapping"/>
      </w:r>
      <w:r>
        <w:t xml:space="preserve">An alternative experimental approach is to lower belowground C sink strength in tree seedlings by manipulating rooting volume, by varying the container size. The advantage of this approach is it allows a large range of manipulations,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 A is the process likely to be the strongest affected by pot size and may best explain the observed effect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and the limited nutrient resource pool.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small containers we expected decreases in partitioning to fine root mass with decreasing container size.</w:t>
      </w:r>
    </w:p>
    <w:p>
      <w:r>
        <w:t xml:space="preserve">3). Reduced sink strength was expected to lead to accumulation of leaf non-structural carbohydrates, which is known to inhibit A. We therefore expected a correlation between carbohydrate accumulation and photosynthetic capacity as a function of soil volume.</w:t>
      </w:r>
    </w:p>
    <w:p>
      <w:r>
        <w:t xml:space="preserve">4). Last, the growth model was expected to find agreement between observed seedlings mass and mass predicted from a simple carbon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This is generally hypothesized to be a different response than seedlings with no taproot. By using a species with tap root growth and manipulations of container length rather than width, it is believed that a more realistic test of inhibition of growth through constrained soil volume would be achieved. Six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0.5 m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accounting for natural precipitation, to maintain soil moisture at field capacity (13-15 %).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As small containers (5, 10, and 15 l) have a larger irradiation effect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cumulative leaf area (LI-3100C Area Meter; LI-COR, Lincoln, NE, USA) was measured for each seedling. Mean individual leaf area for each harvested seedling was calculated by dividing cumulative leaf area by total leaf count of only fully expanded leaves. This value was then used to interpolate cumulative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0.5 m depth.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also developed at 25 °C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TNC concentration was analyzed using a total starch assay kit (Megazyme International,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Specific leaf area (SLA,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Due to the duration of the experiment</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in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 </w:t>
      </w:r>
      <w:r>
        <w:t xml:space="preserve">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2012)</w:t>
      </w:r>
      <w:r>
        <w:t xml:space="preserve"> </w:t>
      </w:r>
      <w:r>
        <w:t xml:space="preserve">with observed g</w:t>
      </w:r>
      <w:r>
        <w:rPr>
          <w:vertAlign w:val="subscript"/>
        </w:rPr>
        <w:t xml:space="preserve">s</w:t>
      </w:r>
      <w:r>
        <w:t xml:space="preserve"> </w:t>
      </w:r>
      <w:r>
        <w:t xml:space="preserve">values. Examples of the photosynthesis model are described in Medlyn et al.</w:t>
      </w:r>
      <w:r>
        <w:t xml:space="preserve"> </w:t>
      </w:r>
      <w:r>
        <w:t xml:space="preserve">(2002)</w:t>
      </w:r>
      <w:r>
        <w:t xml:space="preserve"> </w:t>
      </w:r>
      <w:r>
        <w:t xml:space="preserve">and the approach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 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 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 ≤ 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r>
        <w:t xml:space="preserve">In this field study, colder temperatures and reductions in cumulative PPFD per day (Figure 1) most likely lead to the reduced growth in the free seedlings in the final weeks of the experiment (Figure 2). Combined with severe growth reductions in the smallest container volumes the experiment was chosen to be harvested after 120 days. Over this duration height, diameter, and leaf area diverged between container volumes (Figure 2).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Negative growth effects then manifested as severely reduced height gain and declining leaf area through time with small soil volumes across the final two months of the experiment.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 &lt; 0.001) and with free seedlings (P &lt; 0.001, Table 1). We analyzed the relationship between biomass growth with each fold increase in soil volume and found an increase of 34 %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within treatments was factored in the analysis (Figure3a,b). Across all treatments, the final harvested root:shoot was conserved in these seedlings, with a slightly higher shoot than root mass on average (</w:t>
      </w:r>
      <m:oMath>
        <m:bar>
          <m:barPr>
            <m:pos m:val="top"/>
          </m:barPr>
          <m:e>
            <m:r>
              <m:rPr>
                <m:sty m:val="p"/>
              </m:rPr>
              <m:t>x</m:t>
            </m:r>
          </m:e>
        </m:bar>
      </m:oMath>
      <w:r>
        <w:t xml:space="preserve"> </w:t>
      </w:r>
      <w:r>
        <w:t xml:space="preserve">= 0.904, Figure 2c).</w:t>
      </w:r>
    </w:p>
    <w:p>
      <w:r>
        <w:br w:type="textWrapping"/>
      </w:r>
      <w:r>
        <w:t xml:space="preserve">Overall, SRL was higher in seedlings in containers compared to free seedlings but not significantly in every soil volume treatment (Table 1). Over the duration of the experiment SLA was higher in free seedlings but was not different across containers sizes (Table 1, P &lt; 0.001) and this pattern was evident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 &lt; 0.001). Over the remaining duration of the experiment the smallest container volume had a significant reduction in leaf N % compared to other soil volumes, while free seedlings maintained the highest leaf N % (Table 1, P &lt; 0.001). Leaf starch content in the smallest container was double that of free seedlings (P=0.039), while leaf soluble sugars did not differ across treatments throughout the experiment (Table 1). Differences in leaf starch between the free seedling and the smallest container were also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 &lt; 0.001). Across all measurement campaigns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(both P &lt; 0.001). The interaction between photosynthetic capacity, leaf starch, and leaf N on a mass basis was marginally significant (P = 0.058) but A</w:t>
      </w:r>
      <w:r>
        <w:rPr>
          <w:vertAlign w:val="subscript"/>
        </w:rPr>
        <w:t xml:space="preserve">max</w:t>
      </w:r>
      <w:r>
        <w:t xml:space="preserve"> </w:t>
      </w:r>
      <w:r>
        <w:t xml:space="preserve">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w:t>
      </w:r>
    </w:p>
    <w:p>
      <w:r>
        <w:br w:type="textWrapping"/>
      </w: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not different within treatments at the beginning and end of gas exchange campaigns, therefore the parameter means per treatment are reported here (Table 2). Overall, 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with little variation between soil volume treatments (P = 0.001 &amp; 0.002, respectively).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(2012)</w:t>
      </w:r>
      <w:r>
        <w:t xml:space="preserve"> </w:t>
      </w:r>
      <w:r>
        <w:t xml:space="preserve">optimal stomatal conductance model, was lowest in the free seedling and was marginally different across soil volume treatments (Table 2). Predicted values of g</w:t>
      </w:r>
      <w:r>
        <w:rPr>
          <w:vertAlign w:val="subscript"/>
        </w:rPr>
        <w:t xml:space="preserve">s</w:t>
      </w:r>
      <w:r>
        <w:t xml:space="preserve">, using the g</w:t>
      </w:r>
      <w:r>
        <w:rPr>
          <w:vertAlign w:val="subscript"/>
        </w:rPr>
        <w:t xml:space="preserve">1</w:t>
      </w:r>
      <w:r>
        <w:t xml:space="preserve"> </w:t>
      </w:r>
      <w:r>
        <w:t xml:space="preserve">parameter, where highly correlated with observed values (R</w:t>
      </w:r>
      <w:r>
        <w:rPr>
          <w:vertAlign w:val="superscript"/>
        </w:rPr>
        <w:t xml:space="preserve">2</w:t>
      </w:r>
      <w:r>
        <w:t xml:space="preserve"> </w:t>
      </w:r>
      <w:r>
        <w:t xml:space="preserve">= .74, P &lt; 0.001, data not shown).</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P=0.001), the mean rates for all seedlings were high at 0.37 mol H</w:t>
      </w:r>
      <w:r>
        <w:rPr>
          <w:vertAlign w:val="subscript"/>
        </w:rPr>
        <w:t xml:space="preserve">2</w:t>
      </w:r>
      <w:r>
        <w:t xml:space="preserve">0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well-watered seedlings throughout the experiment. Soil N % at harvest was not different across soil volumes (</w:t>
      </w:r>
      <m:oMath>
        <m:bar>
          <m:barPr>
            <m:pos m:val="top"/>
          </m:barPr>
          <m:e>
            <m:r>
              <m:rPr>
                <m:sty m:val="p"/>
              </m:rPr>
              <m:t>x</m:t>
            </m:r>
          </m:e>
        </m:bar>
      </m:oMath>
      <w:r>
        <w:t xml:space="preserve"> </w:t>
      </w:r>
      <w:r>
        <w:t xml:space="preserve">= 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reductions in daily C assimilation per treatment (Figure 6b). As a result, the reductions in leaf A were not sufficient enough to explain the reduction in harvested seedling biomass with soil volume restriction. This resulted in an unexplained pool of excess C, generated from A, which was not allocated to biomass.</w:t>
      </w:r>
    </w:p>
    <w:p>
      <w:r>
        <w:br w:type="textWrapping"/>
      </w:r>
      <w:r>
        <w:t xml:space="preserve">The remaining model simulations tested possible C allocation scenarios to account for this excess pool of C. Constraining the model by treatment-specific LMF from the final harvest (M</w:t>
      </w:r>
      <w:r>
        <w:rPr>
          <w:vertAlign w:val="subscript"/>
        </w:rPr>
        <w:t xml:space="preserve">2</w:t>
      </w:r>
      <w:r>
        <w:t xml:space="preserve">) still overestimated seedling total C by 32±11.1 %, but provided the most improved model predictions (Figure S1a). Using harvested LMF, however, does not capture the increase in senescence of seedlings in small containers (Figure 2c). Thus, the 7-61 % reduction in measured harvested leaf mass fraction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It was further determined that non-tissue respiration rates in modeled seedlings would need to increase by ca. 250 % to account for this entire pool of C.</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production. We then addressed questions regarding the coordination of A and growth by complementing empirical results with modelling approaches. We found that reductions in leaf A rates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As soon as seedlings became established both height and diameter growth were negatively affected by decreasing soil volume. This lead to the large reductions in harvested biomass in small containers when compared to free seedlings. These growth reductions were expected, as the impedance of root growth can cause reductions overall plant growth and activity</w:t>
      </w:r>
      <w:r>
        <w:t xml:space="preserve"> </w:t>
      </w:r>
      <w:r>
        <w:t xml:space="preserve">(McConnaughay and Bazzaz 1991, Young et al. 1997)</w:t>
      </w:r>
      <w:r>
        <w:t xml:space="preserve">. It has been shown that roots undergoing difficult conditions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paralleled the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Bühler, et al. 2012)</w:t>
      </w:r>
      <w:r>
        <w:t xml:space="preserve">. It was therefore necessary to examine each of these factors to distinguish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of water stress inducing a limitation to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was not attributed to impacts of container size on leaf water potentials or g</w:t>
      </w:r>
      <w:r>
        <w:rPr>
          <w:vertAlign w:val="subscript"/>
        </w:rPr>
        <w:t xml:space="preserve">s</w:t>
      </w:r>
      <w:r>
        <w:t xml:space="preserve"> </w:t>
      </w:r>
      <w:r>
        <w:t xml:space="preserve">(Ronchi et al. 2006)</w:t>
      </w:r>
      <w:r>
        <w:t xml:space="preserve">. It is likely that reductions in A of these well watered seedlings was instead the result of limiting soil nutrients on belowground sink strength.</w:t>
      </w:r>
    </w:p>
    <w:p>
      <w:r>
        <w:br w:type="textWrapping"/>
      </w:r>
      <w:r>
        <w:t xml:space="preserve">Although the soil N pool declined evenly across all treatments leaf N was lowest in the smallest containers, suggesting sink limitation was the greatest in these containers. This makes sense as small containers may reduce N uptake, either from physical root restriction or decreased supply, which affects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increase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findings from Equiza et a. (2006) where photosynthetic downregulation from reduced sink strength was more correlated with starch than sugar content in a deciduous conifer. As starch content in the smallest containers was nearly double that of free seedlings this suggests the response of A to sink inhibition was regulated by this accumulation, as hypothesized.</w:t>
      </w:r>
    </w:p>
    <w:p>
      <w:pPr>
        <w:pStyle w:val="Heading2"/>
      </w:pPr>
      <w:bookmarkStart w:id="40" w:name="mass-partitioning-under-sink-limitation"/>
      <w:bookmarkEnd w:id="40"/>
      <w:r>
        <w:t xml:space="preserve">Mass partitioning under sink limitation</w:t>
      </w:r>
    </w:p>
    <w:p>
      <w:r>
        <w:t xml:space="preserve">As mass partitioning is likely controlled by the source and sink strength of all organs</w:t>
      </w:r>
      <w:r>
        <w:t xml:space="preserve"> </w:t>
      </w:r>
      <w:r>
        <w:t xml:space="preserve">(Poorter, Niklas, et al. 2012)</w:t>
      </w:r>
      <w:r>
        <w:t xml:space="preserve"> </w:t>
      </w:r>
      <w:r>
        <w:t xml:space="preserve">it was important to determine what tissue components were most affected by the sink limitation.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were no significant changes in root, leaf, or stem mass fractions to reduced soil volume compared to free seedlings, outside of ontogenetic drift. This is significant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 This is not surprising as plants in containers have been shown to have different root morphology to field grown plants as roots essentially compete with themselves for nutrients</w:t>
      </w:r>
      <w:r>
        <w:t xml:space="preserve"> </w:t>
      </w:r>
      <w:r>
        <w:t xml:space="preserve">(NeSmith and Duval 1998)</w:t>
      </w:r>
      <w:r>
        <w:t xml:space="preserve">. Poor soil quality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carbon use efficiency, respiration and carbon allocation as fixed processes. Contrary to expectation, the model consistently overestimated seedling growth in containers when parameterized with an optimized LMF. This provides further evidence that links between sink limitation and A do not necessarily imply the same coordination between reduced A and growth. These findings are important as this model reflects classical approaches in tree growth and production modelling. Our results indicate a need to evaluate the use of fixed processes in models which distinguish the fate of assimilate C within a plant. Doing so will provide valuable input to future models as assimilate allocation is a key component in functional-structural tree models, yet C partitioning remains a weak point</w:t>
      </w:r>
      <w:r>
        <w:t xml:space="preserve"> </w:t>
      </w:r>
      <w:r>
        <w:t xml:space="preserve">(Lacointe 2000)</w:t>
      </w:r>
      <w:r>
        <w:t xml:space="preserve">. To address this issue we utilized the flexibility of this model to test plausible fates of the extra pool of non-biomass carbon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Altering the LMF from that of the optimized seedling controls (M</w:t>
      </w:r>
      <w:r>
        <w:rPr>
          <w:vertAlign w:val="subscript"/>
        </w:rPr>
        <w:t xml:space="preserve">2</w:t>
      </w:r>
      <w:r>
        <w:t xml:space="preserve">) improved biomass predictions and provided insight into how sink limitation can impact leaf C allocation beyond A. The observed sub-optimal decrease LMF with increasing soil volume restriction has several possible explanations. Shifts in LMF could represent changes in senescence or leaf production that could not be explicitly quantified in this field study. As TNC accumulation can lead to accelerated leaf senescence</w:t>
      </w:r>
      <w:r>
        <w:t xml:space="preserve"> </w:t>
      </w:r>
      <w:r>
        <w:t xml:space="preserve">(Paul and Foyer 2001)</w:t>
      </w:r>
      <w:r>
        <w:t xml:space="preserve">, this could explain the large declines in total leaf area of seedlings in small containers. Alternatively, seedlings in containers could have reduced leaf production to maintain laws of stoichiometry (leaf C:N ratio). The two-fold decrease in leaf N % in small containers from free seedlings provides support to this possible scenario.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It has long been know that conditions which affect the photosynthetic process affect growth but that there is also an interrelationship between growth and A</w:t>
      </w:r>
      <w:r>
        <w:t xml:space="preserve"> </w:t>
      </w:r>
      <w:r>
        <w:t xml:space="preserve">(Sweet and Wareing 1966)</w:t>
      </w:r>
      <w:r>
        <w:t xml:space="preserve">. Here, the fate of assimilated C available for plant growth varied between naturally sown seedlings and seedlings with belowground sink inhibition. First, this is important as manipulations of plants grown in containers are often used to draw conclusions about growth and physiological principles but how these results actually reflect field-grown plants has seldom been studied. Second, our finding add more evidence that A and growth are not always entirely synced, an important distinction often missed in studies that manipulate source/sink activity. Korner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A lack of knowledge regarding C allocation restricts our ability to achieve mass balance and is a major obstacle in understanding the coordination between A and growth.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Daily maximum and minimum temperature (a), cumulative daily PPFD (b), and daily maximum vapour pressure deficit (c) across the experiment duration in 2013.</w:t>
      </w:r>
    </w:p>
    <w:p>
      <w:r>
        <w:br w:type="textWrapping"/>
      </w:r>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w:t>
      </w:r>
    </w:p>
    <w:p>
      <w:r>
        <w:br w:type="textWrapping"/>
      </w:r>
      <w:r>
        <w:rPr>
          <w:b/>
        </w:rPr>
        <w:t xml:space="preserve">Table 2</w:t>
      </w:r>
      <w:r>
        <w:t xml:space="preserve">.</w:t>
      </w:r>
      <w:r>
        <w:t xml:space="preserve"> </w:t>
      </w:r>
    </w:p>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Crous KY, Quentin AG, Lin Y-S, Medlyn BE, Williams DG, Barton CVM, Ellsworth DS (2013) Photosynthesis of temperate Eucalyptus globulus trees outside their native range has limited adjustment to elevated CO</w:t>
      </w:r>
      <m:oMath>
        <m:sSub>
          <m:e>
            <m:r>
              <m:rPr>
                <m:sty m:val="p"/>
              </m:rPr>
              <m:t/>
            </m:r>
          </m:e>
          <m:sub>
            <m:r>
              <m:rPr>
                <m:sty m:val="p"/>
              </m:rPr>
              <m:t>2</m:t>
            </m:r>
          </m:sub>
        </m:sSub>
      </m:oMath>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5">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w:t>
      </w:r>
      <w:r>
        <w:t xml:space="preserve"> </w:t>
      </w:r>
      <w:r>
        <w:t xml:space="preserve">Colin Prentice</w:t>
      </w:r>
      <w:r>
        <w:t xml:space="preserve"> </w:t>
      </w:r>
      <w:r>
        <w:t xml:space="preserve">I, Barton CVM, Crous KY, Angelis P, Freeman M, Wingate L (2012) Reconciling the optimal and empirical approaches to modelling stomatal conductance. Global Change Biology 18:3476.</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6">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7">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c0704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cran.r-project.org/package=nlme" TargetMode="External" /><Relationship Type="http://schemas.openxmlformats.org/officeDocument/2006/relationships/hyperlink" Id="rId55" Target="http://dx.doi.org/10.1007/978-0-387-78341-3\_5" TargetMode="External" /><Relationship Type="http://schemas.openxmlformats.org/officeDocument/2006/relationships/hyperlink" Id="rId57"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cran.r-project.org/package=nlme" TargetMode="External" /><Relationship Type="http://schemas.openxmlformats.org/officeDocument/2006/relationships/hyperlink" Id="rId55" Target="http://dx.doi.org/10.1007/978-0-387-78341-3\_5" TargetMode="External" /><Relationship Type="http://schemas.openxmlformats.org/officeDocument/2006/relationships/hyperlink" Id="rId57"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sink limitation on growth and carbon balance of Eucalyptus seedlings</dc:title>
  <dc:creator/>
</cp:coreProperties>
</file>