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1.png" ContentType="image/png"/>
  <Override PartName="/word/media/rId43.png" ContentType="image/png"/>
  <Override PartName="/word/media/rId42.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space</w:t>
      </w:r>
      <w:r>
        <w:t xml:space="preserve"> </w:t>
      </w:r>
      <w:r>
        <w:t xml:space="preserve">limitation</w:t>
      </w:r>
      <w:r>
        <w:t xml:space="preserve"> </w:t>
      </w:r>
      <w:r>
        <w:t xml:space="preserve">on</w:t>
      </w:r>
      <w:r>
        <w:t xml:space="preserve"> </w:t>
      </w:r>
      <w:r>
        <w:t xml:space="preserve">performance</w:t>
      </w:r>
      <w:r>
        <w:t xml:space="preserve"> </w:t>
      </w:r>
      <w:r>
        <w:t xml:space="preserve">of</w:t>
      </w:r>
      <w:r>
        <w:t xml:space="preserve"> </w:t>
      </w:r>
      <w:r>
        <w:t xml:space="preserve">Eucalyptus</w:t>
      </w:r>
      <w:r>
        <w:t xml:space="preserve"> </w:t>
      </w:r>
      <w:r>
        <w:t xml:space="preserve">seedlings:</w:t>
      </w:r>
      <w:r>
        <w:t xml:space="preserve"> </w:t>
      </w:r>
      <w:r>
        <w:t xml:space="preserve">Does</w:t>
      </w:r>
      <w:r>
        <w:t xml:space="preserve"> </w:t>
      </w:r>
      <w:r>
        <w:t xml:space="preserve">photosynthesis</w:t>
      </w:r>
      <w:r>
        <w:t xml:space="preserve"> </w:t>
      </w:r>
      <w:r>
        <w:t xml:space="preserve">really</w:t>
      </w:r>
      <w:r>
        <w:t xml:space="preserve"> </w:t>
      </w:r>
      <w:r>
        <w:t xml:space="preserve">control</w:t>
      </w:r>
      <w:r>
        <w:t xml:space="preserve"> </w:t>
      </w:r>
      <w:r>
        <w:t xml:space="preserve">growth?</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resulting in physical constraints to growth independently of photosynthesis (A). Photosynthesis would then become sink-limited, resulting in the build-up of leaf nonstructural carbohydrates eventually leading to photosynthetic down regulation. We observed a negative container effect on aboveground growth soon after the experiment started. Although growth was consistently different across soil volumes mass, partitioning to leaves, stems, roots was conserved after 120 days. Photosynthetic capacity was also significantly reduced in containers, and was related to both leaf nitrogen content and starch accumulation. We developed a seedling growth model that utilized leaf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photosynthesis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This is generally hypothesized to be a different response than seedlings with no taproot. By using a species with tap root growth and manipulations of container length rather than width, it is believed that a more realistic test of inhibition of growth through constrained soil volume would be achieved. Six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0.5 m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accounting for natural precipitation, to maintain soil moisture at field capacity (13-15%).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(6~mm diameter) was inset into the gravel layer and extended through the top of the container. A lysimeter pump was then used to suction excess water, through the tubing, as needed . As small containers (5, 10, and 15 l) have a larger irradiation effect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cumulative leaf area (LI-3100C Area Meter; LI-COR, Lincoln, NE, USA) was measured for each seedling. Mean individual leaf area for each harvested seedling was calculated by dividing cumulative leaf area by total leaf count of only fully expanded leaves. This value was then used to interpolate cumulative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0.5 m depth. 25 g fresh weight subsamples of washed fine roots were analyzed, using WhinoRhizo software (Regent Instruments Inc.), for specific root length (SRL, cm~m</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also developed at 25°C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 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to CO</w:t>
      </w:r>
      <w:r>
        <w:rPr>
          <w:vertAlign w:val="subscript"/>
        </w:rPr>
        <w:t xml:space="preserve">2</w:t>
      </w:r>
      <w:r>
        <w:t xml:space="preserve">, feed to the mass spectrometer and isotopic signatures are reported relative to the VPDP scale. Leaf TNC concentration was analyzed using a total starch assay kit (Megazyme International 303 Ireland Ltd.,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Specific leaf area (SLA,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w:r>
        <w:t xml:space="preserve">$\textepsilon$</w:t>
      </w:r>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Due to the duration of the experiment $</w:t>
      </w:r>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in the 'plantecophys' package in R</w:t>
      </w:r>
      <w:r>
        <w:t xml:space="preserve"> </w:t>
      </w:r>
      <w:r>
        <w:t xml:space="preserve">(Duursma 2014)</w:t>
      </w:r>
      <w:r>
        <w:t xml:space="preserve"> </w:t>
      </w:r>
      <w:r>
        <w:t xml:space="preserve">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2012)</w:t>
      </w:r>
      <w:r>
        <w:t xml:space="preserve"> </w:t>
      </w:r>
      <w:r>
        <w:t xml:space="preserve">with observed g</w:t>
      </w:r>
      <w:r>
        <w:rPr>
          <w:vertAlign w:val="subscript"/>
        </w:rPr>
        <w:t xml:space="preserve">s</w:t>
      </w:r>
      <w:r>
        <w:t xml:space="preserve"> </w:t>
      </w:r>
      <w:r>
        <w:t xml:space="preserve">values. Examples of the photosynthesis model are described in Medlyn et al.</w:t>
      </w:r>
      <w:r>
        <w:t xml:space="preserve"> </w:t>
      </w:r>
      <w:r>
        <w:t xml:space="preserve">(2002)</w:t>
      </w:r>
      <w:r>
        <w:t xml:space="preserve"> </w:t>
      </w:r>
      <w:r>
        <w:t xml:space="preserve">and the approach of the coupled leaf gas exchange model are described in Duursma et al</w:t>
      </w:r>
      <w:r>
        <w:t xml:space="preserve"> </w:t>
      </w:r>
      <w:r>
        <w:t xml:space="preserve">(2014)</w:t>
      </w:r>
      <w:r>
        <w:t xml:space="preserve">. Combined with the meteorological parameters; PPFD, air temperature, and relative humidity, at 15~m intervals, leaf A rates (</w:t>
      </w:r>
      <m:oMath>
        <m:r>
          <m:rPr>
            <m:sty m:val="p"/>
          </m:rPr>
          <m:t>μ</m:t>
        </m:r>
      </m:oMath>
      <w:r>
        <w:t xml:space="preserve">mol</w:t>
      </w:r>
      <w:r>
        <w:rPr>
          <w:vertAlign w:val="subscript"/>
        </w:rPr>
        <w:t xml:space="preserve">CO</w:t>
      </w:r>
      <w:r>
        <w:t xml:space="preserve">2~ 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15~min timesteps (g~m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 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w:t>
      </w:r>
      <w:r>
        <w:t xml:space="preserve">.</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w:t>
      </w:r>
      <w:r>
        <w:t xml:space="preserve"> </w:t>
      </w:r>
      <w:r>
        <w:t xml:space="preserve">(</w:t>
      </w:r>
      <w:r>
        <w:t xml:space="preserve">R Development Core Team</w:t>
      </w:r>
      <w:r>
        <w:t xml:space="preserve"> </w:t>
      </w:r>
      <w:r>
        <w:t xml:space="preserve">2011)</w:t>
      </w:r>
      <w:r>
        <w:t xml:space="preserve"> </w:t>
      </w:r>
      <w:r>
        <w:t xml:space="preserve">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r>
        <w:t xml:space="preserve">In this field study, colder temperatures and reductions in cumulative PPFD per day (Fig. 1) most likely lead to the reduced growth in the free seedlings in the final weeks of the experiment (Fig. 2). Combined with severe growth reductions in the smallest container volumes the experiment was chosen to be harvested after 120 days. Over this duration height, diameter, and leaf area diverged between container volumes (Fig. 2). First, seedling leaf area significantly diverged between soil volumes (P&lt;0.026)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(P&lt;0.002 &amp; 0.001, respectively). Negative growth effects then manifested as severely reduced height gain and declining leaf area through time with small soil volumes across the final two months of the experiment. Seedlings maintained diameter growth throughout the experiment, although marginal with smaller soil volumes in the final month. Final seedling height significantly increased with increasing soil volume (P&lt;0.001). Increases in both final stem diameter (P&lt;0.001) and cumulative leaf area (both P&lt;0.001)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(P&lt;0.001) and with free seedlings (P&lt;0.001, Table. 1). We analyzed the relationship between biomass growth with each fold increase in soil volume and found an increase of 34%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P&lt;0.001). Differences in biomass partitioning to leaves, stems, and roots were not different across soil volumes after variation in seedling biomass within treatments was factored in the analysis (Fig.3a,b). Across all treatments, the final harvested root:shoot was conserved in these seedlings, with a slightly higher shoot than root mass on average (</w:t>
      </w:r>
      <m:oMath>
        <m:bar>
          <m:barPr>
            <m:pos m:val="top"/>
          </m:barPr>
          <m:e>
            <m:r>
              <m:rPr>
                <m:sty m:val="p"/>
              </m:rPr>
              <m:t>x</m:t>
            </m:r>
          </m:e>
        </m:bar>
      </m:oMath>
      <w:r>
        <w:t xml:space="preserve">=0.904, Fig. 2c).</w:t>
      </w:r>
    </w:p>
    <w:p>
      <w:r>
        <w:br w:type="textWrapping"/>
      </w:r>
      <w:r>
        <w:t xml:space="preserve">SRL of harvested fine roots was not different across soil volumes (Table. 1). Over the duration of the experiment SLA was higher in free seedlings but was not different across containers sizes (Table. 1, P&lt;0.001) and this pattern was evident in the first gas exchange measurement campaign (P&lt;0.001).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P&lt;0.001). Over the remaining duration of the experiment the smallest container volume had a significant reduction in leaf N % compared to other soil volumes, while free seedlings maintained the highest leaf N % (Table. 1, P&lt;0.001). Leaf starch content in the smallest container was double that of free seedlings (P=0.039), while leaf soluble sugars did not differ across treatments throughout the experiment (Table. 1). Differences in leaf starch between the free seedling and the smallest container were also evident during the first gas exchange campaign (P=0.0013).</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P&lt;0.001). Across all measurement campaigns A</w:t>
      </w:r>
      <w:r>
        <w:rPr>
          <w:vertAlign w:val="subscript"/>
        </w:rPr>
        <w:t xml:space="preserve">sat</w:t>
      </w:r>
      <w:r>
        <w:t xml:space="preserve"> </w:t>
      </w:r>
      <w:r>
        <w:t xml:space="preserve">(Fig. 4) and A</w:t>
      </w:r>
      <w:r>
        <w:rPr>
          <w:vertAlign w:val="subscript"/>
        </w:rPr>
        <w:t xml:space="preserve">max</w:t>
      </w:r>
      <w:r>
        <w:t xml:space="preserve"> </w:t>
      </w:r>
      <w:r>
        <w:t xml:space="preserve">(Table 2.) were consistently higher in free seedlings than in containers (boht P&lt;0.001). The interaction between photosynthetic capacity, leaf starch, and leaf N on a mass basis was marginally significant (P=0.0584) but A</w:t>
      </w:r>
      <w:r>
        <w:rPr>
          <w:vertAlign w:val="subscript"/>
        </w:rPr>
        <w:t xml:space="preserve">max</w:t>
      </w:r>
      <w:r>
        <w:t xml:space="preserve"> </w:t>
      </w:r>
      <w:r>
        <w:t xml:space="preserve">was highly correlated to both leaf N content and leaf starch (both P&lt;0.001). Across all measurement campaign A</w:t>
      </w:r>
      <w:r>
        <w:rPr>
          <w:vertAlign w:val="subscript"/>
        </w:rPr>
        <w:t xml:space="preserve">max</w:t>
      </w:r>
      <w:r>
        <w:t xml:space="preserve"> </w:t>
      </w:r>
      <w:r>
        <w:t xml:space="preserve">was higher when foliar N was also higher, usually associated with low levels of leaf starch (Fig. 5a). A</w:t>
      </w:r>
      <w:r>
        <w:rPr>
          <w:vertAlign w:val="subscript"/>
        </w:rPr>
        <w:t xml:space="preserve">max</w:t>
      </w:r>
      <w:r>
        <w:t xml:space="preserve"> </w:t>
      </w:r>
      <w:r>
        <w:t xml:space="preserve">was also lower when leaf starch was high as higher leaf N often did not coincide with high leaf starch (Fig. 5b)</w:t>
      </w:r>
    </w:p>
    <w:p>
      <w:r>
        <w:br w:type="textWrapping"/>
      </w: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not different within treatments at the beginning and end of gas exchange campaigns, therefore the parameter means per treatment are reported here (Table. 2). Overall, 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with little variation between soil volume treatments (P=0.0012 &amp; 0.0021, respectively).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(2012)</w:t>
      </w:r>
      <w:r>
        <w:t xml:space="preserve"> </w:t>
      </w:r>
      <w:r>
        <w:t xml:space="preserve">optimal stomatal conductance model, was lowest in the free seedling and was marginally different across soil volume treatments (Table. 2). Predicted values of g</w:t>
      </w:r>
      <w:r>
        <w:rPr>
          <w:vertAlign w:val="subscript"/>
        </w:rPr>
        <w:t xml:space="preserve">s</w:t>
      </w:r>
      <w:r>
        <w:t xml:space="preserve">, using the g</w:t>
      </w:r>
      <w:r>
        <w:rPr>
          <w:vertAlign w:val="subscript"/>
        </w:rPr>
        <w:t xml:space="preserve">1</w:t>
      </w:r>
      <w:r>
        <w:t xml:space="preserve">parameter, where highly correlated with observed values (R</w:t>
      </w:r>
      <w:r>
        <w:rPr>
          <w:vertAlign w:val="superscript"/>
        </w:rPr>
        <w:t xml:space="preserve">2</w:t>
      </w:r>
      <w:r>
        <w:t xml:space="preserve">= .74, P&lt;0.001, data not shown).</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P=0.001), the mean rates for all seedlings were high at 0.37 mol H</w:t>
      </w:r>
      <w:r>
        <w:rPr>
          <w:vertAlign w:val="subscript"/>
        </w:rPr>
        <w:t xml:space="preserve">2</w:t>
      </w:r>
      <w:r>
        <w:t xml:space="preserve">0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well-watered seedlings throughout the experiment. Soil N % at harvest was not different across soil volumes (</w:t>
      </w:r>
      <m:oMath>
        <m:bar>
          <m:barPr>
            <m:pos m:val="top"/>
          </m:barPr>
          <m:e>
            <m:r>
              <m:rPr>
                <m:sty m:val="p"/>
              </m:rPr>
              <m:t>x</m:t>
            </m:r>
          </m:e>
        </m:bar>
      </m:oMath>
      <w:r>
        <w:t xml:space="preserve">=04.5 %)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able to converge on an optimum leaf mass fraction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 6a). Thus, seedling mass C was overestimated by an average of 50±8.7 % in modeled seedlings across the reductions in daily C assimilation per treatment (Fig. 6b). As a result, the reductions in leaf A were not sufficient enough to explain the reduction in harvested seedling biomass with soil volume restriction. This resulted in an unexplained pool of excess C, generated from A, that did not end up in biomass.</w:t>
      </w:r>
    </w:p>
    <w:p>
      <w:r>
        <w:br w:type="textWrapping"/>
      </w:r>
      <w:r>
        <w:t xml:space="preserve">The remaining model simulations tested possible C allocation scenarios to account for this excess pool of C. Constraining the model by treatment-specific LMF from the final harvest (M</w:t>
      </w:r>
      <w:r>
        <w:rPr>
          <w:vertAlign w:val="subscript"/>
        </w:rPr>
        <w:t xml:space="preserve">2</w:t>
      </w:r>
      <w:r>
        <w:t xml:space="preserve">) still overestimated seedling total C by 32±11.1 %, but provided the most improved model predictions (Fig. S1a). Using harvested LMF, however, does not capture the increase in senescence of seedlings in small containers (Fig. 2c). Thus, the 7-61 % reduction in measured harvested leaf mass fraction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 S1b). It was further determined that non-tissue respiration rates in modeled seedlings would need to increase by ca. 250 % to account for this entire pool of C.</w:t>
      </w:r>
    </w:p>
    <w:p>
      <w:pPr>
        <w:pStyle w:val="Heading1"/>
      </w:pPr>
      <w:bookmarkStart w:id="38" w:name="discussion"/>
      <w:bookmarkEnd w:id="38"/>
      <w:r>
        <w:t xml:space="preserve">Discussion</w:t>
      </w:r>
    </w:p>
    <w:p>
      <w:r>
        <w:t xml:space="preserve">I think the point here is that the model is quite standard and classical. It has growth driven by fluctuations in photoynthesis but respiration and allocation are very fixed processes. This reflects much of the growth&amp;production modelling work out there. It turns out that in your experiment this did not really work, which means we must take a closer look at allocation and respiration (including root exudation)</w:t>
      </w:r>
    </w:p>
    <w:p>
      <w:pPr>
        <w:pStyle w:val="Heading1"/>
      </w:pPr>
      <w:bookmarkStart w:id="39" w:name="tables"/>
      <w:bookmarkEnd w:id="39"/>
      <w:r>
        <w:t xml:space="preserve">Tables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w:t>
            </w:r>
            <w:r>
              <w:rPr>
                <w:vertAlign w:val="subscript"/>
                <w:b/>
              </w:rPr>
              <w:t xml:space="preserve">mass</w:t>
            </w:r>
            <w:r>
              <w:rPr>
                <w:b/>
              </w:rPr>
              <w:t xml:space="preserve">(g)</w:t>
            </w:r>
          </w:p>
        </w:tc>
        <w:tc>
          <w:tcPr>
            <w:tcBorders>
              <w:bottom w:val="single"/>
            </w:tcBorders>
            <w:vAlign w:val="bottom"/>
          </w:tcPr>
          <w:p>
            <w:pPr>
              <w:pStyle w:val="Compact"/>
              <w:jc w:val="left"/>
            </w:pPr>
            <w:r>
              <w:rPr>
                <w:b/>
              </w:rPr>
              <w:t xml:space="preserve">SLA</w:t>
            </w:r>
            <w:r>
              <w:rPr>
                <w:vertAlign w:val="subscript"/>
                <w:b/>
              </w:rPr>
              <w:t xml:space="preserve">(m</w:t>
            </w:r>
            <w:r>
              <w:rPr>
                <w:b/>
              </w:rPr>
              <w:t xml:space="preserve">kg</w:t>
            </w:r>
            <w:r>
              <w:rPr>
                <w:b/>
              </w:rPr>
              <w:t xml:space="preserve">)</w:t>
            </w:r>
            <w:r>
              <w:t xml:space="preserve"> </w:t>
            </w:r>
            <w:r>
              <w:t xml:space="preserve">**L</w:t>
            </w:r>
          </w:p>
        </w:tc>
        <w:tc>
          <w:tcPr>
            <w:tcBorders>
              <w:bottom w:val="single"/>
            </w:tcBorders>
            <w:vAlign w:val="bottom"/>
          </w:tcPr>
          <w:p>
            <w:pPr>
              <w:pStyle w:val="Compact"/>
              <w:jc w:val="left"/>
            </w:pPr>
            <w:r>
              <w:t xml:space="preserve">eaf</w:t>
            </w:r>
            <w:r>
              <w:rPr>
                <w:vertAlign w:val="subscript"/>
              </w:rPr>
              <w:t xml:space="preserve">Starch</w:t>
            </w:r>
            <w:r>
              <w:t xml:space="preserve">(%)** **Le</w:t>
            </w:r>
          </w:p>
        </w:tc>
        <w:tc>
          <w:tcPr>
            <w:tcBorders>
              <w:bottom w:val="single"/>
            </w:tcBorders>
            <w:vAlign w:val="bottom"/>
          </w:tcPr>
          <w:p>
            <w:pPr>
              <w:pStyle w:val="Compact"/>
              <w:jc w:val="left"/>
            </w:pPr>
            <w:r>
              <w:t xml:space="preserve">af</w:t>
            </w:r>
            <w:r>
              <w:rPr>
                <w:vertAlign w:val="subscript"/>
              </w:rPr>
              <w:t xml:space="preserve">Sugars</w:t>
            </w:r>
            <w:r>
              <w:t xml:space="preserve">(%)** **Lea</w:t>
            </w:r>
          </w:p>
        </w:tc>
        <w:tc>
          <w:tcPr>
            <w:tcBorders>
              <w:bottom w:val="single"/>
            </w:tcBorders>
            <w:vAlign w:val="bottom"/>
          </w:tcPr>
          <w:p>
            <w:pPr>
              <w:pStyle w:val="Compact"/>
              <w:jc w:val="left"/>
            </w:pPr>
            <w:r>
              <w:t xml:space="preserve">f</w:t>
            </w:r>
            <w:r>
              <w:rPr>
                <w:vertAlign w:val="subscript"/>
              </w:rPr>
              <w:t xml:space="preserve">Nitrogen</w:t>
            </w:r>
            <w:r>
              <w:t xml:space="preserve">(%)** **Root</w:t>
            </w:r>
          </w:p>
        </w:tc>
        <w:tc>
          <w:tcPr>
            <w:tcBorders>
              <w:bottom w:val="single"/>
            </w:tcBorders>
            <w:vAlign w:val="bottom"/>
          </w:tcPr>
          <w:p>
            <w:pPr>
              <w:pStyle w:val="Compact"/>
              <w:jc w:val="left"/>
            </w:pPr>
            <w:r>
              <w:rPr>
                <w:vertAlign w:val="subscript"/>
              </w:rPr>
              <w:t xml:space="preserve">Nitrogen</w:t>
            </w:r>
            <w:r>
              <w:t xml:space="preserve">(%)** **SRL~(</w:t>
            </w:r>
          </w:p>
        </w:tc>
        <w:tc>
          <w:tcPr>
            <w:tcBorders>
              <w:bottom w:val="single"/>
            </w:tcBorders>
            <w:vAlign w:val="bottom"/>
          </w:tcPr>
          <w:p>
            <w:pPr>
              <w:pStyle w:val="Compact"/>
              <w:jc w:val="left"/>
            </w:pPr>
            <w:r>
              <w:t xml:space="preserve">cm~m</w:t>
            </w:r>
            <w:r>
              <w:t xml:space="preserve">)** **{Leaf~</w:t>
            </w:r>
          </w:p>
        </w:tc>
        <w:tc>
          <w:tcPr>
            <w:tcBorders>
              <w:bottom w:val="single"/>
            </w:tcBorders>
            <w:vAlign w:val="bottom"/>
          </w:tcPr>
          <w:p>
            <w:pPr>
              <w:pStyle w:val="Compact"/>
              <w:jc w:val="left"/>
            </w:pPr>
            <w:r>
              <w:t xml:space="preserve">}</w:t>
            </w:r>
            <w:r>
              <w:t xml:space="preserve">C~(</w:t>
            </w:r>
            <w:r>
              <w:t xml:space="preserve">)**</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39.1 (5.47)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34.2 (5.83) a</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37.6 (4.63) a</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45.3 (5.50) a</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47.0 (7.10) a</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50.6 (11.61)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43.7 (6.24) a</w:t>
            </w:r>
          </w:p>
        </w:tc>
        <w:tc>
          <w:p>
            <w:pPr>
              <w:pStyle w:val="Compact"/>
              <w:jc w:val="left"/>
            </w:pPr>
            <w:r>
              <w:t xml:space="preserve">-30.0 (0.34) a</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0.662</w:t>
            </w:r>
          </w:p>
        </w:tc>
        <w:tc>
          <w:p>
            <w:pPr>
              <w:pStyle w:val="Compact"/>
              <w:jc w:val="left"/>
            </w:pPr>
            <w:r>
              <w:t xml:space="preserve">0.458</w:t>
            </w:r>
          </w:p>
        </w:tc>
      </w:tr>
    </w:tbl>
    <w:p>
      <w:r>
        <w:rPr>
          <w:b/>
        </w:rPr>
        <w:t xml:space="preserve">Table 1.</w:t>
      </w:r>
      <w:r>
        <w:t xml:space="preserve"> </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Volume~(L)</w:t>
            </w:r>
          </w:p>
        </w:tc>
        <w:tc>
          <w:tcPr>
            <w:tcBorders>
              <w:bottom w:val="single"/>
            </w:tcBorders>
            <w:vAlign w:val="bottom"/>
          </w:tcPr>
          <w:p>
            <w:pPr>
              <w:pStyle w:val="Compact"/>
              <w:jc w:val="left"/>
            </w:pPr>
            <w:r>
              <w:t xml:space="preserve"> </w:t>
            </w:r>
            <w:r>
              <w:t xml:space="preserve">**</w:t>
            </w:r>
          </w:p>
        </w:tc>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extit{J}</w:t>
            </w:r>
            <w:r>
              <w:t xml:space="preserve">** **</w:t>
            </w:r>
          </w:p>
        </w:tc>
        <w:tc>
          <w:tcPr>
            <w:tcBorders>
              <w:bottom w:val="single"/>
            </w:tcBorders>
            <w:vAlign w:val="bottom"/>
          </w:tcPr>
          <w:p>
            <w:pPr>
              <w:pStyle w:val="Compact"/>
              <w:jc w:val="left"/>
            </w:pPr>
            <w:r>
              <w:t xml:space="preserve">tit{Vc}</w:t>
            </w:r>
            <w:r>
              <w:t xml:space="preserve">** **</w:t>
            </w:r>
          </w:p>
        </w:tc>
        <w:tc>
          <w:tcPr>
            <w:tcBorders>
              <w:bottom w:val="single"/>
            </w:tcBorders>
            <w:vAlign w:val="bottom"/>
          </w:tcPr>
          <w:p>
            <w:pPr>
              <w:pStyle w:val="Compact"/>
              <w:jc w:val="left"/>
            </w:pPr>
            <w:r>
              <w:t xml:space="preserve">t{g}</w:t>
            </w:r>
            <w:r>
              <w:t xml:space="preserve">** **\textit{</w:t>
            </w:r>
          </w:p>
        </w:tc>
        <w:tc>
          <w:tcPr>
            <w:tcBorders>
              <w:bottom w:val="single"/>
            </w:tcBorders>
            <w:vAlign w:val="bottom"/>
          </w:tcPr>
          <w:p>
            <w:pPr>
              <w:pStyle w:val="Compact"/>
              <w:jc w:val="left"/>
            </w:pPr>
            <w:r>
              <w:t xml:space="preserve">g}</w:t>
            </w:r>
            <w:r>
              <w:t xml:space="preserve">**</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c>
          <w:p>
            <w:pPr>
              <w:pStyle w:val="Compact"/>
              <w:jc w:val="left"/>
            </w:pPr>
            <w:r>
              <w:t xml:space="preserve">0.079</w:t>
            </w:r>
          </w:p>
        </w:tc>
      </w:tr>
    </w:tbl>
    <w:p>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pPr>
        <w:pStyle w:val="Heading1"/>
      </w:pPr>
      <w:bookmarkStart w:id="40" w:name="figures"/>
      <w:bookmarkEnd w:id="40"/>
      <w:r>
        <w:t xml:space="preserve">Figures</w:t>
      </w:r>
    </w:p>
    <w:p>
      <w:r>
        <w:drawing>
          <wp:inline>
            <wp:extent cx="5440680" cy="7262559"/>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1"/>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1</w:t>
      </w:r>
      <w:r>
        <w:t xml:space="preserve">. Daily maximum and minimum temperature (a), cumulative daily PPFD (b), and daily maximum vapour pressure deficit (c) across the experiment duration in 2013.</w:t>
      </w:r>
    </w:p>
    <w:p>
      <w:r>
        <w:drawing>
          <wp:inline>
            <wp:extent cx="5440680" cy="7262559"/>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drawing>
          <wp:inline>
            <wp:extent cx="5440680" cy="9071960"/>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3"/>
                    <a:stretch>
                      <a:fillRect/>
                    </a:stretch>
                  </pic:blipFill>
                  <pic:spPr bwMode="auto">
                    <a:xfrm>
                      <a:off x="0" y="0"/>
                      <a:ext cx="5440680" cy="9071960"/>
                    </a:xfrm>
                    <a:prstGeom prst="rect">
                      <a:avLst/>
                    </a:prstGeom>
                    <a:noFill/>
                    <a:ln w="9525">
                      <a:noFill/>
                      <a:headEnd/>
                      <a:tailEnd/>
                    </a:ln>
                  </pic:spPr>
                </pic:pic>
              </a:graphicData>
            </a:graphic>
          </wp:inline>
        </w:drawing>
      </w:r>
    </w:p>
    <w:p>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drawing>
          <wp:inline>
            <wp:extent cx="5440680" cy="4075836"/>
            <wp:effectExtent b="0" l="0" r="0" t="0"/>
            <wp:docPr descr="" id="1" name="Picture"/>
            <a:graphic>
              <a:graphicData uri="http://schemas.openxmlformats.org/drawingml/2006/picture">
                <pic:pic>
                  <pic:nvPicPr>
                    <pic:cNvPr descr="manuscript_pve_files/figure-docx/A_tncnitro-1.png" id="0" name="Picture"/>
                    <pic:cNvPicPr>
                      <a:picLocks noChangeArrowheads="1" noChangeAspect="1"/>
                    </pic:cNvPicPr>
                  </pic:nvPicPr>
                  <pic:blipFill>
                    <a:blip r:embed="rId45"/>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Figure 5</w:t>
      </w:r>
      <w:r>
        <w:t xml:space="preserve">. Photosynthetic capacity, on a leaf mass basis, as a function of accumulation of leaf starch (a) and leaf nitrogen content without TNC (b). Colors represent bins levels (n=5)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drawing>
          <wp:inline>
            <wp:extent cx="5440680" cy="7262559"/>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46"/>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Heading1"/>
      </w:pPr>
      <w:bookmarkStart w:id="47" w:name="supporting-information"/>
      <w:bookmarkEnd w:id="47"/>
      <w:r>
        <w:t xml:space="preserve">Supporting Information</w:t>
      </w:r>
    </w:p>
    <w:p>
      <w:r>
        <w:drawing>
          <wp:inline>
            <wp:extent cx="5440680" cy="7262559"/>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48"/>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(b). Open and filled symbols represent default model and harvest values, while shaded symbols represent model sensitivity to each scenario by soil volume treatment. Both seedling carbon mass and daily carbon assimilation were first scaled to the free seedling control.</w:t>
      </w:r>
    </w:p>
    <w:p>
      <w:r>
        <w:rPr>
          <w:b/>
        </w:rPr>
        <w:t xml:space="preserve">Table S1</w:t>
      </w:r>
      <w:r>
        <w:t xml:space="preserve"> </w:t>
      </w:r>
      <w:r>
        <w:t xml:space="preserve">Seedling Growth Model Default Parameters</w:t>
      </w:r>
    </w:p>
    <w:p>
      <w:pPr>
        <w:pStyle w:val="Heading1"/>
      </w:pPr>
      <w:bookmarkStart w:id="49" w:name="references"/>
      <w:bookmarkEnd w:id="49"/>
      <w:r>
        <w:t xml:space="preserve">References</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Crous KY, Quentin AG, Lin Y-S, Medlyn BE, Williams DG, Barton CVM, Ellsworth DS (2013) Photosynthesis of temperate Eucalyptus globulus trees outside their native range has limited adjustment to elevated CO2 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Farquhar GD, Caemmerer S von von, Berry JA (1980) A biochemical model of photosynthetic CO2 assimilation in leaves of C3 species. Planta 149:78–90.</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w:t>
      </w:r>
      <w:r>
        <w:t xml:space="preserve"> </w:t>
      </w:r>
      <w:r>
        <w:t xml:space="preserve">Colin Prentice</w:t>
      </w:r>
      <w:r>
        <w:t xml:space="preserve"> </w:t>
      </w:r>
      <w:r>
        <w:t xml:space="preserve">I, Barton CVM, Crous KY, Angelis P, Freeman M, Wingate L (2012) Reconciling the optimal and empirical approaches to modelling stomatal conductance. Global Change Biology 18:3476.</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Pinheiro J, Bates D, DebRoy S, Sarkar D, R Core Team (2014) {nlme}: Linear and Nonlinear Mixed Effects Models.</w:t>
      </w:r>
      <w:r>
        <w:t xml:space="preserve"> </w:t>
      </w:r>
      <w:hyperlink r:id="rId50">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1">
        <w:r>
          <w:rPr>
            <w:rStyle w:val="Link"/>
          </w:rPr>
          <w:t xml:space="preserve">http://www.r-project.org</w:t>
        </w:r>
      </w:hyperlink>
    </w:p>
    <w:p>
      <w:pPr>
        <w:pStyle w:val="Bibliography"/>
      </w:pPr>
      <w:r>
        <w:t xml:space="preserve">Warton DI, Duursma RA, Falster DS, Taskinen S (2012) smatr 3–an R package for estimation and inference about allometric lines. Methods in Ecology and Evolution 3:257–259.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25c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space limitation on performance of Eucalyptus seedlings: Does photosynthesis really control growth?</dc:title>
  <dc:creator/>
</cp:coreProperties>
</file>