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br w:type="textWrapping"/>
      </w:r>
      <w:r>
        <w:t xml:space="preserve">Word counts</w:t>
      </w:r>
      <w:r>
        <w:br w:type="textWrapping"/>
      </w:r>
      <w:r>
        <w:t xml:space="preserve">Main text: 6304</w:t>
      </w:r>
      <w:r>
        <w:br w:type="textWrapping"/>
      </w:r>
      <w:r>
        <w:t xml:space="preserve">Summary: 174</w:t>
      </w:r>
      <w:r>
        <w:br w:type="textWrapping"/>
      </w:r>
      <w:r>
        <w:t xml:space="preserve">Introduction: 1206</w:t>
      </w:r>
      <w:r>
        <w:br w:type="textWrapping"/>
      </w:r>
      <w:r>
        <w:t xml:space="preserve">Materials and methods: 2171</w:t>
      </w:r>
      <w:r>
        <w:br w:type="textWrapping"/>
      </w:r>
      <w:r>
        <w:t xml:space="preserve">Results: 1138</w:t>
      </w:r>
      <w:r>
        <w:br w:type="textWrapping"/>
      </w:r>
      <w:r>
        <w:t xml:space="preserve">Discussion: 1759</w:t>
      </w:r>
      <w:r>
        <w:br w:type="textWrapping"/>
      </w:r>
      <w:r>
        <w:t xml:space="preserve">Acknowledgements: 30</w:t>
      </w:r>
      <w:r>
        <w:br w:type="textWrapping"/>
      </w:r>
      <w:r>
        <w:t xml:space="preserve">6 figures (5 color), 3 tables</w:t>
      </w:r>
    </w:p>
    <w:p>
      <w:pPr>
        <w:pStyle w:val="Heading1"/>
      </w:pPr>
      <w:bookmarkStart w:id="22" w:name="summary"/>
      <w:bookmarkEnd w:id="22"/>
      <w:r>
        <w:t xml:space="preserve">Summary</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seedlings. Container volume negatively affected aboveground growth throughout the experiment, but after 120 days, biomass distribution in leaves, stems and roots was not different. Photosynthetic capacity was significantly reduced in containerized seedlings, and was related to both reduced leaf nitrogen content and starch accumulation. However, the reduction in net leaf photosynthesis over the growth period was insufficient to explain the reduction in growth, so that we also observed a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r>
        <w:t xml:space="preserve"> </w:t>
      </w:r>
      <w:r>
        <w:rPr>
          <w:i/>
        </w:rPr>
        <w:t xml:space="preserve">quantitative results and refer to figure</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are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which physiological process best explains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Leaves used in each gas exchange measurements and subsamples of harvested roots were dried to a constant mass and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rPr/>
              <m:t>x</m:t>
            </m:r>
          </m:e>
        </m:bar>
      </m:oMath>
      <w:r>
        <w:t xml:space="preserve"> </w:t>
      </w:r>
      <w:r>
        <w:t xml:space="preserve">= 0.904, 95%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content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reveals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novel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author-contributions"/>
      <w:bookmarkEnd w:id="44"/>
      <w:r>
        <w:t xml:space="preserve">Author Contributions</w:t>
      </w:r>
    </w:p>
    <w:p>
      <w:pPr>
        <w:pStyle w:val="FirstParagraph"/>
      </w:pPr>
      <w:r>
        <w:t xml:space="preserve">CC contributed to the design of the research, data analysis, collection, interpretation and writing the manuscript. BM contributed to the design of the research, interpretation and writing the manuscript. RD contributed to the design of the research, data analysis, interpretation and writing the manuscript.</w:t>
      </w:r>
    </w:p>
    <w:p>
      <w:pPr>
        <w:pStyle w:val="Heading1"/>
      </w:pPr>
      <w:bookmarkStart w:id="45" w:name="tables"/>
      <w:bookmarkEnd w:id="45"/>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rP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1319.444444444443"/>
        <w:tblLook w:firstRow="1"/>
      </w:tblPr>
      <w:tblGrid>
        <w:gridCol w:w="2750"/>
        <w:gridCol w:w="2530"/>
        <w:gridCol w:w="2860"/>
        <w:gridCol w:w="2310"/>
        <w:gridCol w:w="2310"/>
        <w:gridCol w:w="2090"/>
        <w:gridCol w:w="308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5625.0"/>
        <w:tblLook w:firstRow="1"/>
      </w:tblPr>
      <w:tblGrid>
        <w:gridCol w:w="2750"/>
        <w:gridCol w:w="1760"/>
        <w:gridCol w:w="2090"/>
        <w:gridCol w:w="231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5277.777777777777"/>
        <w:tblLook w:firstRow="1"/>
      </w:tblPr>
      <w:tblGrid>
        <w:gridCol w:w="2750"/>
        <w:gridCol w:w="4069"/>
        <w:gridCol w:w="4180"/>
        <w:gridCol w:w="4069"/>
        <w:gridCol w:w="4180"/>
        <w:gridCol w:w="3300"/>
        <w:gridCol w:w="165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6" w:name="figures"/>
      <w:bookmarkEnd w:id="46"/>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t xml:space="preserve"> </w:t>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t xml:space="preserve"> </w:t>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t xml:space="preserve"> </w:t>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t xml:space="preserve"> </w:t>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t xml:space="preserve"> </w:t>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7" w:name="references"/>
      <w:bookmarkEnd w:id="47"/>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8">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rP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9">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50">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D1508">
          <w:rPr>
            <w:noProof/>
          </w:rPr>
          <w:t>9</w:t>
        </w:r>
        <w:r>
          <w:rPr>
            <w:noProof/>
          </w:rPr>
          <w:fldChar w:fldCharType="end"/>
        </w:r>
      </w:p>
    </w:sdtContent>
  </w:sdt>
  <w:p w:rsidR="006710CF" w:rsidRDefault="00EA09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5273f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9" Target="http://cran.r-project.org/package=nlme" TargetMode="External" /><Relationship Type="http://schemas.openxmlformats.org/officeDocument/2006/relationships/hyperlink" Id="rId50" Target="http://www.r-project.org" TargetMode="External" /><Relationship Type="http://schemas.openxmlformats.org/officeDocument/2006/relationships/hyperlink" Id="rId48"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9" Target="http://cran.r-project.org/package=nlme" TargetMode="External" /><Relationship Type="http://schemas.openxmlformats.org/officeDocument/2006/relationships/hyperlink" Id="rId50" Target="http://www.r-project.org" TargetMode="External" /><Relationship Type="http://schemas.openxmlformats.org/officeDocument/2006/relationships/hyperlink" Id="rId48"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