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8.png" ContentType="image/png"/>
  <Override PartName="/word/media/rId49.png" ContentType="image/png"/>
  <Override PartName="/word/media/rId47.png" ContentType="image/png"/>
  <Override PartName="/word/media/rId50.png" ContentType="image/png"/>
  <Override PartName="/word/media/rId52.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2"/>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et al. 2012a)</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et al. 2012a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r>
        <w:t xml:space="preserve">2). As the finite pool of rooting volume and soil nutrients will decline faster in trees growing in small containers, we expected reductions in partitioning to fine root mass relative to tree size with decreasing container size.</w:t>
      </w:r>
    </w:p>
    <w:p>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w:t>
      </w:r>
      <w:r>
        <w:t xml:space="preserve">2011)</w:t>
      </w:r>
      <w:r>
        <w:t xml:space="preserve">.</w:t>
      </w:r>
    </w:p>
    <w:p>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 (explained below),</w:t>
      </w:r>
      <w:r>
        <w:t xml:space="preserve"> </w:t>
      </w:r>
      <m:oMath>
        <m:r>
          <m:rPr>
            <m:sty m:val="p"/>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w:t>
      </w:r>
      <w:r>
        <w:t xml:space="preserve">Cieslak, Mik. Uses code by Robert Pearcy</w:t>
      </w:r>
      <w:r>
        <w:t xml:space="preserve"> </w:t>
      </w:r>
      <w:r>
        <w:t xml:space="preserve">and Medlyn.)</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w:t>
      </w:r>
      <w:r>
        <w:rPr>
          <w:b/>
        </w:rPr>
        <w:t xml:space="preserve">???</w:t>
      </w:r>
      <w:r>
        <w:t xml:space="preserve">)</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r>
        <w:t xml:space="preserve">Plant height, diameter and leaf area diverged between container volumes soon after start of the experiment (Figure 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(Figure 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p>
    <w:p>
      <w:r>
        <w:br w:type="textWrapping"/>
      </w:r>
      <w:r>
        <w:t xml:space="preserve">Total seedling biomass at harvest was significantly different across container volumes (P &lt; 0.001) and between container treatments and free seedlings (P &lt; 0.001, Table 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sty m:val="p"/>
              </m:rPr>
              <m:t>x</m:t>
            </m:r>
          </m:e>
        </m:bar>
      </m:oMath>
      <w:r>
        <w:t xml:space="preserve"> </w:t>
      </w:r>
      <w:r>
        <w:t xml:space="preserve">= 0.904, 95% CI = [0.846,1.119]) and a near identical ratio of leaf to fine root mass (Figure 3c).</w:t>
      </w:r>
    </w:p>
    <w:p>
      <w:r>
        <w:br w:type="textWrapping"/>
      </w:r>
      <w:r>
        <w:t xml:space="preserve">Overall, SRL was higher in seedlings in containers compared to free seedlings but only in some of the container size treatments (Table 2, P = 0.009). Fine root length density was significantly higher in the two smallest container sizes and was the lowest in the largest container size (Table 2, P &lt; 0.001). Over the duration of the experiment SLA</w:t>
      </w:r>
      <w:r>
        <w:rPr>
          <w:vertAlign w:val="subscript"/>
        </w:rPr>
        <w:t xml:space="preserve">f</w:t>
      </w:r>
      <w:r>
        <w:t xml:space="preserve"> </w:t>
      </w:r>
      <w:r>
        <w:t xml:space="preserve">was higher in free seedlings, but was not different across containers sizes (Table 1, P &lt; 0.001) and this pattern was evident beginning in the first gas exchange measurement campaign (P &lt; 0.001).</w:t>
      </w:r>
    </w:p>
    <w:p>
      <w:pPr>
        <w:pStyle w:val="Heading2"/>
      </w:pPr>
      <w:bookmarkStart w:id="35" w:name="leaf-and-root-chemistry"/>
      <w:bookmarkEnd w:id="35"/>
      <w:r>
        <w:t xml:space="preserve">Leaf and root chemistry</w:t>
      </w:r>
    </w:p>
    <w:p>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1, P &lt; 0.001). Leaf starch content in the smallest container was ca. double that of free seedlings (P = 0.039), while leaf soluble sugars did not differ across treatments throughout the experiment (Table 1). Differences in leaf starch between the free seedling and the smallest container were evident during the first gas exchange campaign (P =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4) and 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5). Across all measurement campaigns and treatments A</w:t>
      </w:r>
      <w:r>
        <w:rPr>
          <w:vertAlign w:val="subscript"/>
        </w:rPr>
        <w:t xml:space="preserve">max</w:t>
      </w:r>
      <w:r>
        <w:t xml:space="preserve"> </w:t>
      </w:r>
      <w:r>
        <w:t xml:space="preserve">was higher when leaf N was also higher, usually associated with low levels of leaf starch (Figure 5a). A</w:t>
      </w:r>
      <w:r>
        <w:rPr>
          <w:vertAlign w:val="subscript"/>
        </w:rPr>
        <w:t xml:space="preserve">max</w:t>
      </w:r>
      <w:r>
        <w:t xml:space="preserve"> </w:t>
      </w:r>
      <w:r>
        <w:t xml:space="preserve">was also lower when leaf starch was high as higher leaf N often did not coincide with high leaf starch (Figure 5b). Overall, A</w:t>
      </w:r>
      <w:r>
        <w:rPr>
          <w:vertAlign w:val="subscript"/>
        </w:rPr>
        <w:t xml:space="preserve">max</w:t>
      </w:r>
      <w:r>
        <w:t xml:space="preserve"> </w:t>
      </w:r>
      <w:r>
        <w:t xml:space="preserve">was positively correlated with final harvest biomass across all seedlings (P &lt; 0.001).</w:t>
      </w:r>
    </w:p>
    <w:p>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3.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sty m:val="p"/>
              </m:rPr>
              <m:t>x</m:t>
            </m:r>
          </m:e>
        </m:bar>
      </m:oMath>
      <w:r>
        <w:t xml:space="preserve"> </w:t>
      </w:r>
      <w:r>
        <w:t xml:space="preserve">= 4.5 %), with minimal decreases from pre-planting value (</w:t>
      </w:r>
      <m:oMath>
        <m:bar>
          <m:barPr>
            <m:pos m:val="top"/>
          </m:barPr>
          <m:e>
            <m:r>
              <m:rPr>
                <m:sty m:val="p"/>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6a). Thus, seedling C mass was overestimated by an average of 50±8.7 % in modeled seedlings across the soil volume treatments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S1b). With 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et al. 2012a)</w:t>
      </w:r>
      <w:r>
        <w:t xml:space="preserve">. It was therefore necessary to examine each of these factors to determine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r>
        <w:t xml:space="preserve">As biomass partitioning is likely controlled by the source and sink strength of all organs</w:t>
      </w:r>
      <w:r>
        <w:t xml:space="preserve"> </w:t>
      </w:r>
      <w:r>
        <w:t xml:space="preserve">(Poorter et al.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w:t>
      </w:r>
      <w:r>
        <w:t xml:space="preserve">Le Roux</w:t>
      </w:r>
      <w:r>
        <w:t xml:space="preserve"> </w:t>
      </w:r>
      <w:r>
        <w:t xml:space="preserve">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list-of-tables"/>
      <w:bookmarkEnd w:id="43"/>
      <w:r>
        <w:t xml:space="preserve">List of Tables</w:t>
      </w:r>
    </w:p>
    <w:p>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2.</w:t>
      </w:r>
      <w:r>
        <w:t xml:space="preserve"> </w:t>
      </w:r>
      <w:r>
        <w:t xml:space="preserve">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are only calculated for seedlings in containers as free seedlings have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p>
      <w:r>
        <w:br w:type="textWrapping"/>
      </w:r>
      <w:r>
        <w:rPr>
          <w:b/>
        </w:rPr>
        <w:t xml:space="preserve">Table 3.</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S1</w:t>
      </w:r>
      <w:r>
        <w:t xml:space="preserve">. Seedling growth model default parameters.</w:t>
      </w:r>
    </w:p>
    <w:p>
      <w:pPr>
        <w:pStyle w:val="Heading1"/>
      </w:pPr>
      <w:bookmarkStart w:id="44" w:name="list-of-figures"/>
      <w:bookmarkEnd w:id="44"/>
      <w:r>
        <w:t xml:space="preserve">List of Figures</w:t>
      </w:r>
    </w:p>
    <w:p>
      <w:r>
        <w:rPr>
          <w:b/>
        </w:rPr>
        <w:t xml:space="preserve">Figure 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br w:type="textWrapping"/>
      </w:r>
      <w:r>
        <w:rPr>
          <w:b/>
        </w:rPr>
        <w:t xml:space="preserve">Figure 2</w:t>
      </w:r>
      <w:r>
        <w:t xml:space="preserve">. Daily maximum and minimum temperature (a), total daily PPFD (b), and daily maximum vapour pressure deficit (c) across the experiment duration in 2013.</w:t>
      </w:r>
    </w:p>
    <w:p>
      <w:r>
        <w:br w:type="textWrapping"/>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r>
        <w:br w:type="textWrapping"/>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r>
        <w:br w:type="textWrapping"/>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br w:type="textWrapping"/>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r>
        <w:br w:type="textWrapping"/>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5" w:name="tables"/>
      <w:bookmarkEnd w:id="45"/>
      <w:r>
        <w:t xml:space="preserve">Tables</w:t>
      </w:r>
    </w:p>
    <w:p>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r>
        <w:rPr>
          <w:b/>
        </w:rPr>
        <w:t xml:space="preserve">Table 2.</w:t>
      </w:r>
      <w:r>
        <w:t xml:space="preserve"> </w:t>
      </w:r>
      <w:r>
        <w:t xml:space="preserve">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Pr>
              <w:pStyle w:val="Compact"/>
            </w:pPr>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r>
        <w:br w:type="textWrapping"/>
      </w:r>
      <w:r>
        <w:rPr>
          <w:b/>
        </w:rPr>
        <w:t xml:space="preserve">Table 3.</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A</w:t>
            </w:r>
            <w:r>
              <w:rPr>
                <w:vertAlign w:val="subscript"/>
                <w:b/>
              </w:rPr>
              <w:t xml:space="preserve">max</w:t>
            </w:r>
            <w:r>
              <w:rPr>
                <w:b/>
              </w:rPr>
              <w:t xml:space="preserve"> </w:t>
            </w:r>
            <w:r>
              <w:rPr>
                <w:b/>
              </w:rPr>
              <w:t xml:space="preserve">(</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6" w:name="figures"/>
      <w:bookmarkEnd w:id="46"/>
      <w:r>
        <w:t xml:space="preserve">Figures</w:t>
      </w:r>
    </w:p>
    <w:p>
      <w:r>
        <w:drawing>
          <wp:inline>
            <wp:extent cx="5440680" cy="707414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7"/>
                    <a:stretch>
                      <a:fillRect/>
                    </a:stretch>
                  </pic:blipFill>
                  <pic:spPr bwMode="auto">
                    <a:xfrm>
                      <a:off x="0" y="0"/>
                      <a:ext cx="5440680" cy="7074141"/>
                    </a:xfrm>
                    <a:prstGeom prst="rect">
                      <a:avLst/>
                    </a:prstGeom>
                    <a:noFill/>
                    <a:ln w="9525">
                      <a:noFill/>
                      <a:headEnd/>
                      <a:tailEnd/>
                    </a:ln>
                  </pic:spPr>
                </pic:pic>
              </a:graphicData>
            </a:graphic>
          </wp:inline>
        </w:drawing>
      </w:r>
    </w:p>
    <w:p>
      <w:r>
        <w:rPr>
          <w:b/>
        </w:rPr>
        <w:t xml:space="preserve">Figure 1</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8"/>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9"/>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1"/>
                    <a:stretch>
                      <a:fillRect/>
                    </a:stretch>
                  </pic:blipFill>
                  <pic:spPr bwMode="auto">
                    <a:xfrm>
                      <a:off x="0" y="0"/>
                      <a:ext cx="5440680" cy="40828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pPr>
        <w:pStyle w:val="Heading1"/>
      </w:pPr>
      <w:bookmarkStart w:id="53" w:name="supporting-information"/>
      <w:bookmarkEnd w:id="53"/>
      <w:r>
        <w:t xml:space="preserve">Supporting Information</w:t>
      </w:r>
    </w:p>
    <w:p>
      <w:r>
        <w:rPr>
          <w:b/>
        </w:rPr>
        <w:t xml:space="preserve">Table S1</w:t>
      </w:r>
      <w:r>
        <w:t xml:space="preserve">.Seedling growth model default parameters.</w:t>
      </w:r>
    </w:p>
    <w:tbl>
      <w:tblPr>
        <w:tblStyle w:val="TableNormal"/>
        <w:tblW w:type="pct" w:w="0.0"/>
      </w:tblPr>
      <w:tblGrid/>
      <w:t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sty m:val="p"/>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sty m:val="p"/>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S1</w:t>
      </w:r>
      <w:r>
        <w:t xml:space="preserve">.</w:t>
      </w:r>
    </w:p>
    <w:p>
      <w:pPr>
        <w:pStyle w:val="Heading1"/>
      </w:pPr>
      <w:bookmarkStart w:id="55" w:name="references"/>
      <w:bookmarkEnd w:id="55"/>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w:t>
      </w:r>
      <w:r>
        <w:t xml:space="preserve"> </w:t>
      </w:r>
      <w:r>
        <w:t xml:space="preserve">RDQ, Medlyn. B YplantQMC: Plant architectural analysis with Yplant and QuasiMC.</w:t>
      </w:r>
      <w:r>
        <w:t xml:space="preserve"> </w:t>
      </w:r>
      <w:hyperlink r:id="rId56">
        <w:r>
          <w:rPr>
            <w:rStyle w:val="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 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10:e0143346.</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 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Le Roux</w:t>
      </w:r>
      <w:r>
        <w:t xml:space="preserve"> </w:t>
      </w:r>
      <w:r>
        <w:t xml:space="preserve">X, Lacointe A, Escobar-Gutiérrez A,</w:t>
      </w:r>
      <w:r>
        <w:t xml:space="preserve"> </w:t>
      </w:r>
      <w:r>
        <w:t xml:space="preserve">Le Dizès</w:t>
      </w:r>
      <w:r>
        <w:t xml:space="preserve"> </w:t>
      </w:r>
      <w:r>
        <w:t xml:space="preserve">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w:t>
      </w:r>
      <w:r>
        <w:rPr>
          <w:vertAlign w:val="superscript"/>
        </w:rPr>
        <w:t xml:space="preserve">2</w:t>
      </w:r>
      <w:r>
        <w:t xml:space="preserve"> </w:t>
      </w:r>
      <w:r>
        <w:t xml:space="preserve">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431:169–177.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(2012a)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(2012b)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7">
        <w:r>
          <w:rPr>
            <w:rStyle w:val="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43e64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hyperlink" Id="rId57" Target="http://www.r-project.org" TargetMode="External" /><Relationship Type="http://schemas.openxmlformats.org/officeDocument/2006/relationships/hyperlink" Id="rId56"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7" Target="http://www.r-project.org" TargetMode="External" /><Relationship Type="http://schemas.openxmlformats.org/officeDocument/2006/relationships/hyperlink" Id="rId56"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