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4.png" ContentType="image/png"/>
  <Override PartName="/word/media/rId35.png" ContentType="image/png"/>
  <Override PartName="/word/media/rId33.png" ContentType="image/png"/>
  <Override PartName="/word/media/rId38.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br w:type="textWrapping"/>
      </w: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pPr>
        <w:pStyle w:val="Heading1"/>
      </w:pPr>
      <w:bookmarkStart w:id="21" w:name="abstract"/>
      <w:bookmarkEnd w:id="21"/>
      <w:r>
        <w:t xml:space="preserve">2.1 Abstract</w:t>
      </w:r>
    </w:p>
    <w:p>
      <w:pPr>
        <w:pStyle w:val="FirstParagraph"/>
      </w:pPr>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1"/>
      </w:pPr>
      <w:bookmarkStart w:id="22" w:name="introduction"/>
      <w:bookmarkEnd w:id="22"/>
      <w:r>
        <w:t xml:space="preserve">2.2 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i/>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pPr>
        <w:pStyle w:val="BodyText"/>
      </w:pPr>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3" w:name="materials-and-methods"/>
      <w:bookmarkEnd w:id="23"/>
      <w:r>
        <w:t xml:space="preserve">2.3 Materials and Methods</w:t>
      </w:r>
    </w:p>
    <w:p>
      <w:pPr>
        <w:pStyle w:val="Heading2"/>
      </w:pPr>
      <w:bookmarkStart w:id="24" w:name="experimental-design"/>
      <w:bookmarkEnd w:id="24"/>
      <w:r>
        <w:t xml:space="preserve">2.3.1 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5" w:name="growth-and-morphology-metrics"/>
      <w:bookmarkEnd w:id="25"/>
      <w:r>
        <w:t xml:space="preserve">2.3.2 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6" w:name="photosynthetic-parameters"/>
      <w:bookmarkEnd w:id="26"/>
      <w:r>
        <w:t xml:space="preserve">2.3.3 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7" w:name="leaf-water-potential"/>
      <w:bookmarkEnd w:id="27"/>
      <w:r>
        <w:t xml:space="preserve">2.3.4 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28" w:name="leaf-root-and-soil-chemistry"/>
      <w:bookmarkEnd w:id="28"/>
      <w:r>
        <w:t xml:space="preserve">2.3.5 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29" w:name="seedling-growth-model"/>
      <w:bookmarkEnd w:id="29"/>
      <w:r>
        <w:t xml:space="preserve">2.3.6 Seedling growth model</w:t>
      </w:r>
    </w:p>
    <w:p>
      <w:pPr>
        <w:pStyle w:val="FirstParagraph"/>
      </w:pPr>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0" w:name="data-analysis"/>
      <w:bookmarkEnd w:id="30"/>
      <w:r>
        <w:t xml:space="preserve">2.3.7 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1" w:name="results"/>
      <w:bookmarkEnd w:id="31"/>
      <w:r>
        <w:t xml:space="preserve">2.4 Results</w:t>
      </w:r>
    </w:p>
    <w:p>
      <w:pPr>
        <w:pStyle w:val="Heading2"/>
      </w:pPr>
      <w:bookmarkStart w:id="32" w:name="growth-and-morphology"/>
      <w:bookmarkEnd w:id="32"/>
      <w:r>
        <w:t xml:space="preserve">2.4.1 Growth and morphology</w:t>
      </w:r>
    </w:p>
    <w:p>
      <w:pPr>
        <w:pStyle w:val="FirstParagraph"/>
      </w:pPr>
      <w:r>
        <w:t xml:space="preserve">Plant height, diameter and leaf area diverged between container volumes soon after start of the experiment (Figure 2.1).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(Figure 2.1).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6879049"/>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33"/>
                    <a:stretch>
                      <a:fillRect/>
                    </a:stretch>
                  </pic:blipFill>
                  <pic:spPr bwMode="auto">
                    <a:xfrm>
                      <a:off x="0" y="0"/>
                      <a:ext cx="5422900" cy="6879049"/>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6879049"/>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34"/>
                    <a:stretch>
                      <a:fillRect/>
                    </a:stretch>
                  </pic:blipFill>
                  <pic:spPr bwMode="auto">
                    <a:xfrm>
                      <a:off x="0" y="0"/>
                      <a:ext cx="5422900" cy="6879049"/>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35"/>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6" w:name="leaf-and-root-chemistry"/>
      <w:bookmarkEnd w:id="36"/>
      <w:r>
        <w:t xml:space="preserve">2.4.2 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7" w:name="gas-exchange-and-photosynthetic-parameters"/>
      <w:bookmarkEnd w:id="37"/>
      <w:r>
        <w:t xml:space="preserve">2.4.3 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r>
        <w:br w:type="textWrapping"/>
      </w:r>
      <w:r>
        <w:drawing>
          <wp:inline>
            <wp:extent cx="5422900" cy="4067175"/>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39"/>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0" w:name="modelling-seedling-biomass"/>
      <w:bookmarkEnd w:id="40"/>
      <w:r>
        <w:t xml:space="preserve">2.4.4 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41"/>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2" w:name="discussion"/>
      <w:bookmarkEnd w:id="42"/>
      <w:r>
        <w:t xml:space="preserve">2.5 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3" w:name="reductions-in-growth-and-physiology-under-sink-limitation"/>
      <w:bookmarkEnd w:id="43"/>
      <w:r>
        <w:t xml:space="preserve">2.5.1 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4" w:name="biomass-partitioning-under-sink-limitation"/>
      <w:bookmarkEnd w:id="44"/>
      <w:r>
        <w:t xml:space="preserve">2.5.2 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5" w:name="do-reductions-in-photosynthesis-explain-reductions-in-seedling-growth"/>
      <w:bookmarkEnd w:id="45"/>
      <w:r>
        <w:t xml:space="preserve">2.5.3 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6" w:name="conclusions"/>
      <w:bookmarkEnd w:id="46"/>
      <w:r>
        <w:t xml:space="preserve">2.5.4 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7" w:name="supporting-information"/>
      <w:bookmarkEnd w:id="47"/>
      <w:r>
        <w:t xml:space="preserve">2.6 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48"/>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9" w:name="references"/>
      <w:bookmarkEnd w:id="49"/>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0">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1">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4070b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_rels/footnotes.xml.rels><?xml version="1.0" encoding="UTF-8"?>
<Relationships xmlns="http://schemas.openxmlformats.org/package/2006/relationships"><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Belowground sink limitation alters growth and carbon balance of Eucalyptus seedlings</dc:title>
  <dc:creator/>
</cp:coreProperties>
</file>