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Photosynthetic capacity was also significantly reduced in containerized seedlings, and was related to both reduced leaf nitrogen content and starch accumulation.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dried to a constant mass and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L</m:t>
          </m:r>
          <m:r>
            <m:t>(</m:t>
          </m:r>
          <m:r>
            <m:t>P</m:t>
          </m:r>
          <m:r>
            <m:t> </m:t>
          </m:r>
          <m:r>
            <m:t>σ</m:t>
          </m:r>
          <m:r>
            <m:t>−</m:t>
          </m:r>
          <m:r>
            <m:t>R</m:t>
          </m:r>
          <m:r>
            <m:t>)</m:t>
          </m:r>
        </m:oMath>
      </m:oMathPara>
    </w:p>
    <w:p>
      <w:pPr>
        <w:pStyle w:val="FirstParagraph"/>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t>x</m:t>
            </m:r>
          </m:e>
        </m:bar>
      </m:oMath>
      <w:r>
        <w:t xml:space="preserve"> </w:t>
      </w:r>
      <w:r>
        <w:t xml:space="preserve">= 0.904, 95 %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1214"/>
        <w:gridCol w:w="1117"/>
        <w:gridCol w:w="1263"/>
        <w:gridCol w:w="1020"/>
        <w:gridCol w:w="1020"/>
        <w:gridCol w:w="923"/>
        <w:gridCol w:w="136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900"/>
        <w:gridCol w:w="1332"/>
        <w:gridCol w:w="1368"/>
        <w:gridCol w:w="1332"/>
        <w:gridCol w:w="1368"/>
        <w:gridCol w:w="1080"/>
        <w:gridCol w:w="54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19a9b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2016-11-04T05:03:58Z</dcterms:created>
  <dcterms:modified xsi:type="dcterms:W3CDTF">2016-11-04T05:03:58Z</dcterms:modified>
</cp:coreProperties>
</file>