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Below-ground</w:t>
      </w:r>
      <w:r>
        <w:t xml:space="preserve"> </w:t>
      </w:r>
      <w:r>
        <w:t xml:space="preserve">sink</w:t>
      </w:r>
      <w:r>
        <w:t xml:space="preserve"> </w:t>
      </w:r>
      <w:r>
        <w:t xml:space="preserve">limitation</w:t>
      </w:r>
      <w:r>
        <w:t xml:space="preserve"> </w:t>
      </w:r>
      <w:r>
        <w:t xml:space="preserve">alters</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This study used manipulations of soil volume to test how growth is coupled to physiology, carbon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(A)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contatiner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tightly coordinated, an unaccounted for pool of non-biomass C resulted in seedlings with soil volume restriction. These results highlight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is not necessarily limited by the availability of recent photosynthate.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regulate photosynthetic activity</w:t>
      </w:r>
      <w:r>
        <w:t xml:space="preserve"> </w:t>
      </w:r>
      <w:r>
        <w:t xml:space="preserve">(Paul and Foyer 2001)</w:t>
      </w:r>
      <w:r>
        <w:t xml:space="preserve">. If sink inhibition of A occurs, a close coordination between declines in A and growth should be expected. Whether photosynthetic down regulation is evident in woody species has been tested through fruit removal, phloem girdling, and low temperatures.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the occurence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 The advantage of this approach is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et al. 2012a and references therein)</w:t>
      </w:r>
      <w:r>
        <w:t xml:space="preserve">. Inadequate rooting volume may decrease C sink strength by progressively restricting root growth</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(2012a)</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changes in partitioning to fine root mass to be magnified with decreasing container size.</w:t>
      </w:r>
    </w:p>
    <w:p>
      <w:r>
        <w:t xml:space="preserve">3). Reduced sink strength was expected to lead to accumulation of leaf non-structural carbohydrates, and a resulting downregulation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in containers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abd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the hard layer and keeping only roots within the subplot.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stabalized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biomass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as random effects and soil volume treatment as a categorical fixed effect iwth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0.002 &amp; 0.001, respectively). The large reductions in height gain and total leaf area in smaller compared to larger containers continued throughout the experiment. In this field study, colder temperatures and reductions in total PPFD per day (Figure 2) most likely led to the reduced growth in the free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with free seedlings (P &lt; 0.001, Table 1). On average, harvested biomass of free seedlings was 84% higher than seedlings in containers. We analyzed the relationship between biomass growth and soil volume and found an increase of 34 % with a doubling of container volume, consistent with the meta-analysis of Poorter et al.</w:t>
      </w:r>
      <w:r>
        <w:t xml:space="preserve"> </w:t>
      </w:r>
      <w:r>
        <w:t xml:space="preserve">(2012a)</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 % compared to other soil volumes, while free seedlings maintained the highest leaf N % (Table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each significantly higher in the largest container volume and the free seedling treatment compared to the smaller containers at the first measurement campaign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Across all measurement campaign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significantly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soil volume treatments (Figure 6b). As a result, the observed reductions in leaf A 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this excess pool of C. Testing the sensitivity of the model to treatment-specific LMF from the final harvest (M</w:t>
      </w:r>
      <w:r>
        <w:rPr>
          <w:vertAlign w:val="subscript"/>
        </w:rPr>
        <w:t xml:space="preserve">2</w:t>
      </w:r>
      <w:r>
        <w:t xml:space="preserve">) improved model predictions of seedling C mass but still overestimated seedling total C by 32±11.1 % (Figure S1a). Using harvest values of LMF, however, does not capture the increase in senescence of seedlings in small containers (Figure 1c). Thus, the 7-61 % reduction in harvest avlues of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 A and growth by complementing empirical results with a carbon balance model. We found that reductions in leaf A across container sizes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allometric growth parameters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et al. 2012a)</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 A of well-watered seedlings oberved in our study of</w:t>
      </w:r>
      <w:r>
        <w:t xml:space="preserve"> </w:t>
      </w:r>
      <w:r>
        <w:rPr>
          <w:i/>
        </w:rPr>
        <w:t xml:space="preserve">E.tereticornis</w:t>
      </w:r>
      <w:r>
        <w:t xml:space="preserve"> </w:t>
      </w:r>
      <w:r>
        <w:t xml:space="preserve">seedlings was instead the result of limiting soil nutrients or barrier sensing on belowground sink strength.</w:t>
      </w:r>
    </w:p>
    <w:p>
      <w:r>
        <w:br w:type="textWrapping"/>
      </w:r>
      <w:r>
        <w:t xml:space="preserve">Although the soil N % declined evenly across all treatments, leaf N was lowest in the smallest containers, suggesting sink limitation was the greatest in these containers. This makes sense as small containers may result in a reduction of total N uptake, either from physical root restriction or decreased supply, which will affect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maintain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correlated with starch content. As starch content in leaves of plants grown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et al.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This is a surprising result as shifts in allocation have been noted specifically for nutrient limitation</w:t>
      </w:r>
      <w:r>
        <w:t xml:space="preserve"> </w:t>
      </w:r>
      <w:r>
        <w:t xml:space="preserve">(McConnaughay and Coleman 1999, and references therein)</w:t>
      </w:r>
      <w:r>
        <w:t xml:space="preserve">. Surprisingly, fine root to leaf mass ratio was conserved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 as roots essentially compete among themselves for nutrients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as hypothesized by Poorter et al.</w:t>
      </w:r>
      <w:r>
        <w:t xml:space="preserve"> </w:t>
      </w:r>
      <w:r>
        <w:t xml:space="preserve">(2012a)</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still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p>
      <w:r>
        <w:br w:type="textWrapping"/>
      </w:r>
      <w:r>
        <w:rPr>
          <w:b/>
        </w:rPr>
        <w:t xml:space="preserve">Table 2</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 = 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Seedling~mass (g)</w:t>
            </w:r>
          </w:p>
        </w:tc>
        <w:tc>
          <w:tcPr>
            <w:tcBorders>
              <w:bottom w:val="single"/>
            </w:tcBorders>
            <w:vAlign w:val="bottom"/>
          </w:tcPr>
          <w:p>
            <w:pPr>
              <w:pStyle w:val="Compact"/>
              <w:jc w:val="left"/>
            </w:pPr>
            <w:r>
              <w:rPr>
                <w:b/>
              </w:rPr>
              <w:t xml:space="preserve">SLA TNC-free (m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Nitrogen (%)</w:t>
            </w:r>
          </w:p>
        </w:tc>
        <w:tc>
          <w:tcPr>
            <w:tcBorders>
              <w:bottom w:val="single"/>
            </w:tcBorders>
            <w:vAlign w:val="bottom"/>
          </w:tcPr>
          <w:p>
            <w:pPr>
              <w:pStyle w:val="Compact"/>
              <w:jc w:val="left"/>
            </w:pPr>
            <w:r>
              <w:rPr>
                <w:b/>
              </w:rPr>
              <w:t xml:space="preserve">Root Nitrogen (%)</w:t>
            </w:r>
          </w:p>
        </w:tc>
        <w:tc>
          <w:tcPr>
            <w:tcBorders>
              <w:bottom w:val="single"/>
            </w:tcBorders>
            <w:vAlign w:val="bottom"/>
          </w:tcPr>
          <w:p>
            <w:pPr>
              <w:pStyle w:val="Compact"/>
              <w:jc w:val="left"/>
            </w:pPr>
            <w:r>
              <w:rPr>
                <w:b/>
              </w:rPr>
              <w:t xml:space="preserve">SRL (cm m</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δ</w:t>
            </w:r>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73.0 (6.73) ab</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99.6 (8.70) 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74.6 (6.98)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85.8 (7.37)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82.5 (15.02)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63.1 (6.47)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 (0.03) b</w:t>
            </w:r>
          </w:p>
        </w:tc>
        <w:tc>
          <w:p>
            <w:pPr>
              <w:pStyle w:val="Compact"/>
              <w:jc w:val="left"/>
            </w:pPr>
            <w:r>
              <w:t xml:space="preserve">50.9 (5.00) a</w:t>
            </w:r>
          </w:p>
        </w:tc>
        <w:tc>
          <w:p>
            <w:pPr>
              <w:pStyle w:val="Compact"/>
              <w:jc w:val="left"/>
            </w:pPr>
            <w:r>
              <w:t xml:space="preserve">-30.0 (0.34) a</w:t>
            </w:r>
          </w:p>
        </w:tc>
      </w:tr>
      <w:tr>
        <w:tc>
          <w:p>
            <w:pPr>
              <w:pStyle w:val="Compact"/>
              <w:jc w:val="left"/>
            </w:pPr>
            <w:r>
              <w:t xml:space="preserve">P value</w:t>
            </w:r>
          </w:p>
        </w:tc>
        <w:tc>
          <w:p>
            <w:pPr>
              <w:pStyle w:val="Compact"/>
              <w:jc w:val="left"/>
            </w:pPr>
            <w:r>
              <w:t xml:space="preserve">Container Effect</w:t>
            </w:r>
          </w:p>
        </w:tc>
        <w:tc>
          <w:p>
            <w:pPr>
              <w:pStyle w:val="Compact"/>
              <w:jc w:val="left"/>
            </w:pPr>
            <w:r>
              <w:t xml:space="preserve">0.001</w:t>
            </w:r>
          </w:p>
        </w:tc>
        <w:tc>
          <w:p>
            <w:pPr>
              <w:pStyle w:val="Compact"/>
              <w:jc w:val="left"/>
            </w:pPr>
            <w:r>
              <w:t xml:space="preserve">0.001</w:t>
            </w:r>
          </w:p>
        </w:tc>
        <w:tc>
          <w:p>
            <w:pPr>
              <w:pStyle w:val="Compact"/>
              <w:jc w:val="left"/>
            </w:pPr>
            <w:r>
              <w:t xml:space="preserve">0.039</w:t>
            </w:r>
          </w:p>
        </w:tc>
        <w:tc>
          <w:p>
            <w:pPr>
              <w:pStyle w:val="Compact"/>
              <w:jc w:val="left"/>
            </w:pPr>
            <w:r>
              <w:t xml:space="preserve">0.128</w:t>
            </w:r>
          </w:p>
        </w:tc>
        <w:tc>
          <w:p>
            <w:pPr>
              <w:pStyle w:val="Compact"/>
              <w:jc w:val="left"/>
            </w:pPr>
            <w:r>
              <w:t xml:space="preserve">0.001</w:t>
            </w:r>
          </w:p>
        </w:tc>
        <w:tc>
          <w:p>
            <w:pPr>
              <w:pStyle w:val="Compact"/>
              <w:jc w:val="left"/>
            </w:pPr>
            <w:r>
              <w:t xml:space="preserve">0.015</w:t>
            </w:r>
          </w:p>
        </w:tc>
        <w:tc>
          <w:p>
            <w:pPr>
              <w:pStyle w:val="Compact"/>
              <w:jc w:val="left"/>
            </w:pPr>
            <w:r>
              <w:t xml:space="preserve">0.001</w:t>
            </w:r>
          </w:p>
        </w:tc>
      </w:tr>
    </w:tbl>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A</w:t>
            </w:r>
            <w:r>
              <w:rPr>
                <w:vertAlign w:val="subscript"/>
                <w:b/>
              </w:rPr>
              <w:t xml:space="preserve">max</w:t>
            </w:r>
          </w:p>
        </w:tc>
        <w:tc>
          <w:tcPr>
            <w:tcBorders>
              <w:bottom w:val="single"/>
            </w:tcBorders>
            <w:vAlign w:val="bottom"/>
          </w:tcPr>
          <w:p>
            <w:pPr>
              <w:pStyle w:val="Compact"/>
              <w:jc w:val="left"/>
            </w:pPr>
            <w:r>
              <w:rPr>
                <w:b/>
              </w:rPr>
              <w:t xml:space="preserve">R</w:t>
            </w:r>
            <w:r>
              <w:rPr>
                <w:vertAlign w:val="subscript"/>
                <w:b/>
              </w:rPr>
              <w:t xml:space="preserve">dark</w:t>
            </w:r>
          </w:p>
        </w:tc>
        <w:tc>
          <w:tcPr>
            <w:tcBorders>
              <w:bottom w:val="single"/>
            </w:tcBorders>
            <w:vAlign w:val="bottom"/>
          </w:tcPr>
          <w:p>
            <w:pPr>
              <w:pStyle w:val="Compact"/>
              <w:jc w:val="left"/>
            </w:pPr>
            <w:r>
              <w:rPr>
                <w:b/>
              </w:rPr>
              <w:t xml:space="preserve">J</w:t>
            </w:r>
            <w:r>
              <w:rPr>
                <w:vertAlign w:val="subscript"/>
                <w:b/>
              </w:rPr>
              <w:t xml:space="preserve">max</w:t>
            </w:r>
          </w:p>
        </w:tc>
        <w:tc>
          <w:tcPr>
            <w:tcBorders>
              <w:bottom w:val="single"/>
            </w:tcBorders>
            <w:vAlign w:val="bottom"/>
          </w:tcPr>
          <w:p>
            <w:pPr>
              <w:pStyle w:val="Compact"/>
              <w:jc w:val="left"/>
            </w:pPr>
            <w:r>
              <w:rPr>
                <w:b/>
              </w:rPr>
              <w:t xml:space="preserve">Vc</w:t>
            </w:r>
            <w:r>
              <w:rPr>
                <w:vertAlign w:val="subscript"/>
                <w:b/>
              </w:rPr>
              <w:t xml:space="preserve">max</w:t>
            </w:r>
          </w:p>
        </w:tc>
        <w:tc>
          <w:tcPr>
            <w:tcBorders>
              <w:bottom w:val="single"/>
            </w:tcBorders>
            <w:vAlign w:val="bottom"/>
          </w:tcPr>
          <w:p>
            <w:pPr>
              <w:pStyle w:val="Compact"/>
              <w:jc w:val="left"/>
            </w:pPr>
            <w:r>
              <w:rPr>
                <w:b/>
              </w:rPr>
              <w:t xml:space="preserve">g</w:t>
            </w:r>
            <w:r>
              <w:rPr>
                <w:vertAlign w:val="subscript"/>
                <w:b/>
              </w:rPr>
              <w:t xml:space="preserve">s</w:t>
            </w:r>
          </w:p>
        </w:tc>
        <w:tc>
          <w:tcPr>
            <w:tcBorders>
              <w:bottom w:val="single"/>
            </w:tcBorders>
            <w:vAlign w:val="bottom"/>
          </w:tcPr>
          <w:p>
            <w:pPr>
              <w:pStyle w:val="Compact"/>
              <w:jc w:val="left"/>
            </w:pPr>
            <w:r>
              <w:rPr>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(0.01) a</w:t>
            </w:r>
          </w:p>
        </w:tc>
        <w:tc>
          <w:p>
            <w:pPr>
              <w:pStyle w:val="Compact"/>
              <w:jc w:val="left"/>
            </w:pPr>
            <w:r>
              <w:t xml:space="preserve">5.1 (0.1)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(0.01) ab</w:t>
            </w:r>
          </w:p>
        </w:tc>
        <w:tc>
          <w:p>
            <w:pPr>
              <w:pStyle w:val="Compact"/>
              <w:jc w:val="left"/>
            </w:pPr>
            <w:r>
              <w:t xml:space="preserve">5.4 (0.1)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 ab</w:t>
            </w:r>
          </w:p>
        </w:tc>
        <w:tc>
          <w:p>
            <w:pPr>
              <w:pStyle w:val="Compact"/>
              <w:jc w:val="left"/>
            </w:pPr>
            <w:r>
              <w:t xml:space="preserve">5.8 (0.1)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 ab</w:t>
            </w:r>
          </w:p>
        </w:tc>
        <w:tc>
          <w:p>
            <w:pPr>
              <w:pStyle w:val="Compact"/>
              <w:jc w:val="left"/>
            </w:pPr>
            <w:r>
              <w:t xml:space="preserve">4.9 (0.1)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(0.01) a</w:t>
            </w:r>
          </w:p>
        </w:tc>
        <w:tc>
          <w:p>
            <w:pPr>
              <w:pStyle w:val="Compact"/>
              <w:jc w:val="left"/>
            </w:pPr>
            <w:r>
              <w:t xml:space="preserve">4.5 (0.1)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 a</w:t>
            </w:r>
          </w:p>
        </w:tc>
        <w:tc>
          <w:p>
            <w:pPr>
              <w:pStyle w:val="Compact"/>
              <w:jc w:val="left"/>
            </w:pPr>
            <w:r>
              <w:t xml:space="preserve">4.4 (0.2)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 b</w:t>
            </w:r>
          </w:p>
        </w:tc>
        <w:tc>
          <w:p>
            <w:pPr>
              <w:pStyle w:val="Compact"/>
              <w:jc w:val="left"/>
            </w:pPr>
            <w:r>
              <w:t xml:space="preserve">4.5 (0.1) ab</w:t>
            </w:r>
          </w:p>
        </w:tc>
      </w:tr>
      <w:tr>
        <w:tc>
          <w:p>
            <w:pPr>
              <w:pStyle w:val="Compact"/>
              <w:jc w:val="left"/>
            </w:pPr>
            <w:r>
              <w:t xml:space="preserve">P value</w:t>
            </w:r>
          </w:p>
        </w:tc>
        <w:tc>
          <w:p>
            <w:pPr>
              <w:pStyle w:val="Compact"/>
              <w:jc w:val="left"/>
            </w:pPr>
            <w:r>
              <w:t xml:space="preserve">Container Effect</w:t>
            </w:r>
          </w:p>
        </w:tc>
        <w:tc>
          <w:p>
            <w:pPr>
              <w:pStyle w:val="Compact"/>
              <w:jc w:val="left"/>
            </w:pPr>
            <w:r>
              <w:t xml:space="preserve">0.001</w:t>
            </w:r>
          </w:p>
        </w:tc>
        <w:tc>
          <w:p>
            <w:pPr>
              <w:pStyle w:val="Compact"/>
              <w:jc w:val="left"/>
            </w:pPr>
            <w:r>
              <w:t xml:space="preserve">0.039</w:t>
            </w:r>
          </w:p>
        </w:tc>
        <w:tc>
          <w:p>
            <w:pPr>
              <w:pStyle w:val="Compact"/>
              <w:jc w:val="left"/>
            </w:pPr>
            <w:r>
              <w:t xml:space="preserve">0.001</w:t>
            </w:r>
          </w:p>
        </w:tc>
        <w:tc>
          <w:p>
            <w:pPr>
              <w:pStyle w:val="Compact"/>
              <w:jc w:val="left"/>
            </w:pPr>
            <w:r>
              <w:t xml:space="preserve">0.002</w:t>
            </w:r>
          </w:p>
        </w:tc>
        <w:tc>
          <w:p>
            <w:pPr>
              <w:pStyle w:val="Compact"/>
              <w:jc w:val="left"/>
            </w:pPr>
            <w:r>
              <w:t xml:space="preserve">0.001</w:t>
            </w:r>
          </w:p>
        </w:tc>
      </w:tr>
    </w:tbl>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w:t>
      </w:r>
    </w:p>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(2012a)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(2012b)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8ef78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Below-ground sink limitation alters growth and carbon balance of Eucalyptus seedlings</dc:title>
  <dc:creator/>
</cp:coreProperties>
</file>