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2.png" ContentType="image/png"/>
  <Override PartName="/word/media/rId44.png" ContentType="image/png"/>
  <Override PartName="/word/media/rId43.png" ContentType="image/png"/>
  <Override PartName="/word/media/rId45.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space</w:t>
      </w:r>
      <w:r>
        <w:t xml:space="preserve"> </w:t>
      </w:r>
      <w:r>
        <w:t xml:space="preserve">limitation</w:t>
      </w:r>
      <w:r>
        <w:t xml:space="preserve"> </w:t>
      </w:r>
      <w:r>
        <w:t xml:space="preserve">on</w:t>
      </w:r>
      <w:r>
        <w:t xml:space="preserve"> </w:t>
      </w:r>
      <w:r>
        <w:t xml:space="preserve">performance</w:t>
      </w:r>
      <w:r>
        <w:t xml:space="preserve"> </w:t>
      </w:r>
      <w:r>
        <w:t xml:space="preserve">of</w:t>
      </w:r>
      <w:r>
        <w:t xml:space="preserve"> </w:t>
      </w:r>
      <w:r>
        <w:t xml:space="preserve">Eucalyptus</w:t>
      </w:r>
      <w:r>
        <w:t xml:space="preserve"> </w:t>
      </w:r>
      <w:r>
        <w:t xml:space="preserve">seedlings:</w:t>
      </w:r>
      <w:r>
        <w:t xml:space="preserve"> </w:t>
      </w:r>
      <w:r>
        <w:t xml:space="preserve">Does</w:t>
      </w:r>
      <w:r>
        <w:t xml:space="preserve"> </w:t>
      </w:r>
      <w:r>
        <w:t xml:space="preserve">photosynthesis</w:t>
      </w:r>
      <w:r>
        <w:t xml:space="preserve"> </w:t>
      </w:r>
      <w:r>
        <w:t xml:space="preserve">really</w:t>
      </w:r>
      <w:r>
        <w:t xml:space="preserve"> </w:t>
      </w:r>
      <w:r>
        <w:t xml:space="preserve">control</w:t>
      </w:r>
      <w:r>
        <w:t xml:space="preserve"> </w:t>
      </w:r>
      <w:r>
        <w:t xml:space="preserve">growth?</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resulting in physical constraints to growth independently of photosynthesis (A). Photosynthesis would then become sink-limited, resulting in the build-up of leaf nonstructural carbohydrates eventually leading to photosynthetic down regulation. We observed a negative container effect on aboveground growth soon after the experiment started. Although growth was consistently different across soil volumes mass, partitioning to leaves, stems, roots was conserved after 120 days. Photosynthetic capacity was also significantly reduced in containers, and was related to both leaf nitrogen content and starch accumulation. We developed a seedling growth model that utilized leaf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photosynthesis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sinks. At long enough time scales A and growth must be correlated in respect to mass balance, however, at shorter temproal scales growth is not necessarily limited by the availability of recent photosynthate. This has led to the current debate over how strongly plant growth is controlled by either source of sink activity. Consequently, plant growth cannot be simply determined by rates of A making it complex to understand and challenging to model</w:t>
      </w:r>
      <w:r>
        <w:t xml:space="preserve"> </w:t>
      </w:r>
      <w:r>
        <w:t xml:space="preserve">(Fourcaud et al. 2008)</w:t>
      </w:r>
      <w:r>
        <w:t xml:space="preserve">. Despite a wealth of studies large uncertainties still remain regarding the coordination of C supply, via A,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increase in forest production</w:t>
      </w:r>
      <w:r>
        <w:t xml:space="preserve"> </w:t>
      </w:r>
      <w:r>
        <w:t xml:space="preserve">(Norby et al. 2005)</w:t>
      </w:r>
      <w:r>
        <w:t xml:space="preserve">. Evidence from elevated CO</w:t>
      </w:r>
      <w:r>
        <w:rPr>
          <w:vertAlign w:val="subscript"/>
        </w:rPr>
        <w:t xml:space="preserve">2</w:t>
      </w:r>
      <w:r>
        <w:t xml:space="preserve"> </w:t>
      </w:r>
      <w:r>
        <w:t xml:space="preserve">experiments, however, also reveals that the growth response tends to be much smaller than the photosynthetic enhancement</w:t>
      </w:r>
      <w:r>
        <w:t xml:space="preserve"> </w:t>
      </w:r>
      <w:r>
        <w:t xml:space="preserve">(Kirschbaum 2011)</w:t>
      </w:r>
      <w:r>
        <w:t xml:space="preserve">. In defoliation experiments, compensatory increases in A are commonly shown yet are attributed to variable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then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‘normal’ field-grown woody species.</w:t>
      </w:r>
    </w:p>
    <w:p>
      <w:r>
        <w:br w:type="textWrapping"/>
      </w:r>
      <w:r>
        <w:t xml:space="preserve">If source or sink manipulations do not lead to equivalent changes in growth then understanding the fate of assimilated carbon becomes even more crucial. As programmed plasticity in C allocation naturally occur as plants growth and develop, this must be accounted for when evaluating induced variation in growth</w:t>
      </w:r>
      <w:r>
        <w:t xml:space="preserve"> </w:t>
      </w:r>
      <w:r>
        <w:t xml:space="preserve">(Wright and Mcconnaughay 2002)</w:t>
      </w:r>
      <w:r>
        <w:t xml:space="preserve">. Thus, when C allocation is altered by a treatment, it should be shown whether these allocation patterns differ from common sized untreated plants</w:t>
      </w:r>
      <w:r>
        <w:t xml:space="preserve"> </w:t>
      </w:r>
      <w:r>
        <w:t xml:space="preserve">(Reich et al. 2002, Poorter, Niklas, et al. 2012)</w:t>
      </w:r>
      <w:r>
        <w:t xml:space="preserve">. Only then can we test if functional balance preservation or optimal foraging occurs from changes in C uptake. For example, seedlings in containers may shift allocation to leaves if root restriction occurs or alter fine root morphology to increase nutrient uptake. In woody species, shifts in allometric relationships of leaves, stems and roots can reveal if growth is ontogenetically constrained or actively adjusted when A is affected. This then allows additional pools of carbon, such as root exudation or changes in tissue respiration, to be accounted for and mass balance to be achieved.</w:t>
      </w:r>
    </w:p>
    <w:p>
      <w:r>
        <w:br w:type="textWrapping"/>
      </w:r>
      <w:r>
        <w:t xml:space="preserve">An alternative experimental approach is to lower belowground C sink strength in tree seedlings by manipulating rooting volume, by varying the container size. The advantage of this approach is it allows a large range of manipulations, can be easily compared to naturally planted seedlings and mimics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and references therein)</w:t>
      </w:r>
      <w:r>
        <w:t xml:space="preserve">. Inadequate rooting volume may decrease carbon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 A is the process likely to be the strongest affected by pot size and may best explain the observed effect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and the limited nutrient resource pool.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t xml:space="preserve">1). The manipulations of container size were expected to induce a belowground sink limitation compared to free seedlings. We hypothesized that declines in seedling grow would be largest in the smallest containers, mediated by a down-regulation of photosynthesis.</w:t>
      </w:r>
    </w:p>
    <w:p>
      <w:r>
        <w:t xml:space="preserve">2). Reduced sink strength was expected to lead to accumulation of leaf non-structural carbohydrates, which is known to inhibit photosynthsis. We therefore expected a correlation between carbohydrate accumulation and photosynthetic capacity as a function of soil volume.</w:t>
      </w:r>
    </w:p>
    <w:p>
      <w:r>
        <w:t xml:space="preserve">3). Last, the growth model was expected to find agreement between simulated and observed seedling mass, through direct correlation of the effects of limiiting soil volume on A.</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This is generally hypothesized to be a different response than seedlings with no taproot. By using a species with tap root growth and manipulations of container length rather than width, it is believed that a more realistic test of inhibition of growth through constrained soil volume would be achieved. Six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0.5 m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accounting for natural precipitation, to maintain soil moisture at field capacity (13-15%).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(6~mm diameter) was inset into the gravel layer and extended through the top of the container. A lysimeter pump was then used to suction excess water, through the tubing, as needed . As small containers (5, 10, and 15 l) have a larger irradiation effect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cumulative leaf area (LI-3100C Area Meter; LI-COR, Lincoln, NE, USA) was measured for each seedling. Mean individual leaf area for each harvested seedling was calculated by dividing cumulative leaf area by total leaf count of only fully expanded leaves. This value was then used to interpolate cumulative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0.5 m depth. 25 g fresh weight subsamples of washed fine roots were analyzed, using WhinoRhizo software (Regent Instruments Inc.), for specific root length (SRL, cm~m</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also developed at 25°C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 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to CO</w:t>
      </w:r>
      <w:r>
        <w:rPr>
          <w:vertAlign w:val="subscript"/>
        </w:rPr>
        <w:t xml:space="preserve">2</w:t>
      </w:r>
      <w:r>
        <w:t xml:space="preserve">, feed to the mass spectrometer and isotopic signatures are reported relative to the VPDP scale. Leaf TNC concentration was analyzed using a total starch assay kit (Megazyme International 303 Ireland Ltd.,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Specific leaf area (SLA,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e</m:t>
        </m:r>
        <m:r>
          <m:rPr>
            <m:sty m:val="p"/>
          </m:rPr>
          <m:t>p</m:t>
        </m:r>
        <m:r>
          <m:rPr>
            <m:sty m:val="p"/>
          </m:rPr>
          <m:t>s</m:t>
        </m:r>
        <m:r>
          <m:rPr>
            <m:sty m:val="p"/>
          </m:rPr>
          <m:t>i</m:t>
        </m:r>
        <m:r>
          <m:rPr>
            <m:sty m:val="p"/>
          </m:rPr>
          <m:t>l</m:t>
        </m:r>
        <m:r>
          <m:rPr>
            <m:sty m:val="p"/>
          </m:rPr>
          <m:t>o</m:t>
        </m:r>
        <m:r>
          <m:rPr>
            <m:sty m:val="p"/>
          </m:rPr>
          <m:t>n</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Due to the duration of the experiment</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in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 </w:t>
      </w:r>
      <w:r>
        <w:t xml:space="preserve">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2012)</w:t>
      </w:r>
      <w:r>
        <w:t xml:space="preserve"> </w:t>
      </w:r>
      <w:r>
        <w:t xml:space="preserve">with observed g</w:t>
      </w:r>
      <w:r>
        <w:rPr>
          <w:vertAlign w:val="subscript"/>
        </w:rPr>
        <w:t xml:space="preserve">s</w:t>
      </w:r>
      <w:r>
        <w:t xml:space="preserve"> </w:t>
      </w:r>
      <w:r>
        <w:t xml:space="preserve">values. Examples of the photosynthesis model are described in Medlyn et al.</w:t>
      </w:r>
      <w:r>
        <w:t xml:space="preserve"> </w:t>
      </w:r>
      <w:r>
        <w:t xml:space="preserve">(2002)</w:t>
      </w:r>
      <w:r>
        <w:t xml:space="preserve"> </w:t>
      </w:r>
      <w:r>
        <w:t xml:space="preserve">and the approach of the coupled leaf gas exchange model are described in Duursma et al</w:t>
      </w:r>
      <w:r>
        <w:t xml:space="preserve"> </w:t>
      </w:r>
      <w:r>
        <w:t xml:space="preserve">(2014)</w:t>
      </w:r>
      <w:r>
        <w:t xml:space="preserve">. Combined with the meteorological parameters; PPFD, air temperature, and relative humidity, at 15~m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15~min timesteps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 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Table.3.</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carbon gain for each treatment was equal to the sum of each value of C</w:t>
      </w:r>
      <w:r>
        <w:rPr>
          <w:vertAlign w:val="subscript"/>
        </w:rPr>
        <w:t xml:space="preserve">day,i</w:t>
      </w:r>
      <w:r>
        <w:t xml:space="preserve"> </w:t>
      </w:r>
      <w:r>
        <w:t xml:space="preserve">over 120 days and final seedling carbon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carbon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 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r>
        <w:t xml:space="preserve">In this field study, colder temperatures and reductions in cumulative PPFD per day (Fig. 1) most likely lead to the reduced growth in the free seedlings in the final weeks of the experiment (Fig. 2). Combined with severe growth reductions in the smallest container volumes the experiment was chosen to be harvested after 120 days. Over this duration height, diameter, and leaf area diverged between container volumes (Fig. 2). First, seedling leaf area significantly diverged between soil volumes (P&lt;0.026)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(P&lt;0.002 &amp; 0.001, respectively). Negative growth effects then manifested as severely reduced height gain and declining leaf area through time with small soil volumes across the final two months of the experiment. Seedlings maintained diameter growth throughout the experiment, although marginal with smaller soil volumes in the final month. Final seedling height significantly increased with increasing soil volume (P&lt;0.001). Increases in both final stem diameter (P&lt;0.001) and cumulative leaf area (both P&lt;0.001)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(P&lt;0.001) and with free seedlings (P&lt;0.001, Table. 1). We analyzed the relationship between biomass growth with each fold increase in soil volume and found an increase of 34%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P&lt;0.001). Differences in biomass partitioning to leaves, stems, and roots were not different across soil volumes after variation in seedling biomass within treatments was factored in the analysis (Fig.3a,b). Across all treatments, the final harvested root:shoot was conserved in these seedlings, with a slightly higher shoot than root mass on average (</w:t>
      </w:r>
      <m:oMath>
        <m:bar>
          <m:barPr>
            <m:pos m:val="top"/>
          </m:barPr>
          <m:e>
            <m:r>
              <m:rPr>
                <m:sty m:val="p"/>
              </m:rPr>
              <m:t>x</m:t>
            </m:r>
          </m:e>
        </m:bar>
      </m:oMath>
      <w:r>
        <w:t xml:space="preserve">=0.904, Fig. 2c).</w:t>
      </w:r>
    </w:p>
    <w:p>
      <w:r>
        <w:br w:type="textWrapping"/>
      </w:r>
      <w:r>
        <w:t xml:space="preserve">SRL of harvested fine roots was not different across soil volumes (Table. 1). Over the duration of the experiment SLA was higher in free seedlings but was not different across containers sizes (Table. 1, P&lt;0.001) and this pattern was evident in the first gas exchange measurement campaign (P&lt;0.001).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P&lt;0.001). Over the remaining duration of the experiment the smallest container volume had a significant reduction in leaf N % compared to other soil volumes, while free seedlings maintained the highest leaf N % (Table. 1, P&lt;0.001). Leaf starch content in the smallest container was double that of free seedlings (P=0.039), while leaf soluble sugars did not differ across treatments throughout the experiment (Table. 1). Differences in leaf starch between the free seedling and the smallest container were also evident during the first gas exchange campaign (P=0.0013).</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P&lt;0.001). Across all measurement campaigns A</w:t>
      </w:r>
      <w:r>
        <w:rPr>
          <w:vertAlign w:val="subscript"/>
        </w:rPr>
        <w:t xml:space="preserve">sat</w:t>
      </w:r>
      <w:r>
        <w:t xml:space="preserve"> </w:t>
      </w:r>
      <w:r>
        <w:t xml:space="preserve">(Fig. 4) and A</w:t>
      </w:r>
      <w:r>
        <w:rPr>
          <w:vertAlign w:val="subscript"/>
        </w:rPr>
        <w:t xml:space="preserve">max</w:t>
      </w:r>
      <w:r>
        <w:t xml:space="preserve"> </w:t>
      </w:r>
      <w:r>
        <w:t xml:space="preserve">(Table 2.) were consistently higher in free seedlings than in containers (boht P&lt;0.001). The interaction between photosynthetic capacity, leaf starch, and leaf N on a mass basis was marginally significant (P=0.0584) but A</w:t>
      </w:r>
      <w:r>
        <w:rPr>
          <w:vertAlign w:val="subscript"/>
        </w:rPr>
        <w:t xml:space="preserve">max</w:t>
      </w:r>
      <w:r>
        <w:t xml:space="preserve"> </w:t>
      </w:r>
      <w:r>
        <w:t xml:space="preserve">was highly correlated to both leaf N content and leaf starch (both P&lt;0.001). Across all measurement campaign A</w:t>
      </w:r>
      <w:r>
        <w:rPr>
          <w:vertAlign w:val="subscript"/>
        </w:rPr>
        <w:t xml:space="preserve">max</w:t>
      </w:r>
      <w:r>
        <w:t xml:space="preserve"> </w:t>
      </w:r>
      <w:r>
        <w:t xml:space="preserve">was higher when foliar N was also higher, usually associated with low levels of leaf starch (Fig. 5a). A</w:t>
      </w:r>
      <w:r>
        <w:rPr>
          <w:vertAlign w:val="subscript"/>
        </w:rPr>
        <w:t xml:space="preserve">max</w:t>
      </w:r>
      <w:r>
        <w:t xml:space="preserve"> </w:t>
      </w:r>
      <w:r>
        <w:t xml:space="preserve">was also lower when leaf starch was high as higher leaf N often did not coincide with high leaf starch (Fig. 5b)</w:t>
      </w:r>
    </w:p>
    <w:p>
      <w:r>
        <w:br w:type="textWrapping"/>
      </w: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not different within treatments at the beginning and end of gas exchange campaigns, therefore the parameter means per treatment are reported here (Table. 2). Overall, 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with little variation between soil volume treatments (P=0.0012 &amp; 0.0021, respectively).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(2012)</w:t>
      </w:r>
      <w:r>
        <w:t xml:space="preserve"> </w:t>
      </w:r>
      <w:r>
        <w:t xml:space="preserve">optimal stomatal conductance model, was lowest in the free seedling and was marginally different across soil volume treatments (Table. 2). Predicted values of g</w:t>
      </w:r>
      <w:r>
        <w:rPr>
          <w:vertAlign w:val="subscript"/>
        </w:rPr>
        <w:t xml:space="preserve">s</w:t>
      </w:r>
      <w:r>
        <w:t xml:space="preserve">, using the g</w:t>
      </w:r>
      <w:r>
        <w:rPr>
          <w:vertAlign w:val="subscript"/>
        </w:rPr>
        <w:t xml:space="preserve">1</w:t>
      </w:r>
      <w:r>
        <w:t xml:space="preserve">parameter, where highly correlated with observed values (R</w:t>
      </w:r>
      <w:r>
        <w:rPr>
          <w:vertAlign w:val="superscript"/>
        </w:rPr>
        <w:t xml:space="preserve">2</w:t>
      </w:r>
      <w:r>
        <w:t xml:space="preserve">= .74, P&lt;0.001, data not shown).</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P=0.001), the mean rates for all seedlings were high at 0.37 mol H</w:t>
      </w:r>
      <w:r>
        <w:rPr>
          <w:vertAlign w:val="subscript"/>
        </w:rPr>
        <w:t xml:space="preserve">2</w:t>
      </w:r>
      <w:r>
        <w:t xml:space="preserve">0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well-watered seedlings throughout the experiment. Soil N % at harvest was not different across soil volumes (</w:t>
      </w:r>
      <m:oMath>
        <m:bar>
          <m:barPr>
            <m:pos m:val="top"/>
          </m:barPr>
          <m:e>
            <m:r>
              <m:rPr>
                <m:sty m:val="p"/>
              </m:rPr>
              <m:t>x</m:t>
            </m:r>
          </m:e>
        </m:bar>
      </m:oMath>
      <w:r>
        <w:t xml:space="preserve">=04.5 %)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able to converge on an optimum leaf mass fraction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 6a). Thus, seedling C mass was overestimated by an average of 50±8.7 % in modeled seedlings across the reductions in daily C assimilation per treatment (Fig. 6b). As a result, the reductions in leaf A were not sufficient enough to explain the reduction in harvested seedling biomass with soil volume restriction. This resulted in an unexplained pool of excess C, generated from A, that was not allocated to biomass.</w:t>
      </w:r>
    </w:p>
    <w:p>
      <w:r>
        <w:br w:type="textWrapping"/>
      </w:r>
      <w:r>
        <w:t xml:space="preserve">The remaining model simulations tested possible C allocation scenarios to account for this excess pool of C. Constraining the model by treatment-specific LMF from the final harvest (M</w:t>
      </w:r>
      <w:r>
        <w:rPr>
          <w:vertAlign w:val="subscript"/>
        </w:rPr>
        <w:t xml:space="preserve">2</w:t>
      </w:r>
      <w:r>
        <w:t xml:space="preserve">) still overestimated seedling total C by 32±11.1 %, but provided the most improved model predictions (Fig. S1a). Using harvested LMF, however, does not capture the increase in senescence of seedlings in small containers (Fig. 2c). Thus, the 7-61 % reduction in measured harvested leaf mass fraction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 S1b). It was further determined that non-tissue respiration rates in modeled seedlings would need to increase by ca. 250 % to account for this entire pool of C.</w:t>
      </w:r>
    </w:p>
    <w:p>
      <w:pPr>
        <w:pStyle w:val="Heading1"/>
      </w:pPr>
      <w:bookmarkStart w:id="38" w:name="discussion"/>
      <w:bookmarkEnd w:id="38"/>
      <w:r>
        <w:t xml:space="preserve">Discussion</w:t>
      </w:r>
    </w:p>
    <w:p>
      <w:r>
        <w:t xml:space="preserve">As issues still remain regarding how source-sink coordination affects growth of woody species, this study utilized a simple but novel field design to manipulate belowground sink limitations in order to physically restrict</w:t>
      </w:r>
      <w:r>
        <w:t xml:space="preserve"> </w:t>
      </w:r>
      <w:r>
        <w:rPr>
          <w:i/>
        </w:rPr>
        <w:t xml:space="preserve">Eucalyptus tereticornis</w:t>
      </w:r>
      <w:r>
        <w:t xml:space="preserve"> </w:t>
      </w:r>
      <w:r>
        <w:t xml:space="preserve">seedling production. We then addressed questions regarding the coordination of A and growth by complementing empirical results with modelling approaches. We found that reductions in leaf A rates were not sufficient to explain observed reductions in total plant biomass production. We thus encourage the utilization of mass balance approaches and provide direction for future studies when testing factors that control of plant growth under environmental change.</w:t>
      </w:r>
    </w:p>
    <w:p>
      <w:r>
        <w:t xml:space="preserve">Our lack of knowledge regarding the allocation of C in woody species is still a major obstable in understanding the cooridatnation between A and growth.</w:t>
      </w:r>
    </w:p>
    <w:p>
      <w:r>
        <w:t xml:space="preserve">A lack of knowledge regarding the allocation of carbon diminishes our ability to distinguish the drivers of plant growth because mass balance cannot be reached.</w:t>
      </w:r>
    </w:p>
    <w:p>
      <w:pPr>
        <w:pStyle w:val="Heading2"/>
      </w:pPr>
      <w:bookmarkStart w:id="39" w:name="model-setup"/>
      <w:bookmarkEnd w:id="39"/>
      <w:r>
        <w:t xml:space="preserve">model setup</w:t>
      </w:r>
    </w:p>
    <w:p>
      <w:r>
        <w:t xml:space="preserve">I think the point here is that the model is quite standard and classical. It has growth driven by fluctuations in photoynthesis but respiration and allocation are very fixed processes. This reflects much of the growth&amp;production modelling work out there. It turns out that in your experiment this did not really work, which means we must take a closer look at allocation and respiration (including root exudation) ##growth and photosythesis not coordianted as expeceted, consequences for studies of biomass allocation</w:t>
      </w:r>
    </w:p>
    <w:p>
      <w:r>
        <w:t xml:space="preserve">If control is indeed distributed aroundthe plant, an experiment designed qualitatively to detect the presence of some source limitation shouldﬁnd it; but so should an experiment designed to testfor sink limitation (Farrah and Jones). The reason that so many conflicting reslutls exist is because....</w:t>
      </w:r>
    </w:p>
    <w:p>
      <w:r>
        <w:t xml:space="preserve">The fraction of assimilation used for respiration varies greatly among plants and increases with decreasing growth rates (Lambers et sl. 2008)...... problems with how we evaluate the respiration contribution of c allocation over shorter temporal scales . Our understanding of tissue respiration may also confound these short-term relationships with A and G.</w:t>
      </w:r>
    </w:p>
    <w:p>
      <w:r>
        <w:t xml:space="preserve">It is rather the norm than the exception that sink activity feeds back on source activity (e.g. through end-product inhibition in the chloroplast), causing growth (demand for carbon) to control photosynthesis, rather than the other way round (Korner 2013).</w:t>
      </w:r>
    </w:p>
    <w:p>
      <w:pPr>
        <w:pStyle w:val="Heading1"/>
      </w:pPr>
      <w:bookmarkStart w:id="40" w:name="tables"/>
      <w:bookmarkEnd w:id="40"/>
      <w:r>
        <w:t xml:space="preserve">Tables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w:t>
            </w:r>
            <w:r>
              <w:rPr>
                <w:vertAlign w:val="subscript"/>
                <w:b/>
              </w:rPr>
              <w:t xml:space="preserve">mass</w:t>
            </w:r>
            <w:r>
              <w:rPr>
                <w:b/>
              </w:rPr>
              <w:t xml:space="preserve">(g)</w:t>
            </w:r>
          </w:p>
        </w:tc>
        <w:tc>
          <w:tcPr>
            <w:tcBorders>
              <w:bottom w:val="single"/>
            </w:tcBorders>
            <w:vAlign w:val="bottom"/>
          </w:tcPr>
          <w:p>
            <w:pPr>
              <w:pStyle w:val="Compact"/>
              <w:jc w:val="left"/>
            </w:pPr>
            <w:r>
              <w:rPr>
                <w:b/>
              </w:rPr>
              <w:t xml:space="preserve">SLA</w:t>
            </w:r>
            <w:r>
              <w:rPr>
                <w:vertAlign w:val="subscript"/>
                <w:b/>
              </w:rPr>
              <w:t xml:space="preserve">(m</w:t>
            </w:r>
            <w:r>
              <w:rPr>
                <w:b/>
              </w:rPr>
              <w:t xml:space="preserve">kg</w:t>
            </w:r>
            <w:r>
              <w:rPr>
                <w:b/>
              </w:rPr>
              <w:t xml:space="preserve">)</w:t>
            </w:r>
            <w:r>
              <w:t xml:space="preserve"> </w:t>
            </w:r>
            <w:r>
              <w:t xml:space="preserve">**L</w:t>
            </w:r>
          </w:p>
        </w:tc>
        <w:tc>
          <w:tcPr>
            <w:tcBorders>
              <w:bottom w:val="single"/>
            </w:tcBorders>
            <w:vAlign w:val="bottom"/>
          </w:tcPr>
          <w:p>
            <w:pPr>
              <w:pStyle w:val="Compact"/>
              <w:jc w:val="left"/>
            </w:pPr>
            <w:r>
              <w:t xml:space="preserve">eaf</w:t>
            </w:r>
            <w:r>
              <w:rPr>
                <w:vertAlign w:val="subscript"/>
              </w:rPr>
              <w:t xml:space="preserve">Starch</w:t>
            </w:r>
            <w:r>
              <w:t xml:space="preserve">(%)** **Le</w:t>
            </w:r>
          </w:p>
        </w:tc>
        <w:tc>
          <w:tcPr>
            <w:tcBorders>
              <w:bottom w:val="single"/>
            </w:tcBorders>
            <w:vAlign w:val="bottom"/>
          </w:tcPr>
          <w:p>
            <w:pPr>
              <w:pStyle w:val="Compact"/>
              <w:jc w:val="left"/>
            </w:pPr>
            <w:r>
              <w:t xml:space="preserve">af</w:t>
            </w:r>
            <w:r>
              <w:rPr>
                <w:vertAlign w:val="subscript"/>
              </w:rPr>
              <w:t xml:space="preserve">Sugars</w:t>
            </w:r>
            <w:r>
              <w:t xml:space="preserve">(%)** **Lea</w:t>
            </w:r>
          </w:p>
        </w:tc>
        <w:tc>
          <w:tcPr>
            <w:tcBorders>
              <w:bottom w:val="single"/>
            </w:tcBorders>
            <w:vAlign w:val="bottom"/>
          </w:tcPr>
          <w:p>
            <w:pPr>
              <w:pStyle w:val="Compact"/>
              <w:jc w:val="left"/>
            </w:pPr>
            <w:r>
              <w:t xml:space="preserve">f</w:t>
            </w:r>
            <w:r>
              <w:rPr>
                <w:vertAlign w:val="subscript"/>
              </w:rPr>
              <w:t xml:space="preserve">Nitrogen</w:t>
            </w:r>
            <w:r>
              <w:t xml:space="preserve">(%)** **Root</w:t>
            </w:r>
          </w:p>
        </w:tc>
        <w:tc>
          <w:tcPr>
            <w:tcBorders>
              <w:bottom w:val="single"/>
            </w:tcBorders>
            <w:vAlign w:val="bottom"/>
          </w:tcPr>
          <w:p>
            <w:pPr>
              <w:pStyle w:val="Compact"/>
              <w:jc w:val="left"/>
            </w:pPr>
            <w:r>
              <w:rPr>
                <w:vertAlign w:val="subscript"/>
              </w:rPr>
              <w:t xml:space="preserve">Nitrogen</w:t>
            </w:r>
            <w:r>
              <w:t xml:space="preserve">(%)** **SRL~(</w:t>
            </w:r>
          </w:p>
        </w:tc>
        <w:tc>
          <w:tcPr>
            <w:tcBorders>
              <w:bottom w:val="single"/>
            </w:tcBorders>
            <w:vAlign w:val="bottom"/>
          </w:tcPr>
          <w:p>
            <w:pPr>
              <w:pStyle w:val="Compact"/>
              <w:jc w:val="left"/>
            </w:pPr>
            <w:r>
              <w:t xml:space="preserve">cm~m</w:t>
            </w:r>
            <w:r>
              <w:t xml:space="preserve">)** **{Leaf~</w:t>
            </w:r>
          </w:p>
        </w:tc>
        <w:tc>
          <w:tcPr>
            <w:tcBorders>
              <w:bottom w:val="single"/>
            </w:tcBorders>
            <w:vAlign w:val="bottom"/>
          </w:tcPr>
          <w:p>
            <w:pPr>
              <w:pStyle w:val="Compact"/>
              <w:jc w:val="left"/>
            </w:pPr>
            <w:r>
              <w:t xml:space="preserve">}</w:t>
            </w:r>
            <w:r>
              <w:t xml:space="preserve">C~(</w:t>
            </w:r>
            <w:r>
              <w:t xml:space="preserve">)**</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39.1 (5.47)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34.2 (5.83) a</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37.6 (4.63) a</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45.3 (5.50) a</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47.0 (7.10) a</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50.6 (11.61)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43.7 (6.24) a</w:t>
            </w:r>
          </w:p>
        </w:tc>
        <w:tc>
          <w:p>
            <w:pPr>
              <w:pStyle w:val="Compact"/>
              <w:jc w:val="left"/>
            </w:pPr>
            <w:r>
              <w:t xml:space="preserve">-30.0 (0.34) a</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0.662</w:t>
            </w:r>
          </w:p>
        </w:tc>
        <w:tc>
          <w:p>
            <w:pPr>
              <w:pStyle w:val="Compact"/>
              <w:jc w:val="left"/>
            </w:pPr>
            <w:r>
              <w:t xml:space="preserve">0.458</w:t>
            </w:r>
          </w:p>
        </w:tc>
      </w:tr>
    </w:tbl>
    <w:p>
      <w:r>
        <w:rPr>
          <w:b/>
        </w:rPr>
        <w:t xml:space="preserve">Table 1.</w:t>
      </w:r>
      <w:r>
        <w:t xml:space="preserve"> </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Volume~(L)</w:t>
            </w:r>
          </w:p>
        </w:tc>
        <w:tc>
          <w:tcPr>
            <w:tcBorders>
              <w:bottom w:val="single"/>
            </w:tcBorders>
            <w:vAlign w:val="bottom"/>
          </w:tcPr>
          <w:p>
            <w:pPr>
              <w:pStyle w:val="Compact"/>
              <w:jc w:val="left"/>
            </w:pPr>
            <w:r>
              <w:t xml:space="preserve"> </w:t>
            </w:r>
            <w:r>
              <w:t xml:space="preserve">**</w:t>
            </w:r>
          </w:p>
        </w:tc>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extit{J}</w:t>
            </w:r>
            <w:r>
              <w:t xml:space="preserve">** **</w:t>
            </w:r>
          </w:p>
        </w:tc>
        <w:tc>
          <w:tcPr>
            <w:tcBorders>
              <w:bottom w:val="single"/>
            </w:tcBorders>
            <w:vAlign w:val="bottom"/>
          </w:tcPr>
          <w:p>
            <w:pPr>
              <w:pStyle w:val="Compact"/>
              <w:jc w:val="left"/>
            </w:pPr>
            <w:r>
              <w:t xml:space="preserve">tit{Vc}</w:t>
            </w:r>
            <w:r>
              <w:t xml:space="preserve">** **</w:t>
            </w:r>
          </w:p>
        </w:tc>
        <w:tc>
          <w:tcPr>
            <w:tcBorders>
              <w:bottom w:val="single"/>
            </w:tcBorders>
            <w:vAlign w:val="bottom"/>
          </w:tcPr>
          <w:p>
            <w:pPr>
              <w:pStyle w:val="Compact"/>
              <w:jc w:val="left"/>
            </w:pPr>
            <w:r>
              <w:t xml:space="preserve">t{g}</w:t>
            </w:r>
            <w:r>
              <w:t xml:space="preserve">** **\textit{</w:t>
            </w:r>
          </w:p>
        </w:tc>
        <w:tc>
          <w:tcPr>
            <w:tcBorders>
              <w:bottom w:val="single"/>
            </w:tcBorders>
            <w:vAlign w:val="bottom"/>
          </w:tcPr>
          <w:p>
            <w:pPr>
              <w:pStyle w:val="Compact"/>
              <w:jc w:val="left"/>
            </w:pPr>
            <w:r>
              <w:t xml:space="preserve">g}</w:t>
            </w:r>
            <w:r>
              <w:t xml:space="preserve">**</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c>
          <w:p>
            <w:pPr>
              <w:pStyle w:val="Compact"/>
              <w:jc w:val="left"/>
            </w:pPr>
            <w:r>
              <w:t xml:space="preserve">0.079</w:t>
            </w:r>
          </w:p>
        </w:tc>
      </w:tr>
    </w:tbl>
    <w:p>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pPr>
        <w:pStyle w:val="Heading1"/>
      </w:pPr>
      <w:bookmarkStart w:id="41" w:name="figures"/>
      <w:bookmarkEnd w:id="41"/>
      <w:r>
        <w:t xml:space="preserve">Figures</w:t>
      </w:r>
    </w:p>
    <w:p>
      <w:r>
        <w:drawing>
          <wp:inline>
            <wp:extent cx="5440680" cy="7262559"/>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1</w:t>
      </w:r>
      <w:r>
        <w:t xml:space="preserve">. Daily maximum and minimum temperature (a), cumulative daily PPFD (b), and daily maximum vapour pressure deficit (c) across the experiment duration in 2013.</w:t>
      </w:r>
    </w:p>
    <w:p>
      <w:r>
        <w:drawing>
          <wp:inline>
            <wp:extent cx="5440680" cy="7262559"/>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3"/>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drawing>
          <wp:inline>
            <wp:extent cx="5440680" cy="9071960"/>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4"/>
                    <a:stretch>
                      <a:fillRect/>
                    </a:stretch>
                  </pic:blipFill>
                  <pic:spPr bwMode="auto">
                    <a:xfrm>
                      <a:off x="0" y="0"/>
                      <a:ext cx="5440680" cy="9071960"/>
                    </a:xfrm>
                    <a:prstGeom prst="rect">
                      <a:avLst/>
                    </a:prstGeom>
                    <a:noFill/>
                    <a:ln w="9525">
                      <a:noFill/>
                      <a:headEnd/>
                      <a:tailEnd/>
                    </a:ln>
                  </pic:spPr>
                </pic:pic>
              </a:graphicData>
            </a:graphic>
          </wp:inline>
        </w:drawing>
      </w:r>
    </w:p>
    <w:p>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45"/>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drawing>
          <wp:inline>
            <wp:extent cx="5440680" cy="4075836"/>
            <wp:effectExtent b="0" l="0" r="0" t="0"/>
            <wp:docPr descr="" id="1" name="Picture"/>
            <a:graphic>
              <a:graphicData uri="http://schemas.openxmlformats.org/drawingml/2006/picture">
                <pic:pic>
                  <pic:nvPicPr>
                    <pic:cNvPr descr="manuscript_pve_files/figure-docx/A_tncnitro-1.png" id="0" name="Picture"/>
                    <pic:cNvPicPr>
                      <a:picLocks noChangeArrowheads="1" noChangeAspect="1"/>
                    </pic:cNvPicPr>
                  </pic:nvPicPr>
                  <pic:blipFill>
                    <a:blip r:embed="rId46"/>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Figure 5</w:t>
      </w:r>
      <w:r>
        <w:t xml:space="preserve">. Photosynthetic capacity, on a leaf mass basis, as a function of accumulation of leaf starch (a) and leaf nitrogen content without TNC (b). Colors represent bins levels (n=5)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drawing>
          <wp:inline>
            <wp:extent cx="5440680" cy="7262559"/>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47"/>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Heading1"/>
      </w:pPr>
      <w:bookmarkStart w:id="48" w:name="supporting-information"/>
      <w:bookmarkEnd w:id="48"/>
      <w:r>
        <w:t xml:space="preserve">Supporting Information</w:t>
      </w:r>
    </w:p>
    <w:p>
      <w:r>
        <w:drawing>
          <wp:inline>
            <wp:extent cx="5440680" cy="7262559"/>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4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(b). Open and filled symbols represent default model and harvest values, while shaded symbols represent model sensitivity to each scenario by soil volume treatment. Both seedling carbon mass and daily carbon assimilation were first scaled to the free seedling control.</w:t>
      </w:r>
    </w:p>
    <w:p>
      <w:r>
        <w:rPr>
          <w:b/>
        </w:rPr>
        <w:t xml:space="preserve">Table S1</w:t>
      </w:r>
      <w:r>
        <w:t xml:space="preserve"> </w:t>
      </w:r>
      <w:r>
        <w:t xml:space="preserve">Seedling Growth Model Default Parameters</w:t>
      </w:r>
    </w:p>
    <w:p>
      <w:pPr>
        <w:pStyle w:val="Heading1"/>
      </w:pPr>
      <w:bookmarkStart w:id="50" w:name="references"/>
      <w:bookmarkEnd w:id="50"/>
      <w:r>
        <w:t xml:space="preserve">References</w:t>
      </w:r>
    </w:p>
    <w:p>
      <w:pPr>
        <w:pStyle w:val="Bibliography"/>
      </w:pPr>
      <w:r>
        <w:t xml:space="preserve">Ainsworth EA, Long SP (2005) What have we learned from 15 years of free-air CO2 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[CO2]: mechanisms and environmental interactions. Plant, cell &amp; environment 30:258–270.</w:t>
      </w:r>
    </w:p>
    <w:p>
      <w:pPr>
        <w:pStyle w:val="Bibliography"/>
      </w:pPr>
      <w:r>
        <w:t xml:space="preserve">Arp WJ (1991) Effects of source-sink relations on photosynthetic acclimation to elevated CO2.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Crous KY, Quentin AG, Lin Y-S, Medlyn BE, Williams DG, Barton CVM, Ellsworth DS (2013) Photosynthesis of temperate Eucalyptus globulus trees outside their native range has limited adjustment to elevated CO2 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CO2?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Farquhar GD, Caemmerer S von von, Berry JA (1980) A biochemical model of photosynthetic CO2 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Gunderson CA, Wullschleger SD (1994) Photosynthetic acclimation in trees to rising atmospheric CO2: a broader perspective. Photosynthesis research 39:369–388.</w:t>
      </w:r>
    </w:p>
    <w:p>
      <w:pPr>
        <w:pStyle w:val="Bibliography"/>
      </w:pPr>
      <w:r>
        <w:t xml:space="preserve">Handa IT, Körner C, Hättenschwiler S (2005) A test of the treeline carbon limitation hypothesis by in situ CO2 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CO2 enrichment studies. Plant Physiology 155:117–124.</w:t>
      </w:r>
    </w:p>
    <w:p>
      <w:pPr>
        <w:pStyle w:val="Bibliography"/>
      </w:pPr>
      <w:r>
        <w:t xml:space="preserve">Kozlowski TT (1992) Carbohydrate sources and sinks in woody plants. The Botanical Review 58:107–222.</w:t>
      </w:r>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w:t>
      </w:r>
      <w:r>
        <w:t xml:space="preserve"> </w:t>
      </w:r>
      <w:r>
        <w:t xml:space="preserve">Colin Prentice</w:t>
      </w:r>
      <w:r>
        <w:t xml:space="preserve"> </w:t>
      </w:r>
      <w:r>
        <w:t xml:space="preserve">I, Barton CVM, Crous KY, Angelis P, Freeman M, Wingate L (2012) Reconciling the optimal and empirical approaches to modelling stomatal conductance. Global Change Biology 18:3476.</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Physiology:tpq103.</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CO2 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1">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2">
        <w:r>
          <w:rPr>
            <w:rStyle w:val="Link"/>
          </w:rPr>
          <w:t xml:space="preserve">http://www.r-project.org</w:t>
        </w:r>
      </w:hyperlink>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CO2: the gas exchange perspective. Photosynthesis research 39:351–368.</w:t>
      </w:r>
    </w:p>
    <w:p>
      <w:pPr>
        <w:pStyle w:val="Bibliography"/>
      </w:pPr>
      <w:r>
        <w:t xml:space="preserve">Smith AM, Stitt M (2007) Coordination of carbon supply and plant growth. Plant, cell &amp; environment 30:1126–1149.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Wright SD, Mcconnaughay KDM (2002) Interpreting phenotypic plasticity: the importance of ontogeny. Plant Species Biology 17:119–131.</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52321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51" Target="http://cran.r-project.org/package=nlme" TargetMode="External" /><Relationship Type="http://schemas.openxmlformats.org/officeDocument/2006/relationships/hyperlink" Id="rId52"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cran.r-project.org/package=nlme" TargetMode="External" /><Relationship Type="http://schemas.openxmlformats.org/officeDocument/2006/relationships/hyperlink" Id="rId52"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space limitation on performance of Eucalyptus seedlings: Does photosynthesis really control growth?</dc:title>
  <dc:creator/>
</cp:coreProperties>
</file>