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Below-ground</w:t>
      </w:r>
      <w:r>
        <w:t xml:space="preserve"> </w:t>
      </w:r>
      <w:r>
        <w:t xml:space="preserve">sink</w:t>
      </w:r>
      <w:r>
        <w:t xml:space="preserve"> </w:t>
      </w:r>
      <w:r>
        <w:t xml:space="preserve">limitation</w:t>
      </w:r>
      <w:r>
        <w:t xml:space="preserve"> </w:t>
      </w:r>
      <w:r>
        <w:t xml:space="preserve">alters</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This study used manipulations of soil volume to test how growth is coupled to physiology, carbon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(A)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contatiner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belowgroud sink strength and leaf C uptake.</w:t>
      </w:r>
    </w:p>
    <w:p>
      <w:pPr>
        <w:pStyle w:val="Heading2"/>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regulate photosynthetic activity</w:t>
      </w:r>
      <w:r>
        <w:t xml:space="preserve"> </w:t>
      </w:r>
      <w:r>
        <w:t xml:space="preserve">(Paul and Foyer 2001)</w:t>
      </w:r>
      <w:r>
        <w:t xml:space="preserve">. If sink inhibition of A occurs, a close coordination between declines in A and growth should be expected. Whether photosynthetic down regulation is evident in woody species has been tested through fruit removal, phloem girdling, and low temperatures at high elevations.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occurence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et al. 2012a)</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et al. 2012a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(2012a)</w:t>
      </w:r>
      <w:r>
        <w:t xml:space="preserve"> </w:t>
      </w:r>
      <w:r>
        <w:t xml:space="preserve">concluded that A 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27" w:name="growth-and-morphology-metrics"/>
      <w:bookmarkEnd w:id="27"/>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abd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25 g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Root length density (RLD) is reported as the root length divided by the total volume of each container (m dm</w:t>
      </w:r>
      <w:r>
        <w:rPr>
          <w:vertAlign w:val="superscript"/>
        </w:rPr>
        <w:t xml:space="preserve">-3</w:t>
      </w:r>
      <w:r>
        <w:t xml:space="preserve">).</w:t>
      </w:r>
    </w:p>
    <w:p>
      <w:pPr>
        <w:pStyle w:val="Heading2"/>
      </w:pPr>
      <w:bookmarkStart w:id="28" w:name="photosynthetic-parameters"/>
      <w:bookmarkEnd w:id="28"/>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stabalized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publsihed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t xml:space="preserve">First, a default model was fitted with mean photosynthetic parameters from the free seedlings and then optimized to produce a LMF that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rates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non-optimized treatment specific LMF and up regulation of non-leaf tissue respiration by 50 % of default values (M</w:t>
      </w:r>
      <w:r>
        <w:rPr>
          <w:vertAlign w:val="subscript"/>
        </w:rPr>
        <w:t xml:space="preserve">s1,s2</w:t>
      </w:r>
      <w:r>
        <w:t xml:space="preserve">, respectively), was used to improve predictions of model simulations compared to measured harvest biomass. For all cases, seedling biomass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1). Root length density increased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 % compared to other soil volumes, while free seedlings maintained the highest leaf N % (Table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muliple bin levels (n=5) of the covariate parameter (Figure 5). Across all measurement campaigns and treatments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The default model M</w:t>
      </w:r>
      <w:r>
        <w:rPr>
          <w:vertAlign w:val="subscript"/>
        </w:rPr>
        <w:t xml:space="preserve">free</w:t>
      </w:r>
      <w:r>
        <w:t xml:space="preserve">, successfully optimized a LMF (21.6 %) which then allowed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 A 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montsh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 A and growth by complementing empirical results with a C mass balance model. We found that reductions in leaf A across container sizes, when integrated across the 120 day experiment, were alone insufficient to account for observed reductions in total plant biomass production.</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(2012a)</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 A. However, there are several possible mechanisms that can explain reduced A in small containers including nutrient content, water or reduced sink strength</w:t>
      </w:r>
      <w:r>
        <w:t xml:space="preserve"> </w:t>
      </w:r>
      <w:r>
        <w:t xml:space="preserve">(Poorter et al. 2012a)</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 A of well-watered seedlings oberved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 A were postively correlated with decreases in leaf N and leaf N was considerably reduced for seedlings in containers. Physical root restriction or decreased supply as been shown cause reductions in N uptake (citations), which could explain the observed reductions in leaf N in the smallest containers. Root N at the end of the experiment was on average higher in free seedlings but not consistently higher than every container volume treatment. Unrestricted mycorrhizal recruitment could have instead faciliated the increases in leaf N in free seedlings, but this effect is unknown. Combined with the fact that soil N %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 A of seedlings in containers was evidents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 (2006) where photosynthetic downregulation from reduced sink strength was correlated with starch content. As starch content in leaves of plants grown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et al. 2012b)</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model used a simple approach to drive seedling growth with measured reductions in leaf level A ,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(2012a)</w:t>
      </w:r>
      <w:r>
        <w:t xml:space="preserve">, we provide evidence that the negative effects of sink limitation on A 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 A, however, the robust empirical based methods used to generate phtosynthetic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make this unlikely. Instead, our results indicate a need to evaluate how oversimplified representations of proceses other than A 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contant changes in A 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characterisitics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Vaules for RLD are only calculated for seedlings in containers as free seedlings have potentially unlimeted soil volume to exploit. Different letters represent significant differences between treatments. The volume effect P value represents the overall difference between seedlings with soil volume restriction and the control seedlings, except for RLD which represents only diffeences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.Responses of plant and leaf characterisitics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Seedling mass (g)</w:t>
            </w:r>
          </w:p>
        </w:tc>
        <w:tc>
          <w:tcPr>
            <w:tcBorders>
              <w:bottom w:val="single"/>
            </w:tcBorders>
            <w:vAlign w:val="bottom"/>
          </w:tcPr>
          <w:p>
            <w:pPr>
              <w:pStyle w:val="Compact"/>
              <w:jc w:val="left"/>
            </w:pPr>
            <w:r>
              <w:rPr>
                <w:b/>
              </w:rPr>
              <w:t xml:space="preserve">SLA</w:t>
            </w:r>
            <w:r>
              <w:rPr>
                <w:vertAlign w:val="subscript"/>
                <w:b/>
              </w:rPr>
              <w:t xml:space="preserve">TNC-free</w:t>
            </w:r>
            <w:r>
              <w:rPr>
                <w:b/>
              </w:rPr>
              <w:t xml:space="preserve"> </w:t>
            </w:r>
            <w:r>
              <w:rPr>
                <w:b/>
              </w:rPr>
              <w:t xml:space="preserve">(m</w:t>
            </w:r>
            <w:r>
              <w:rPr>
                <w:vertAlign w:val="superscript"/>
                <w:b/>
              </w:rPr>
              <w:t xml:space="preserve">2</w:t>
            </w:r>
            <w:r>
              <w:rPr>
                <w:b/>
              </w:rPr>
              <w:t xml:space="preserve"> </w:t>
            </w:r>
            <w:r>
              <w:rPr>
                <w:b/>
              </w:rPr>
              <w:t xml:space="preserve">kg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Leaf Starch (%)</w:t>
            </w:r>
          </w:p>
        </w:tc>
        <w:tc>
          <w:tcPr>
            <w:tcBorders>
              <w:bottom w:val="single"/>
            </w:tcBorders>
            <w:vAlign w:val="bottom"/>
          </w:tcPr>
          <w:p>
            <w:pPr>
              <w:pStyle w:val="Compact"/>
              <w:jc w:val="left"/>
            </w:pPr>
            <w:r>
              <w:rPr>
                <w:b/>
              </w:rPr>
              <w:t xml:space="preserve">Leaf Sugars (%)</w:t>
            </w:r>
          </w:p>
        </w:tc>
        <w:tc>
          <w:tcPr>
            <w:tcBorders>
              <w:bottom w:val="single"/>
            </w:tcBorders>
            <w:vAlign w:val="bottom"/>
          </w:tcPr>
          <w:p>
            <w:pPr>
              <w:pStyle w:val="Compact"/>
              <w:jc w:val="left"/>
            </w:pPr>
            <w:r>
              <w:rPr>
                <w:b/>
              </w:rPr>
              <w:t xml:space="preserve">Leaf Nitrogen</w:t>
            </w:r>
            <w:r>
              <w:rPr>
                <w:vertAlign w:val="subscript"/>
                <w:b/>
              </w:rPr>
              <w:t xml:space="preserve">TNC-free</w:t>
            </w:r>
            <w:r>
              <w:rPr>
                <w:b/>
              </w:rPr>
              <w:t xml:space="preserve"> </w:t>
            </w:r>
            <w:r>
              <w:rPr>
                <w:b/>
              </w:rPr>
              <w:t xml:space="preserve">(%)</w:t>
            </w:r>
          </w:p>
        </w:tc>
        <w:tc>
          <w:tcPr>
            <w:tcBorders>
              <w:bottom w:val="single"/>
            </w:tcBorders>
            <w:vAlign w:val="bottom"/>
          </w:tcPr>
          <w:p>
            <w:pPr>
              <w:pStyle w:val="Compact"/>
              <w:jc w:val="left"/>
            </w:pPr>
            <w:r>
              <w:rPr>
                <w:b/>
              </w:rPr>
              <w:t xml:space="preserve">Leaf d</w:t>
            </w:r>
            <w:r>
              <w:rPr>
                <w:vertAlign w:val="superscript"/>
                <w:b/>
              </w:rPr>
              <w:t xml:space="preserve">13</w:t>
            </w:r>
            <w:r>
              <w:rPr>
                <w:b/>
              </w:rPr>
              <w:t xml:space="preserve">C (‰)</w:t>
            </w:r>
          </w:p>
        </w:tc>
      </w:tr>
      <w:tr>
        <w:tc>
          <w:p>
            <w:pPr>
              <w:pStyle w:val="Compact"/>
              <w:jc w:val="left"/>
            </w:pPr>
            <w:r>
              <w:t xml:space="preserve">5</w:t>
            </w:r>
          </w:p>
        </w:tc>
        <w:tc>
          <w:p>
            <w:pPr>
              <w:pStyle w:val="Compact"/>
              <w:jc w:val="left"/>
            </w:pPr>
            <w:r>
              <w:t xml:space="preserve">14.8 (1.82) a</w:t>
            </w:r>
          </w:p>
        </w:tc>
        <w:tc>
          <w:p>
            <w:pPr>
              <w:pStyle w:val="Compact"/>
              <w:jc w:val="left"/>
            </w:pPr>
            <w:r>
              <w:t xml:space="preserve">11.8 (0.32) a</w:t>
            </w:r>
          </w:p>
        </w:tc>
        <w:tc>
          <w:p>
            <w:pPr>
              <w:pStyle w:val="Compact"/>
              <w:jc w:val="left"/>
            </w:pPr>
            <w:r>
              <w:t xml:space="preserve">12.7 (0.97) b</w:t>
            </w:r>
          </w:p>
        </w:tc>
        <w:tc>
          <w:p>
            <w:pPr>
              <w:pStyle w:val="Compact"/>
              <w:jc w:val="left"/>
            </w:pPr>
            <w:r>
              <w:t xml:space="preserve">6.4 (0.28) a</w:t>
            </w:r>
          </w:p>
        </w:tc>
        <w:tc>
          <w:p>
            <w:pPr>
              <w:pStyle w:val="Compact"/>
              <w:jc w:val="left"/>
            </w:pPr>
            <w:r>
              <w:t xml:space="preserve">1.3 (0.03) a</w:t>
            </w:r>
          </w:p>
        </w:tc>
        <w:tc>
          <w:p>
            <w:pPr>
              <w:pStyle w:val="Compact"/>
              <w:jc w:val="left"/>
            </w:pPr>
            <w:r>
              <w:t xml:space="preserve">-30.1 (0.26) a</w:t>
            </w:r>
          </w:p>
        </w:tc>
      </w:tr>
      <w:tr>
        <w:tc>
          <w:p>
            <w:pPr>
              <w:pStyle w:val="Compact"/>
              <w:jc w:val="left"/>
            </w:pPr>
            <w:r>
              <w:t xml:space="preserve">10</w:t>
            </w:r>
          </w:p>
        </w:tc>
        <w:tc>
          <w:p>
            <w:pPr>
              <w:pStyle w:val="Compact"/>
              <w:jc w:val="left"/>
            </w:pPr>
            <w:r>
              <w:t xml:space="preserve">20.0 (2.38) ab</w:t>
            </w:r>
          </w:p>
        </w:tc>
        <w:tc>
          <w:p>
            <w:pPr>
              <w:pStyle w:val="Compact"/>
              <w:jc w:val="left"/>
            </w:pPr>
            <w:r>
              <w:t xml:space="preserve">11.7 (0.31) a</w:t>
            </w:r>
          </w:p>
        </w:tc>
        <w:tc>
          <w:p>
            <w:pPr>
              <w:pStyle w:val="Compact"/>
              <w:jc w:val="left"/>
            </w:pPr>
            <w:r>
              <w:t xml:space="preserve">9.4 (0.75) ab</w:t>
            </w:r>
          </w:p>
        </w:tc>
        <w:tc>
          <w:p>
            <w:pPr>
              <w:pStyle w:val="Compact"/>
              <w:jc w:val="left"/>
            </w:pPr>
            <w:r>
              <w:t xml:space="preserve">6.7 (0.25) a</w:t>
            </w:r>
          </w:p>
        </w:tc>
        <w:tc>
          <w:p>
            <w:pPr>
              <w:pStyle w:val="Compact"/>
              <w:jc w:val="left"/>
            </w:pPr>
            <w:r>
              <w:t xml:space="preserve">1.5 (0.04) ab</w:t>
            </w:r>
          </w:p>
        </w:tc>
        <w:tc>
          <w:p>
            <w:pPr>
              <w:pStyle w:val="Compact"/>
              <w:jc w:val="left"/>
            </w:pPr>
            <w:r>
              <w:t xml:space="preserve">-30.2 (0.25) a</w:t>
            </w:r>
          </w:p>
        </w:tc>
      </w:tr>
      <w:tr>
        <w:tc>
          <w:p>
            <w:pPr>
              <w:pStyle w:val="Compact"/>
              <w:jc w:val="left"/>
            </w:pPr>
            <w:r>
              <w:t xml:space="preserve">15</w:t>
            </w:r>
          </w:p>
        </w:tc>
        <w:tc>
          <w:p>
            <w:pPr>
              <w:pStyle w:val="Compact"/>
              <w:jc w:val="left"/>
            </w:pPr>
            <w:r>
              <w:t xml:space="preserve">25.4 (2.49) ab</w:t>
            </w:r>
          </w:p>
        </w:tc>
        <w:tc>
          <w:p>
            <w:pPr>
              <w:pStyle w:val="Compact"/>
              <w:jc w:val="left"/>
            </w:pPr>
            <w:r>
              <w:t xml:space="preserve">12.7 (0.48) a</w:t>
            </w:r>
          </w:p>
        </w:tc>
        <w:tc>
          <w:p>
            <w:pPr>
              <w:pStyle w:val="Compact"/>
              <w:jc w:val="left"/>
            </w:pPr>
            <w:r>
              <w:t xml:space="preserve">7.3 (0.73) a</w:t>
            </w:r>
          </w:p>
        </w:tc>
        <w:tc>
          <w:p>
            <w:pPr>
              <w:pStyle w:val="Compact"/>
              <w:jc w:val="left"/>
            </w:pPr>
            <w:r>
              <w:t xml:space="preserve">7.2 (0.28) a</w:t>
            </w:r>
          </w:p>
        </w:tc>
        <w:tc>
          <w:p>
            <w:pPr>
              <w:pStyle w:val="Compact"/>
              <w:jc w:val="left"/>
            </w:pPr>
            <w:r>
              <w:t xml:space="preserve">1.6 (0.07) ab</w:t>
            </w:r>
          </w:p>
        </w:tc>
        <w:tc>
          <w:p>
            <w:pPr>
              <w:pStyle w:val="Compact"/>
              <w:jc w:val="left"/>
            </w:pPr>
            <w:r>
              <w:t xml:space="preserve">-30.3 (0.36) a</w:t>
            </w:r>
          </w:p>
        </w:tc>
      </w:tr>
      <w:tr>
        <w:tc>
          <w:p>
            <w:pPr>
              <w:pStyle w:val="Compact"/>
              <w:jc w:val="left"/>
            </w:pPr>
            <w:r>
              <w:t xml:space="preserve">20</w:t>
            </w:r>
          </w:p>
        </w:tc>
        <w:tc>
          <w:p>
            <w:pPr>
              <w:pStyle w:val="Compact"/>
              <w:jc w:val="left"/>
            </w:pPr>
            <w:r>
              <w:t xml:space="preserve">23.4 (1.63) ab</w:t>
            </w:r>
          </w:p>
        </w:tc>
        <w:tc>
          <w:p>
            <w:pPr>
              <w:pStyle w:val="Compact"/>
              <w:jc w:val="left"/>
            </w:pPr>
            <w:r>
              <w:t xml:space="preserve">11.8 (0.37) a</w:t>
            </w:r>
          </w:p>
        </w:tc>
        <w:tc>
          <w:p>
            <w:pPr>
              <w:pStyle w:val="Compact"/>
              <w:jc w:val="left"/>
            </w:pPr>
            <w:r>
              <w:t xml:space="preserve">9.5 (0.88) ab</w:t>
            </w:r>
          </w:p>
        </w:tc>
        <w:tc>
          <w:p>
            <w:pPr>
              <w:pStyle w:val="Compact"/>
              <w:jc w:val="left"/>
            </w:pPr>
            <w:r>
              <w:t xml:space="preserve">6.6 (0.26) a</w:t>
            </w:r>
          </w:p>
        </w:tc>
        <w:tc>
          <w:p>
            <w:pPr>
              <w:pStyle w:val="Compact"/>
              <w:jc w:val="left"/>
            </w:pPr>
            <w:r>
              <w:t xml:space="preserve">1.7 (0.06) ab</w:t>
            </w:r>
          </w:p>
        </w:tc>
        <w:tc>
          <w:p>
            <w:pPr>
              <w:pStyle w:val="Compact"/>
              <w:jc w:val="left"/>
            </w:pPr>
            <w:r>
              <w:t xml:space="preserve">-29.7 (0.28) a</w:t>
            </w:r>
          </w:p>
        </w:tc>
      </w:tr>
      <w:tr>
        <w:tc>
          <w:p>
            <w:pPr>
              <w:pStyle w:val="Compact"/>
              <w:jc w:val="left"/>
            </w:pPr>
            <w:r>
              <w:t xml:space="preserve">25</w:t>
            </w:r>
          </w:p>
        </w:tc>
        <w:tc>
          <w:p>
            <w:pPr>
              <w:pStyle w:val="Compact"/>
              <w:jc w:val="left"/>
            </w:pPr>
            <w:r>
              <w:t xml:space="preserve">30.4 (5.49) ab</w:t>
            </w:r>
          </w:p>
        </w:tc>
        <w:tc>
          <w:p>
            <w:pPr>
              <w:pStyle w:val="Compact"/>
              <w:jc w:val="left"/>
            </w:pPr>
            <w:r>
              <w:t xml:space="preserve">12.4 (0.40) a</w:t>
            </w:r>
          </w:p>
        </w:tc>
        <w:tc>
          <w:p>
            <w:pPr>
              <w:pStyle w:val="Compact"/>
              <w:jc w:val="left"/>
            </w:pPr>
            <w:r>
              <w:t xml:space="preserve">9.8 (0.71) ab</w:t>
            </w:r>
          </w:p>
        </w:tc>
        <w:tc>
          <w:p>
            <w:pPr>
              <w:pStyle w:val="Compact"/>
              <w:jc w:val="left"/>
            </w:pPr>
            <w:r>
              <w:t xml:space="preserve">6.9 (0.24) a</w:t>
            </w:r>
          </w:p>
        </w:tc>
        <w:tc>
          <w:p>
            <w:pPr>
              <w:pStyle w:val="Compact"/>
              <w:jc w:val="left"/>
            </w:pPr>
            <w:r>
              <w:t xml:space="preserve">1.6 (0.07) ab</w:t>
            </w:r>
          </w:p>
        </w:tc>
        <w:tc>
          <w:p>
            <w:pPr>
              <w:pStyle w:val="Compact"/>
              <w:jc w:val="left"/>
            </w:pPr>
            <w:r>
              <w:t xml:space="preserve">-29.7 (0.25) a</w:t>
            </w:r>
          </w:p>
        </w:tc>
      </w:tr>
      <w:tr>
        <w:tc>
          <w:p>
            <w:pPr>
              <w:pStyle w:val="Compact"/>
              <w:jc w:val="left"/>
            </w:pPr>
            <w:r>
              <w:t xml:space="preserve">35</w:t>
            </w:r>
          </w:p>
        </w:tc>
        <w:tc>
          <w:p>
            <w:pPr>
              <w:pStyle w:val="Compact"/>
              <w:jc w:val="left"/>
            </w:pPr>
            <w:r>
              <w:t xml:space="preserve">52.2 (9.55) b</w:t>
            </w:r>
          </w:p>
        </w:tc>
        <w:tc>
          <w:p>
            <w:pPr>
              <w:pStyle w:val="Compact"/>
              <w:jc w:val="left"/>
            </w:pPr>
            <w:r>
              <w:t xml:space="preserve">13.5 (0.46) ab</w:t>
            </w:r>
          </w:p>
        </w:tc>
        <w:tc>
          <w:p>
            <w:pPr>
              <w:pStyle w:val="Compact"/>
              <w:jc w:val="left"/>
            </w:pPr>
            <w:r>
              <w:t xml:space="preserve">9.8 (0.65) ab</w:t>
            </w:r>
          </w:p>
        </w:tc>
        <w:tc>
          <w:p>
            <w:pPr>
              <w:pStyle w:val="Compact"/>
              <w:jc w:val="left"/>
            </w:pPr>
            <w:r>
              <w:t xml:space="preserve">6.8 (0.22) a</w:t>
            </w:r>
          </w:p>
        </w:tc>
        <w:tc>
          <w:p>
            <w:pPr>
              <w:pStyle w:val="Compact"/>
              <w:jc w:val="left"/>
            </w:pPr>
            <w:r>
              <w:t xml:space="preserve">1.8 (0.08) b</w:t>
            </w:r>
          </w:p>
        </w:tc>
        <w:tc>
          <w:p>
            <w:pPr>
              <w:pStyle w:val="Compact"/>
              <w:jc w:val="left"/>
            </w:pPr>
            <w:r>
              <w:t xml:space="preserve">-30.6 (0.38) a</w:t>
            </w:r>
          </w:p>
        </w:tc>
      </w:tr>
      <w:tr>
        <w:tc>
          <w:p>
            <w:pPr>
              <w:pStyle w:val="Compact"/>
              <w:jc w:val="left"/>
            </w:pPr>
            <w:r>
              <w:t xml:space="preserve">Free</w:t>
            </w:r>
          </w:p>
        </w:tc>
        <w:tc>
          <w:p>
            <w:pPr>
              <w:pStyle w:val="Compact"/>
              <w:jc w:val="left"/>
            </w:pPr>
            <w:r>
              <w:t xml:space="preserve">174.5 (18.02) c</w:t>
            </w:r>
          </w:p>
        </w:tc>
        <w:tc>
          <w:p>
            <w:pPr>
              <w:pStyle w:val="Compact"/>
              <w:jc w:val="left"/>
            </w:pPr>
            <w:r>
              <w:t xml:space="preserve">15.1 (0.47) b</w:t>
            </w:r>
          </w:p>
        </w:tc>
        <w:tc>
          <w:p>
            <w:pPr>
              <w:pStyle w:val="Compact"/>
              <w:jc w:val="left"/>
            </w:pPr>
            <w:r>
              <w:t xml:space="preserve">6.8 (0.65) a</w:t>
            </w:r>
          </w:p>
        </w:tc>
        <w:tc>
          <w:p>
            <w:pPr>
              <w:pStyle w:val="Compact"/>
              <w:jc w:val="left"/>
            </w:pPr>
            <w:r>
              <w:t xml:space="preserve">7.4 (0.25) a</w:t>
            </w:r>
          </w:p>
        </w:tc>
        <w:tc>
          <w:p>
            <w:pPr>
              <w:pStyle w:val="Compact"/>
              <w:jc w:val="left"/>
            </w:pPr>
            <w:r>
              <w:t xml:space="preserve">2.7 (0.09) c</w:t>
            </w:r>
          </w:p>
        </w:tc>
        <w:tc>
          <w:p>
            <w:pPr>
              <w:pStyle w:val="Compact"/>
              <w:jc w:val="left"/>
            </w:pPr>
            <w:r>
              <w:t xml:space="preserve">-30.0 (0.34) a</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0.001</w:t>
            </w:r>
          </w:p>
        </w:tc>
        <w:tc>
          <w:p>
            <w:pPr>
              <w:pStyle w:val="Compact"/>
              <w:jc w:val="left"/>
            </w:pPr>
            <w:r>
              <w:t xml:space="preserve">0.029</w:t>
            </w:r>
          </w:p>
        </w:tc>
        <w:tc>
          <w:p>
            <w:pPr>
              <w:pStyle w:val="Compact"/>
              <w:jc w:val="left"/>
            </w:pPr>
            <w:r>
              <w:t xml:space="preserve">0.125</w:t>
            </w:r>
          </w:p>
        </w:tc>
        <w:tc>
          <w:p>
            <w:pPr>
              <w:pStyle w:val="Compact"/>
              <w:jc w:val="left"/>
            </w:pPr>
            <w:r>
              <w:t xml:space="preserve">0.001</w:t>
            </w:r>
          </w:p>
        </w:tc>
        <w:tc>
          <w:p>
            <w:pPr>
              <w:pStyle w:val="Compact"/>
              <w:jc w:val="left"/>
            </w:pPr>
            <w:r>
              <w:t xml:space="preserve">0.372</w:t>
            </w:r>
          </w:p>
        </w:tc>
      </w:tr>
    </w:tbl>
    <w:p>
      <w:r>
        <w:rPr>
          <w:b/>
        </w:rPr>
        <w:t xml:space="preserve">Table 2.</w:t>
      </w:r>
      <w:r>
        <w:t xml:space="preserve"> </w:t>
      </w:r>
      <w:r>
        <w:t xml:space="preserve">Responses of root characterisitics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Vaules for RLD are only calculated for seedlings in containers as free seedlings have potentially unlimeted soil volume to exploit. Different letters represent significant differences between treatments. The volume effect P value represents the overall difference between seedlings with soil volume restriction and the control seedlings, except for RLD which represents only diffeences between seedlings in containers.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Root Nitrogen (%)</w:t>
            </w:r>
          </w:p>
        </w:tc>
        <w:tc>
          <w:tcPr>
            <w:tcBorders>
              <w:bottom w:val="single"/>
            </w:tcBorders>
            <w:vAlign w:val="bottom"/>
          </w:tcPr>
          <w:p>
            <w:pPr>
              <w:pStyle w:val="Compact"/>
              <w:jc w:val="left"/>
            </w:pPr>
            <w:r>
              <w:rPr>
                <w:b/>
              </w:rPr>
              <w:t xml:space="preserve">SRL (m g</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RLD (m dm</w:t>
            </w:r>
            <w:r>
              <w:rPr>
                <w:vertAlign w:val="superscript"/>
                <w:b/>
              </w:rPr>
              <w:t xml:space="preserve">-3</w:t>
            </w:r>
            <w:r>
              <w:rPr>
                <w:b/>
              </w:rPr>
              <w:t xml:space="preserve">)</w:t>
            </w:r>
          </w:p>
        </w:tc>
      </w:tr>
      <w:tr>
        <w:tc>
          <w:p>
            <w:pPr>
              <w:pStyle w:val="Compact"/>
              <w:jc w:val="left"/>
            </w:pPr>
            <w:r>
              <w:t xml:space="preserve">5</w:t>
            </w:r>
          </w:p>
        </w:tc>
        <w:tc>
          <w:p>
            <w:pPr>
              <w:pStyle w:val="Compact"/>
              <w:jc w:val="left"/>
            </w:pPr>
            <w:r>
              <w:t xml:space="preserve">0.78 (0.04) ab</w:t>
            </w:r>
          </w:p>
        </w:tc>
        <w:tc>
          <w:p>
            <w:pPr>
              <w:pStyle w:val="Compact"/>
              <w:jc w:val="left"/>
            </w:pPr>
            <w:r>
              <w:t xml:space="preserve">73.0 (6.73) ab</w:t>
            </w:r>
          </w:p>
        </w:tc>
        <w:tc>
          <w:p>
            <w:pPr>
              <w:pStyle w:val="Compact"/>
              <w:jc w:val="left"/>
            </w:pPr>
            <w:r>
              <w:t xml:space="preserve">1.1 (0.11) c</w:t>
            </w:r>
          </w:p>
        </w:tc>
      </w:tr>
      <w:tr>
        <w:tc>
          <w:p>
            <w:pPr>
              <w:pStyle w:val="Compact"/>
              <w:jc w:val="left"/>
            </w:pPr>
            <w:r>
              <w:t xml:space="preserve">10</w:t>
            </w:r>
          </w:p>
        </w:tc>
        <w:tc>
          <w:p>
            <w:pPr>
              <w:pStyle w:val="Compact"/>
              <w:jc w:val="left"/>
            </w:pPr>
            <w:r>
              <w:t xml:space="preserve">0.75 (0.02) a</w:t>
            </w:r>
          </w:p>
        </w:tc>
        <w:tc>
          <w:p>
            <w:pPr>
              <w:pStyle w:val="Compact"/>
              <w:jc w:val="left"/>
            </w:pPr>
            <w:r>
              <w:t xml:space="preserve">99.6 (8.70) b</w:t>
            </w:r>
          </w:p>
        </w:tc>
        <w:tc>
          <w:p>
            <w:pPr>
              <w:pStyle w:val="Compact"/>
              <w:jc w:val="left"/>
            </w:pPr>
            <w:r>
              <w:t xml:space="preserve">0.6 (0.06) b</w:t>
            </w:r>
          </w:p>
        </w:tc>
      </w:tr>
      <w:tr>
        <w:tc>
          <w:p>
            <w:pPr>
              <w:pStyle w:val="Compact"/>
              <w:jc w:val="left"/>
            </w:pPr>
            <w:r>
              <w:t xml:space="preserve">15</w:t>
            </w:r>
          </w:p>
        </w:tc>
        <w:tc>
          <w:p>
            <w:pPr>
              <w:pStyle w:val="Compact"/>
              <w:jc w:val="left"/>
            </w:pPr>
            <w:r>
              <w:t xml:space="preserve">0.71 (0.02) a</w:t>
            </w:r>
          </w:p>
        </w:tc>
        <w:tc>
          <w:p>
            <w:pPr>
              <w:pStyle w:val="Compact"/>
              <w:jc w:val="left"/>
            </w:pPr>
            <w:r>
              <w:t xml:space="preserve">74.6 (6.98) ab</w:t>
            </w:r>
          </w:p>
        </w:tc>
        <w:tc>
          <w:p>
            <w:pPr>
              <w:pStyle w:val="Compact"/>
              <w:jc w:val="left"/>
            </w:pPr>
            <w:r>
              <w:t xml:space="preserve">0.3 (0.03) a</w:t>
            </w:r>
          </w:p>
        </w:tc>
      </w:tr>
      <w:tr>
        <w:tc>
          <w:p>
            <w:pPr>
              <w:pStyle w:val="Compact"/>
              <w:jc w:val="left"/>
            </w:pPr>
            <w:r>
              <w:t xml:space="preserve">20</w:t>
            </w:r>
          </w:p>
        </w:tc>
        <w:tc>
          <w:p>
            <w:pPr>
              <w:pStyle w:val="Compact"/>
              <w:jc w:val="left"/>
            </w:pPr>
            <w:r>
              <w:t xml:space="preserve">0.76 (0.04) a</w:t>
            </w:r>
          </w:p>
        </w:tc>
        <w:tc>
          <w:p>
            <w:pPr>
              <w:pStyle w:val="Compact"/>
              <w:jc w:val="left"/>
            </w:pPr>
            <w:r>
              <w:t xml:space="preserve">85.8 (7.37) ab</w:t>
            </w:r>
          </w:p>
        </w:tc>
        <w:tc>
          <w:p>
            <w:pPr>
              <w:pStyle w:val="Compact"/>
              <w:jc w:val="left"/>
            </w:pPr>
            <w:r>
              <w:t xml:space="preserve">0.3 (0.02) a</w:t>
            </w:r>
          </w:p>
        </w:tc>
      </w:tr>
      <w:tr>
        <w:tc>
          <w:p>
            <w:pPr>
              <w:pStyle w:val="Compact"/>
              <w:jc w:val="left"/>
            </w:pPr>
            <w:r>
              <w:t xml:space="preserve">25</w:t>
            </w:r>
          </w:p>
        </w:tc>
        <w:tc>
          <w:p>
            <w:pPr>
              <w:pStyle w:val="Compact"/>
              <w:jc w:val="left"/>
            </w:pPr>
            <w:r>
              <w:t xml:space="preserve">0.74 (0.02) a</w:t>
            </w:r>
          </w:p>
        </w:tc>
        <w:tc>
          <w:p>
            <w:pPr>
              <w:pStyle w:val="Compact"/>
              <w:jc w:val="left"/>
            </w:pPr>
            <w:r>
              <w:t xml:space="preserve">82.5 (15.02) ab</w:t>
            </w:r>
          </w:p>
        </w:tc>
        <w:tc>
          <w:p>
            <w:pPr>
              <w:pStyle w:val="Compact"/>
              <w:jc w:val="left"/>
            </w:pPr>
            <w:r>
              <w:t xml:space="preserve">0.2 (0.01) a</w:t>
            </w:r>
          </w:p>
        </w:tc>
      </w:tr>
      <w:tr>
        <w:tc>
          <w:p>
            <w:pPr>
              <w:pStyle w:val="Compact"/>
              <w:jc w:val="left"/>
            </w:pPr>
            <w:r>
              <w:t xml:space="preserve">35</w:t>
            </w:r>
          </w:p>
        </w:tc>
        <w:tc>
          <w:p>
            <w:pPr>
              <w:pStyle w:val="Compact"/>
              <w:jc w:val="left"/>
            </w:pPr>
            <w:r>
              <w:t xml:space="preserve">0.77 (0.03) ab</w:t>
            </w:r>
          </w:p>
        </w:tc>
        <w:tc>
          <w:p>
            <w:pPr>
              <w:pStyle w:val="Compact"/>
              <w:jc w:val="left"/>
            </w:pPr>
            <w:r>
              <w:t xml:space="preserve">63.1 (6.47) a</w:t>
            </w:r>
          </w:p>
        </w:tc>
        <w:tc>
          <w:p>
            <w:pPr>
              <w:pStyle w:val="Compact"/>
              <w:jc w:val="left"/>
            </w:pPr>
            <w:r>
              <w:t xml:space="preserve">0.2 (0.01) a</w:t>
            </w:r>
          </w:p>
        </w:tc>
      </w:tr>
      <w:tr>
        <w:tc>
          <w:p>
            <w:pPr>
              <w:pStyle w:val="Compact"/>
              <w:jc w:val="left"/>
            </w:pPr>
            <w:r>
              <w:t xml:space="preserve">Free</w:t>
            </w:r>
          </w:p>
        </w:tc>
        <w:tc>
          <w:p>
            <w:pPr>
              <w:pStyle w:val="Compact"/>
              <w:jc w:val="left"/>
            </w:pPr>
            <w:r>
              <w:t xml:space="preserve">0.90 (0.03) b</w:t>
            </w:r>
          </w:p>
        </w:tc>
        <w:tc>
          <w:p>
            <w:pPr>
              <w:pStyle w:val="Compact"/>
              <w:jc w:val="left"/>
            </w:pPr>
            <w:r>
              <w:t xml:space="preserve">50.9 (5.00) a</w:t>
            </w:r>
          </w:p>
        </w:tc>
        <w:tc>
          <w:p>
            <w:pPr>
              <w:pStyle w:val="Compact"/>
            </w:pPr>
          </w:p>
        </w:tc>
      </w:tr>
      <w:tr>
        <w:tc>
          <w:p>
            <w:pPr>
              <w:pStyle w:val="Compact"/>
              <w:jc w:val="left"/>
            </w:pPr>
            <w:r>
              <w:t xml:space="preserve">Volume Effect (P value)</w:t>
            </w:r>
          </w:p>
        </w:tc>
        <w:tc>
          <w:p>
            <w:pPr>
              <w:pStyle w:val="Compact"/>
              <w:jc w:val="left"/>
            </w:pPr>
            <w:r>
              <w:t xml:space="preserve">0.017</w:t>
            </w:r>
          </w:p>
        </w:tc>
        <w:tc>
          <w:p>
            <w:pPr>
              <w:pStyle w:val="Compact"/>
              <w:jc w:val="left"/>
            </w:pPr>
            <w:r>
              <w:t xml:space="preserve">0.009</w:t>
            </w:r>
          </w:p>
        </w:tc>
        <w:tc>
          <w:p>
            <w:pPr>
              <w:pStyle w:val="Compact"/>
              <w:jc w:val="left"/>
            </w:pPr>
            <w:r>
              <w:t xml:space="preserve">0.001</w:t>
            </w:r>
          </w:p>
        </w:tc>
      </w:tr>
    </w:tbl>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w:t>
      </w:r>
      <w:r>
        <w:rPr>
          <w:vertAlign w:val="subscript"/>
        </w:rPr>
        <w:t xml:space="preserve">dark</w:t>
      </w:r>
      <w:r>
        <w:t xml:space="preserve"> </w:t>
      </w:r>
      <w:r>
        <w:t xml:space="preserve">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tbl>
      <w:tblPr>
        <w:tblStyle w:val="TableNormal"/>
        <w:tblW w:type="pct" w:w="0.0"/>
      </w:tblPr>
      <w:tblGrid/>
      <w:tr>
        <w:tc>
          <w:tcPr>
            <w:tcBorders>
              <w:bottom w:val="single"/>
            </w:tcBorders>
            <w:vAlign w:val="bottom"/>
          </w:tcPr>
          <w:p>
            <w:pPr>
              <w:pStyle w:val="Compact"/>
              <w:jc w:val="left"/>
            </w:pPr>
            <w:r>
              <w:rPr>
                <w:b/>
              </w:rPr>
              <w:t xml:space="preserve">Volume (L)</w:t>
            </w:r>
          </w:p>
        </w:tc>
        <w:tc>
          <w:tcPr>
            <w:tcBorders>
              <w:bottom w:val="single"/>
            </w:tcBorders>
            <w:vAlign w:val="bottom"/>
          </w:tcPr>
          <w:p>
            <w:pPr>
              <w:pStyle w:val="Compact"/>
              <w:jc w:val="left"/>
            </w:pPr>
            <w:r>
              <w:rPr>
                <w:b/>
              </w:rPr>
              <w:t xml:space="preserve">A</w:t>
            </w:r>
            <w:r>
              <w:rPr>
                <w:vertAlign w:val="subscript"/>
                <w:b/>
              </w:rPr>
              <w:t xml:space="preserve">max</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R</w:t>
            </w:r>
            <w:r>
              <w:rPr>
                <w:vertAlign w:val="subscript"/>
                <w:b/>
              </w:rPr>
              <w:t xml:space="preserve">dark</w:t>
            </w:r>
            <w:r>
              <w:rPr>
                <w:b/>
              </w:rPr>
              <w:t xml:space="preserve"> </w:t>
            </w:r>
            <w:r>
              <w:rPr>
                <w:b/>
              </w:rPr>
              <w:t xml:space="preserve">(</w:t>
            </w:r>
            <m:oMath>
              <m:r>
                <m:rPr>
                  <m:sty m:val="p"/>
                </m:rPr>
                <m:t>μ</m:t>
              </m:r>
            </m:oMath>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J</w:t>
            </w:r>
            <w:r>
              <w:rPr>
                <w:vertAlign w:val="subscript"/>
                <w:b/>
              </w:rPr>
              <w:t xml:space="preserve">max</w:t>
            </w:r>
          </w:p>
        </w:tc>
        <w:tc>
          <w:tcPr>
            <w:tcBorders>
              <w:bottom w:val="single"/>
            </w:tcBorders>
            <w:vAlign w:val="bottom"/>
          </w:tcPr>
          <w:p>
            <w:pPr>
              <w:pStyle w:val="Compact"/>
              <w:jc w:val="left"/>
            </w:pPr>
            <w:r>
              <w:rPr>
                <w:b/>
              </w:rPr>
              <w:t xml:space="preserve">Vc</w:t>
            </w:r>
            <w:r>
              <w:rPr>
                <w:vertAlign w:val="subscript"/>
                <w:b/>
              </w:rPr>
              <w:t xml:space="preserve">max</w:t>
            </w:r>
          </w:p>
        </w:tc>
        <w:tc>
          <w:tcPr>
            <w:tcBorders>
              <w:bottom w:val="single"/>
            </w:tcBorders>
            <w:vAlign w:val="bottom"/>
          </w:tcPr>
          <w:p>
            <w:pPr>
              <w:pStyle w:val="Compact"/>
              <w:jc w:val="left"/>
            </w:pPr>
            <w:r>
              <w:rPr>
                <w:b/>
              </w:rPr>
              <w:t xml:space="preserve">g</w:t>
            </w:r>
            <w:r>
              <w:rPr>
                <w:vertAlign w:val="subscript"/>
                <w:b/>
              </w:rPr>
              <w:t xml:space="preserve">s</w:t>
            </w:r>
            <w:r>
              <w:rPr>
                <w:b/>
              </w:rPr>
              <w:t xml:space="preserve"> </w:t>
            </w:r>
            <w:r>
              <w:rPr>
                <w:b/>
              </w:rPr>
              <w:t xml:space="preserve">(mol m</w:t>
            </w:r>
            <w:r>
              <w:rPr>
                <w:vertAlign w:val="superscript"/>
                <w:b/>
              </w:rPr>
              <w:t xml:space="preserve">-2</w:t>
            </w:r>
            <w:r>
              <w:rPr>
                <w:b/>
              </w:rPr>
              <w:t xml:space="preserve"> </w:t>
            </w:r>
            <w:r>
              <w:rPr>
                <w:b/>
              </w:rPr>
              <w:t xml:space="preserve">s</w:t>
            </w:r>
            <w:r>
              <w:rPr>
                <w:vertAlign w:val="superscript"/>
                <w:b/>
              </w:rPr>
              <w:t xml:space="preserve">-1</w:t>
            </w:r>
            <w:r>
              <w:rPr>
                <w:b/>
              </w:rPr>
              <w:t xml:space="preserve">)</w:t>
            </w:r>
          </w:p>
        </w:tc>
        <w:tc>
          <w:tcPr>
            <w:tcBorders>
              <w:bottom w:val="single"/>
            </w:tcBorders>
            <w:vAlign w:val="bottom"/>
          </w:tcPr>
          <w:p>
            <w:pPr>
              <w:pStyle w:val="Compact"/>
              <w:jc w:val="left"/>
            </w:pPr>
            <w:r>
              <w:rPr>
                <w:b/>
              </w:rPr>
              <w:t xml:space="preserve">g</w:t>
            </w:r>
            <w:r>
              <w:rPr>
                <w:vertAlign w:val="subscript"/>
                <w:b/>
              </w:rPr>
              <w:t xml:space="preserve">1</w:t>
            </w:r>
          </w:p>
        </w:tc>
      </w:tr>
      <w:tr>
        <w:tc>
          <w:p>
            <w:pPr>
              <w:pStyle w:val="Compact"/>
              <w:jc w:val="left"/>
            </w:pPr>
            <w:r>
              <w:t xml:space="preserve">5</w:t>
            </w:r>
          </w:p>
        </w:tc>
        <w:tc>
          <w:p>
            <w:pPr>
              <w:pStyle w:val="Compact"/>
              <w:jc w:val="left"/>
            </w:pPr>
            <w:r>
              <w:t xml:space="preserve">21.2 (0.9) a</w:t>
            </w:r>
          </w:p>
        </w:tc>
        <w:tc>
          <w:p>
            <w:pPr>
              <w:pStyle w:val="Compact"/>
              <w:jc w:val="left"/>
            </w:pPr>
            <w:r>
              <w:t xml:space="preserve">0.61 (0.04) a</w:t>
            </w:r>
          </w:p>
        </w:tc>
        <w:tc>
          <w:p>
            <w:pPr>
              <w:pStyle w:val="Compact"/>
              <w:jc w:val="left"/>
            </w:pPr>
            <w:r>
              <w:t xml:space="preserve">104.5 (3.3) a</w:t>
            </w:r>
          </w:p>
        </w:tc>
        <w:tc>
          <w:p>
            <w:pPr>
              <w:pStyle w:val="Compact"/>
              <w:jc w:val="left"/>
            </w:pPr>
            <w:r>
              <w:t xml:space="preserve">63.3 (2.5) a</w:t>
            </w:r>
          </w:p>
        </w:tc>
        <w:tc>
          <w:p>
            <w:pPr>
              <w:pStyle w:val="Compact"/>
              <w:jc w:val="left"/>
            </w:pPr>
            <w:r>
              <w:t xml:space="preserve">0.30 (0.009) a</w:t>
            </w:r>
          </w:p>
        </w:tc>
        <w:tc>
          <w:p>
            <w:pPr>
              <w:pStyle w:val="Compact"/>
              <w:jc w:val="left"/>
            </w:pPr>
            <w:r>
              <w:t xml:space="preserve">5.1 (0.14) bc</w:t>
            </w:r>
          </w:p>
        </w:tc>
      </w:tr>
      <w:tr>
        <w:tc>
          <w:p>
            <w:pPr>
              <w:pStyle w:val="Compact"/>
              <w:jc w:val="left"/>
            </w:pPr>
            <w:r>
              <w:t xml:space="preserve">10</w:t>
            </w:r>
          </w:p>
        </w:tc>
        <w:tc>
          <w:p>
            <w:pPr>
              <w:pStyle w:val="Compact"/>
              <w:jc w:val="left"/>
            </w:pPr>
            <w:r>
              <w:t xml:space="preserve">22.3 (1.4) ab</w:t>
            </w:r>
          </w:p>
        </w:tc>
        <w:tc>
          <w:p>
            <w:pPr>
              <w:pStyle w:val="Compact"/>
              <w:jc w:val="left"/>
            </w:pPr>
            <w:r>
              <w:t xml:space="preserve">0.79 (0.06) a</w:t>
            </w:r>
          </w:p>
        </w:tc>
        <w:tc>
          <w:p>
            <w:pPr>
              <w:pStyle w:val="Compact"/>
              <w:jc w:val="left"/>
            </w:pPr>
            <w:r>
              <w:t xml:space="preserve">116.5 (7.5) a</w:t>
            </w:r>
          </w:p>
        </w:tc>
        <w:tc>
          <w:p>
            <w:pPr>
              <w:pStyle w:val="Compact"/>
              <w:jc w:val="left"/>
            </w:pPr>
            <w:r>
              <w:t xml:space="preserve">69.4 (4.7) a</w:t>
            </w:r>
          </w:p>
        </w:tc>
        <w:tc>
          <w:p>
            <w:pPr>
              <w:pStyle w:val="Compact"/>
              <w:jc w:val="left"/>
            </w:pPr>
            <w:r>
              <w:t xml:space="preserve">0.36 (0.009) ab</w:t>
            </w:r>
          </w:p>
        </w:tc>
        <w:tc>
          <w:p>
            <w:pPr>
              <w:pStyle w:val="Compact"/>
              <w:jc w:val="left"/>
            </w:pPr>
            <w:r>
              <w:t xml:space="preserve">5.4 (0.10) cd</w:t>
            </w:r>
          </w:p>
        </w:tc>
      </w:tr>
      <w:tr>
        <w:tc>
          <w:p>
            <w:pPr>
              <w:pStyle w:val="Compact"/>
              <w:jc w:val="left"/>
            </w:pPr>
            <w:r>
              <w:t xml:space="preserve">15</w:t>
            </w:r>
          </w:p>
        </w:tc>
        <w:tc>
          <w:p>
            <w:pPr>
              <w:pStyle w:val="Compact"/>
              <w:jc w:val="left"/>
            </w:pPr>
            <w:r>
              <w:t xml:space="preserve">23.3 (1.2) ab</w:t>
            </w:r>
          </w:p>
        </w:tc>
        <w:tc>
          <w:p>
            <w:pPr>
              <w:pStyle w:val="Compact"/>
              <w:jc w:val="left"/>
            </w:pPr>
            <w:r>
              <w:t xml:space="preserve">0.70 (0.05) a</w:t>
            </w:r>
          </w:p>
        </w:tc>
        <w:tc>
          <w:p>
            <w:pPr>
              <w:pStyle w:val="Compact"/>
              <w:jc w:val="left"/>
            </w:pPr>
            <w:r>
              <w:t xml:space="preserve">125.4 (7.8) a</w:t>
            </w:r>
          </w:p>
        </w:tc>
        <w:tc>
          <w:p>
            <w:pPr>
              <w:pStyle w:val="Compact"/>
              <w:jc w:val="left"/>
            </w:pPr>
            <w:r>
              <w:t xml:space="preserve">80.8 (5.1) ab</w:t>
            </w:r>
          </w:p>
        </w:tc>
        <w:tc>
          <w:p>
            <w:pPr>
              <w:pStyle w:val="Compact"/>
              <w:jc w:val="left"/>
            </w:pPr>
            <w:r>
              <w:t xml:space="preserve">0.42 (0.010) ab</w:t>
            </w:r>
          </w:p>
        </w:tc>
        <w:tc>
          <w:p>
            <w:pPr>
              <w:pStyle w:val="Compact"/>
              <w:jc w:val="left"/>
            </w:pPr>
            <w:r>
              <w:t xml:space="preserve">5.8 (0.14) d</w:t>
            </w:r>
          </w:p>
        </w:tc>
      </w:tr>
      <w:tr>
        <w:tc>
          <w:p>
            <w:pPr>
              <w:pStyle w:val="Compact"/>
              <w:jc w:val="left"/>
            </w:pPr>
            <w:r>
              <w:t xml:space="preserve">20</w:t>
            </w:r>
          </w:p>
        </w:tc>
        <w:tc>
          <w:p>
            <w:pPr>
              <w:pStyle w:val="Compact"/>
              <w:jc w:val="left"/>
            </w:pPr>
            <w:r>
              <w:t xml:space="preserve">26.1 (0.7) b</w:t>
            </w:r>
          </w:p>
        </w:tc>
        <w:tc>
          <w:p>
            <w:pPr>
              <w:pStyle w:val="Compact"/>
              <w:jc w:val="left"/>
            </w:pPr>
            <w:r>
              <w:t xml:space="preserve">0.73 (0.11) a</w:t>
            </w:r>
          </w:p>
        </w:tc>
        <w:tc>
          <w:p>
            <w:pPr>
              <w:pStyle w:val="Compact"/>
              <w:jc w:val="left"/>
            </w:pPr>
            <w:r>
              <w:t xml:space="preserve">131.5 (8.6) a</w:t>
            </w:r>
          </w:p>
        </w:tc>
        <w:tc>
          <w:p>
            <w:pPr>
              <w:pStyle w:val="Compact"/>
              <w:jc w:val="left"/>
            </w:pPr>
            <w:r>
              <w:t xml:space="preserve">82.1 (4.7) ab</w:t>
            </w:r>
          </w:p>
        </w:tc>
        <w:tc>
          <w:p>
            <w:pPr>
              <w:pStyle w:val="Compact"/>
              <w:jc w:val="left"/>
            </w:pPr>
            <w:r>
              <w:t xml:space="preserve">0.37 (0.011) ab</w:t>
            </w:r>
          </w:p>
        </w:tc>
        <w:tc>
          <w:p>
            <w:pPr>
              <w:pStyle w:val="Compact"/>
              <w:jc w:val="left"/>
            </w:pPr>
            <w:r>
              <w:t xml:space="preserve">4.9 (0.12) ac</w:t>
            </w:r>
          </w:p>
        </w:tc>
      </w:tr>
      <w:tr>
        <w:tc>
          <w:p>
            <w:pPr>
              <w:pStyle w:val="Compact"/>
              <w:jc w:val="left"/>
            </w:pPr>
            <w:r>
              <w:t xml:space="preserve">25</w:t>
            </w:r>
          </w:p>
        </w:tc>
        <w:tc>
          <w:p>
            <w:pPr>
              <w:pStyle w:val="Compact"/>
              <w:jc w:val="left"/>
            </w:pPr>
            <w:r>
              <w:t xml:space="preserve">23.9 (0.9) ab</w:t>
            </w:r>
          </w:p>
        </w:tc>
        <w:tc>
          <w:p>
            <w:pPr>
              <w:pStyle w:val="Compact"/>
              <w:jc w:val="left"/>
            </w:pPr>
            <w:r>
              <w:t xml:space="preserve">0.53 (0.13) a</w:t>
            </w:r>
          </w:p>
        </w:tc>
        <w:tc>
          <w:p>
            <w:pPr>
              <w:pStyle w:val="Compact"/>
              <w:jc w:val="left"/>
            </w:pPr>
            <w:r>
              <w:t xml:space="preserve">132.8 (13.1) a</w:t>
            </w:r>
          </w:p>
        </w:tc>
        <w:tc>
          <w:p>
            <w:pPr>
              <w:pStyle w:val="Compact"/>
              <w:jc w:val="left"/>
            </w:pPr>
            <w:r>
              <w:t xml:space="preserve">79.0 (8.7) a</w:t>
            </w:r>
          </w:p>
        </w:tc>
        <w:tc>
          <w:p>
            <w:pPr>
              <w:pStyle w:val="Compact"/>
              <w:jc w:val="left"/>
            </w:pPr>
            <w:r>
              <w:t xml:space="preserve">0.30 (0.009) a</w:t>
            </w:r>
          </w:p>
        </w:tc>
        <w:tc>
          <w:p>
            <w:pPr>
              <w:pStyle w:val="Compact"/>
              <w:jc w:val="left"/>
            </w:pPr>
            <w:r>
              <w:t xml:space="preserve">4.5 (0.14) a</w:t>
            </w:r>
          </w:p>
        </w:tc>
      </w:tr>
      <w:tr>
        <w:tc>
          <w:p>
            <w:pPr>
              <w:pStyle w:val="Compact"/>
              <w:jc w:val="left"/>
            </w:pPr>
            <w:r>
              <w:t xml:space="preserve">35</w:t>
            </w:r>
          </w:p>
        </w:tc>
        <w:tc>
          <w:p>
            <w:pPr>
              <w:pStyle w:val="Compact"/>
              <w:jc w:val="left"/>
            </w:pPr>
            <w:r>
              <w:t xml:space="preserve">25.0 (1.0) ab</w:t>
            </w:r>
          </w:p>
        </w:tc>
        <w:tc>
          <w:p>
            <w:pPr>
              <w:pStyle w:val="Compact"/>
              <w:jc w:val="left"/>
            </w:pPr>
            <w:r>
              <w:t xml:space="preserve">0.61 (0.04) a</w:t>
            </w:r>
          </w:p>
        </w:tc>
        <w:tc>
          <w:p>
            <w:pPr>
              <w:pStyle w:val="Compact"/>
              <w:jc w:val="left"/>
            </w:pPr>
            <w:r>
              <w:t xml:space="preserve">127.2 (6.1) a</w:t>
            </w:r>
          </w:p>
        </w:tc>
        <w:tc>
          <w:p>
            <w:pPr>
              <w:pStyle w:val="Compact"/>
              <w:jc w:val="left"/>
            </w:pPr>
            <w:r>
              <w:t xml:space="preserve">82.4 (3.6) a</w:t>
            </w:r>
          </w:p>
        </w:tc>
        <w:tc>
          <w:p>
            <w:pPr>
              <w:pStyle w:val="Compact"/>
              <w:jc w:val="left"/>
            </w:pPr>
            <w:r>
              <w:t xml:space="preserve">0.31 (0.011) a</w:t>
            </w:r>
          </w:p>
        </w:tc>
        <w:tc>
          <w:p>
            <w:pPr>
              <w:pStyle w:val="Compact"/>
              <w:jc w:val="left"/>
            </w:pPr>
            <w:r>
              <w:t xml:space="preserve">4.4 (0.15) a</w:t>
            </w:r>
          </w:p>
        </w:tc>
      </w:tr>
      <w:tr>
        <w:tc>
          <w:p>
            <w:pPr>
              <w:pStyle w:val="Compact"/>
              <w:jc w:val="left"/>
            </w:pPr>
            <w:r>
              <w:t xml:space="preserve">Free</w:t>
            </w:r>
          </w:p>
        </w:tc>
        <w:tc>
          <w:p>
            <w:pPr>
              <w:pStyle w:val="Compact"/>
              <w:jc w:val="left"/>
            </w:pPr>
            <w:r>
              <w:t xml:space="preserve">33.1 (0.7) c</w:t>
            </w:r>
          </w:p>
        </w:tc>
        <w:tc>
          <w:p>
            <w:pPr>
              <w:pStyle w:val="Compact"/>
              <w:jc w:val="left"/>
            </w:pPr>
            <w:r>
              <w:t xml:space="preserve">0.64 (0.07) a</w:t>
            </w:r>
          </w:p>
        </w:tc>
        <w:tc>
          <w:p>
            <w:pPr>
              <w:pStyle w:val="Compact"/>
              <w:jc w:val="left"/>
            </w:pPr>
            <w:r>
              <w:t xml:space="preserve">169.0 (8.2) b</w:t>
            </w:r>
          </w:p>
        </w:tc>
        <w:tc>
          <w:p>
            <w:pPr>
              <w:pStyle w:val="Compact"/>
              <w:jc w:val="left"/>
            </w:pPr>
            <w:r>
              <w:t xml:space="preserve">100.4 (3.3) b</w:t>
            </w:r>
          </w:p>
        </w:tc>
        <w:tc>
          <w:p>
            <w:pPr>
              <w:pStyle w:val="Compact"/>
              <w:jc w:val="left"/>
            </w:pPr>
            <w:r>
              <w:t xml:space="preserve">0.44 (0.011) b</w:t>
            </w:r>
          </w:p>
        </w:tc>
        <w:tc>
          <w:p>
            <w:pPr>
              <w:pStyle w:val="Compact"/>
              <w:jc w:val="left"/>
            </w:pPr>
            <w:r>
              <w:t xml:space="preserve">4.5 (0.14) ab</w:t>
            </w:r>
          </w:p>
        </w:tc>
      </w:tr>
      <w:tr>
        <w:tc>
          <w:p>
            <w:pPr>
              <w:pStyle w:val="Compact"/>
              <w:jc w:val="left"/>
            </w:pPr>
            <w:r>
              <w:t xml:space="preserve">Volume Effect (P value)</w:t>
            </w:r>
          </w:p>
        </w:tc>
        <w:tc>
          <w:p>
            <w:pPr>
              <w:pStyle w:val="Compact"/>
              <w:jc w:val="left"/>
            </w:pPr>
            <w:r>
              <w:t xml:space="preserve">0.001</w:t>
            </w:r>
          </w:p>
        </w:tc>
        <w:tc>
          <w:p>
            <w:pPr>
              <w:pStyle w:val="Compact"/>
              <w:jc w:val="left"/>
            </w:pPr>
            <w:r>
              <w:t xml:space="preserve">0.269</w:t>
            </w:r>
          </w:p>
        </w:tc>
        <w:tc>
          <w:p>
            <w:pPr>
              <w:pStyle w:val="Compact"/>
              <w:jc w:val="left"/>
            </w:pPr>
            <w:r>
              <w:t xml:space="preserve">0.004</w:t>
            </w:r>
          </w:p>
        </w:tc>
        <w:tc>
          <w:p>
            <w:pPr>
              <w:pStyle w:val="Compact"/>
              <w:jc w:val="left"/>
            </w:pPr>
            <w:r>
              <w:t xml:space="preserve">0.005</w:t>
            </w:r>
          </w:p>
        </w:tc>
        <w:tc>
          <w:p>
            <w:pPr>
              <w:pStyle w:val="Compact"/>
              <w:jc w:val="left"/>
            </w:pPr>
            <w:r>
              <w:t xml:space="preserve">0.007</w:t>
            </w:r>
          </w:p>
        </w:tc>
        <w:tc>
          <w:p>
            <w:pPr>
              <w:pStyle w:val="Compact"/>
              <w:jc w:val="left"/>
            </w:pPr>
            <w:r>
              <w:t xml:space="preserve">0.001</w:t>
            </w:r>
          </w:p>
        </w:tc>
      </w:tr>
    </w:tbl>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 Seedling growth model default parameters.</w:t>
      </w:r>
    </w:p>
    <w:tbl>
      <w:tblPr>
        <w:tblStyle w:val="TableNormal"/>
        <w:tblW w:type="pct" w:w="0.0"/>
      </w:tblPr>
      <w:tblGrid/>
      <w:tr>
        <w:tc>
          <w:tcPr>
            <w:tcBorders>
              <w:bottom w:val="single"/>
            </w:tcBorders>
            <w:vAlign w:val="bottom"/>
          </w:tcPr>
          <w:p>
            <w:pPr>
              <w:pStyle w:val="Compact"/>
              <w:jc w:val="left"/>
            </w:pPr>
            <w:r>
              <w:rPr>
                <w:b/>
              </w:rPr>
              <w:t xml:space="preserve">Variable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Default.Value</w:t>
            </w:r>
          </w:p>
        </w:tc>
        <w:tc>
          <w:tcPr>
            <w:tcBorders>
              <w:bottom w:val="single"/>
            </w:tcBorders>
            <w:vAlign w:val="bottom"/>
          </w:tcPr>
          <w:p>
            <w:pPr>
              <w:pStyle w:val="Compact"/>
              <w:jc w:val="left"/>
            </w:pPr>
            <w:r>
              <w:rPr>
                <w:b/>
              </w:rPr>
              <w:t xml:space="preserve">Units</w:t>
            </w:r>
          </w:p>
        </w:tc>
        <w:tc>
          <w:tcPr>
            <w:tcBorders>
              <w:bottom w:val="single"/>
            </w:tcBorders>
            <w:vAlign w:val="bottom"/>
          </w:tcPr>
          <w:p>
            <w:pPr>
              <w:pStyle w:val="Compact"/>
              <w:jc w:val="left"/>
            </w:pPr>
            <w:r>
              <w:rPr>
                <w:b/>
              </w:rPr>
              <w:t xml:space="preserve">Source</w:t>
            </w:r>
          </w:p>
        </w:tc>
      </w:tr>
      <w:tr>
        <w:tc>
          <w:p>
            <w:pPr>
              <w:pStyle w:val="Compact"/>
              <w:jc w:val="left"/>
            </w:pPr>
            <w:r>
              <w:t xml:space="preserve">Leaf area</w:t>
            </w:r>
            <w:r>
              <w:rPr>
                <w:vertAlign w:val="subscript"/>
              </w:rPr>
              <w:t xml:space="preserve">i</w:t>
            </w:r>
          </w:p>
        </w:tc>
        <w:tc>
          <w:p>
            <w:pPr>
              <w:pStyle w:val="Compact"/>
              <w:jc w:val="left"/>
            </w:pPr>
            <w:r>
              <w:t xml:space="preserve">initial leaf area</w:t>
            </w:r>
          </w:p>
        </w:tc>
        <w:tc>
          <w:p>
            <w:pPr>
              <w:pStyle w:val="Compact"/>
              <w:jc w:val="left"/>
            </w:pPr>
            <w:r>
              <w:t xml:space="preserve">0.035</w:t>
            </w:r>
          </w:p>
        </w:tc>
        <w:tc>
          <w:p>
            <w:pPr>
              <w:pStyle w:val="Compact"/>
              <w:jc w:val="left"/>
            </w:pPr>
            <w:r>
              <w:t xml:space="preserve">m</w:t>
            </w:r>
            <w:r>
              <w:rPr>
                <w:vertAlign w:val="superscript"/>
              </w:rPr>
              <w:t xml:space="preserve">2</w:t>
            </w:r>
          </w:p>
        </w:tc>
        <w:tc>
          <w:p>
            <w:pPr>
              <w:pStyle w:val="Compact"/>
              <w:jc w:val="left"/>
            </w:pPr>
            <w:r>
              <w:t xml:space="preserve">this study</w:t>
            </w:r>
          </w:p>
        </w:tc>
      </w:tr>
      <w:tr>
        <w:tc>
          <w:p>
            <w:pPr>
              <w:pStyle w:val="Compact"/>
              <w:jc w:val="left"/>
            </w:pPr>
            <w:r>
              <w:t xml:space="preserve">Leaf mass</w:t>
            </w:r>
            <w:r>
              <w:rPr>
                <w:vertAlign w:val="subscript"/>
              </w:rPr>
              <w:t xml:space="preserve">i</w:t>
            </w:r>
          </w:p>
        </w:tc>
        <w:tc>
          <w:p>
            <w:pPr>
              <w:pStyle w:val="Compact"/>
              <w:jc w:val="left"/>
            </w:pPr>
            <w:r>
              <w:t xml:space="preserve">initial leaf mass</w:t>
            </w:r>
          </w:p>
        </w:tc>
        <w:tc>
          <w:p>
            <w:pPr>
              <w:pStyle w:val="Compact"/>
              <w:jc w:val="left"/>
            </w:pPr>
            <w:r>
              <w:t xml:space="preserve">3.45</w:t>
            </w:r>
          </w:p>
        </w:tc>
        <w:tc>
          <w:p>
            <w:pPr>
              <w:pStyle w:val="Compact"/>
              <w:jc w:val="left"/>
            </w:pPr>
            <w:r>
              <w:t xml:space="preserve">g</w:t>
            </w:r>
          </w:p>
        </w:tc>
        <w:tc>
          <w:p>
            <w:pPr>
              <w:pStyle w:val="Compact"/>
              <w:jc w:val="left"/>
            </w:pPr>
            <w:r>
              <w:t xml:space="preserve">this study</w:t>
            </w:r>
          </w:p>
        </w:tc>
      </w:tr>
      <w:tr>
        <w:tc>
          <w:p>
            <w:pPr>
              <w:pStyle w:val="Compact"/>
              <w:jc w:val="left"/>
            </w:pPr>
            <w:r>
              <w:t xml:space="preserve">Stem mass</w:t>
            </w:r>
            <w:r>
              <w:rPr>
                <w:vertAlign w:val="subscript"/>
              </w:rPr>
              <w:t xml:space="preserve">i</w:t>
            </w:r>
          </w:p>
        </w:tc>
        <w:tc>
          <w:p>
            <w:pPr>
              <w:pStyle w:val="Compact"/>
              <w:jc w:val="left"/>
            </w:pPr>
            <w:r>
              <w:t xml:space="preserve">initial stem mass</w:t>
            </w:r>
          </w:p>
        </w:tc>
        <w:tc>
          <w:p>
            <w:pPr>
              <w:pStyle w:val="Compact"/>
              <w:jc w:val="left"/>
            </w:pPr>
            <w:r>
              <w:t xml:space="preserve">1.51</w:t>
            </w:r>
          </w:p>
        </w:tc>
        <w:tc>
          <w:p>
            <w:pPr>
              <w:pStyle w:val="Compact"/>
              <w:jc w:val="left"/>
            </w:pPr>
            <w:r>
              <w:t xml:space="preserve">g</w:t>
            </w:r>
          </w:p>
        </w:tc>
        <w:tc>
          <w:p>
            <w:pPr>
              <w:pStyle w:val="Compact"/>
              <w:jc w:val="left"/>
            </w:pPr>
            <w:r>
              <w:t xml:space="preserve">this study</w:t>
            </w:r>
          </w:p>
        </w:tc>
      </w:tr>
      <w:tr>
        <w:tc>
          <w:p>
            <w:pPr>
              <w:pStyle w:val="Compact"/>
              <w:jc w:val="left"/>
            </w:pPr>
            <w:r>
              <w:t xml:space="preserve">Root mass</w:t>
            </w:r>
            <w:r>
              <w:rPr>
                <w:vertAlign w:val="subscript"/>
              </w:rPr>
              <w:t xml:space="preserve">i</w:t>
            </w:r>
          </w:p>
        </w:tc>
        <w:tc>
          <w:p>
            <w:pPr>
              <w:pStyle w:val="Compact"/>
              <w:jc w:val="left"/>
            </w:pPr>
            <w:r>
              <w:t xml:space="preserve">initial root mass</w:t>
            </w:r>
          </w:p>
        </w:tc>
        <w:tc>
          <w:p>
            <w:pPr>
              <w:pStyle w:val="Compact"/>
              <w:jc w:val="left"/>
            </w:pPr>
            <w:r>
              <w:t xml:space="preserve">0.99</w:t>
            </w:r>
          </w:p>
        </w:tc>
        <w:tc>
          <w:p>
            <w:pPr>
              <w:pStyle w:val="Compact"/>
              <w:jc w:val="left"/>
            </w:pPr>
            <w:r>
              <w:t xml:space="preserve">g</w:t>
            </w:r>
          </w:p>
        </w:tc>
        <w:tc>
          <w:p>
            <w:pPr>
              <w:pStyle w:val="Compact"/>
              <w:jc w:val="left"/>
            </w:pPr>
            <w:r>
              <w:t xml:space="preserve">this study</w:t>
            </w:r>
          </w:p>
        </w:tc>
      </w:tr>
      <w:tr>
        <w:tc>
          <w:p>
            <w:pPr>
              <w:pStyle w:val="Compact"/>
              <w:jc w:val="left"/>
            </w:pPr>
            <m:oMath>
              <m:r>
                <m:rPr>
                  <m:sty m:val="p"/>
                </m:rPr>
                <m:t>ϵ</m:t>
              </m:r>
            </m:oMath>
            <w:r>
              <w:rPr>
                <w:vertAlign w:val="subscript"/>
              </w:rPr>
              <w:t xml:space="preserve">c</w:t>
            </w:r>
          </w:p>
        </w:tc>
        <w:tc>
          <w:p>
            <w:pPr>
              <w:pStyle w:val="Compact"/>
              <w:jc w:val="left"/>
            </w:pPr>
            <w:r>
              <w:t xml:space="preserve">biomass conversion efficiency</w:t>
            </w:r>
          </w:p>
        </w:tc>
        <w:tc>
          <w:p>
            <w:pPr>
              <w:pStyle w:val="Compact"/>
              <w:jc w:val="left"/>
            </w:pPr>
            <w:r>
              <w:t xml:space="preserve">0.65</w:t>
            </w:r>
          </w:p>
        </w:tc>
        <w:tc>
          <w:p>
            <w:pPr>
              <w:pStyle w:val="Compact"/>
              <w:jc w:val="left"/>
            </w:pPr>
            <w:r>
              <w:t xml:space="preserve">g C g mass</w:t>
            </w:r>
            <w:r>
              <w:rPr>
                <w:vertAlign w:val="superscript"/>
              </w:rPr>
              <w:t xml:space="preserve">-1</w:t>
            </w:r>
          </w:p>
        </w:tc>
        <w:tc>
          <w:p>
            <w:pPr>
              <w:pStyle w:val="Compact"/>
              <w:jc w:val="left"/>
            </w:pPr>
            <w:r>
              <w:t xml:space="preserve">Mäkelä (1997)</w:t>
            </w:r>
          </w:p>
        </w:tc>
      </w:tr>
      <w:tr>
        <w:tc>
          <w:p>
            <w:pPr>
              <w:pStyle w:val="Compact"/>
              <w:jc w:val="left"/>
            </w:pPr>
            <w:r>
              <w:t xml:space="preserve">R</w:t>
            </w:r>
            <w:r>
              <w:rPr>
                <w:vertAlign w:val="subscript"/>
              </w:rPr>
              <w:t xml:space="preserve">coarse</w:t>
            </w:r>
            <w:r>
              <w:t xml:space="preserve"> </w:t>
            </w:r>
            <w:r>
              <w:rPr>
                <w:vertAlign w:val="subscript"/>
              </w:rPr>
              <w:t xml:space="preserve">root</w:t>
            </w:r>
          </w:p>
        </w:tc>
        <w:tc>
          <w:p>
            <w:pPr>
              <w:pStyle w:val="Compact"/>
              <w:jc w:val="left"/>
            </w:pPr>
            <w:r>
              <w:t xml:space="preserve">coarse root respiration</w:t>
            </w:r>
          </w:p>
        </w:tc>
        <w:tc>
          <w:p>
            <w:pPr>
              <w:pStyle w:val="Compact"/>
              <w:jc w:val="left"/>
            </w:pPr>
            <w:r>
              <w:t xml:space="preserve">0.00124</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Marden et al. (2008)</w:t>
            </w:r>
          </w:p>
        </w:tc>
      </w:tr>
      <w:tr>
        <w:tc>
          <w:p>
            <w:pPr>
              <w:pStyle w:val="Compact"/>
              <w:jc w:val="left"/>
            </w:pPr>
            <w:r>
              <w:t xml:space="preserve">R</w:t>
            </w:r>
            <w:r>
              <w:rPr>
                <w:vertAlign w:val="subscript"/>
              </w:rPr>
              <w:t xml:space="preserve">fine</w:t>
            </w:r>
            <w:r>
              <w:t xml:space="preserve"> </w:t>
            </w:r>
            <w:r>
              <w:rPr>
                <w:vertAlign w:val="subscript"/>
              </w:rPr>
              <w:t xml:space="preserve">root</w:t>
            </w:r>
          </w:p>
        </w:tc>
        <w:tc>
          <w:p>
            <w:pPr>
              <w:pStyle w:val="Compact"/>
              <w:jc w:val="left"/>
            </w:pPr>
            <w:r>
              <w:t xml:space="preserve">fine root respiration</w:t>
            </w:r>
          </w:p>
        </w:tc>
        <w:tc>
          <w:p>
            <w:pPr>
              <w:pStyle w:val="Compact"/>
              <w:jc w:val="left"/>
            </w:pPr>
            <w:r>
              <w:t xml:space="preserve">0.01037</w:t>
            </w:r>
          </w:p>
        </w:tc>
        <w:tc>
          <w:p>
            <w:pPr>
              <w:pStyle w:val="Compact"/>
              <w:jc w:val="left"/>
            </w:pPr>
            <w:r>
              <w:t xml:space="preserve">g C g root</w:t>
            </w:r>
            <w:r>
              <w:rPr>
                <w:vertAlign w:val="superscript"/>
              </w:rPr>
              <w:t xml:space="preserve">-1</w:t>
            </w:r>
            <w:r>
              <w:t xml:space="preserve"> </w:t>
            </w:r>
            <w:r>
              <w:t xml:space="preserve">d</w:t>
            </w:r>
            <w:r>
              <w:rPr>
                <w:vertAlign w:val="superscript"/>
              </w:rPr>
              <w:t xml:space="preserve">-1</w:t>
            </w:r>
          </w:p>
        </w:tc>
        <w:tc>
          <w:p>
            <w:pPr>
              <w:pStyle w:val="Compact"/>
              <w:jc w:val="left"/>
            </w:pPr>
            <w:r>
              <w:t xml:space="preserve">Ryan et al. (2010)</w:t>
            </w:r>
          </w:p>
        </w:tc>
      </w:tr>
      <w:tr>
        <w:tc>
          <w:p>
            <w:pPr>
              <w:pStyle w:val="Compact"/>
              <w:jc w:val="left"/>
            </w:pPr>
            <w:r>
              <w:t xml:space="preserve">R</w:t>
            </w:r>
            <w:r>
              <w:rPr>
                <w:vertAlign w:val="subscript"/>
              </w:rPr>
              <w:t xml:space="preserve">stem</w:t>
            </w:r>
          </w:p>
        </w:tc>
        <w:tc>
          <w:p>
            <w:pPr>
              <w:pStyle w:val="Compact"/>
              <w:jc w:val="left"/>
            </w:pPr>
            <w:r>
              <w:t xml:space="preserve">stem respiration</w:t>
            </w:r>
          </w:p>
        </w:tc>
        <w:tc>
          <w:p>
            <w:pPr>
              <w:pStyle w:val="Compact"/>
              <w:jc w:val="left"/>
            </w:pPr>
            <w:r>
              <w:t xml:space="preserve">0.00187</w:t>
            </w:r>
          </w:p>
        </w:tc>
        <w:tc>
          <w:p>
            <w:pPr>
              <w:pStyle w:val="Compact"/>
              <w:jc w:val="left"/>
            </w:pPr>
            <w:r>
              <w:t xml:space="preserve">g C g stem</w:t>
            </w:r>
            <w:r>
              <w:rPr>
                <w:vertAlign w:val="superscript"/>
              </w:rPr>
              <w:t xml:space="preserve">-1</w:t>
            </w:r>
            <w:r>
              <w:t xml:space="preserve"> </w:t>
            </w:r>
            <w:r>
              <w:t xml:space="preserve">d</w:t>
            </w:r>
            <w:r>
              <w:rPr>
                <w:vertAlign w:val="superscript"/>
              </w:rPr>
              <w:t xml:space="preserve">-1</w:t>
            </w:r>
          </w:p>
        </w:tc>
        <w:tc>
          <w:p>
            <w:pPr>
              <w:pStyle w:val="Compact"/>
              <w:jc w:val="left"/>
            </w:pPr>
            <w:r>
              <w:t xml:space="preserve">Drake et al. (unpublished)</w:t>
            </w:r>
          </w:p>
        </w:tc>
      </w:tr>
      <w:tr>
        <w:tc>
          <w:p>
            <w:pPr>
              <w:pStyle w:val="Compact"/>
              <w:jc w:val="left"/>
            </w:pPr>
            <w:r>
              <w:t xml:space="preserve">C</w:t>
            </w:r>
            <w:r>
              <w:rPr>
                <w:vertAlign w:val="subscript"/>
              </w:rPr>
              <w:t xml:space="preserve">day</w:t>
            </w:r>
          </w:p>
        </w:tc>
        <w:tc>
          <w:p>
            <w:pPr>
              <w:pStyle w:val="Compact"/>
              <w:jc w:val="left"/>
            </w:pPr>
            <w:r>
              <w:t xml:space="preserve">daily leaf carbon assimilation</w:t>
            </w:r>
          </w:p>
        </w:tc>
        <w:tc>
          <w:p>
            <w:pPr>
              <w:pStyle w:val="Compact"/>
              <w:jc w:val="left"/>
            </w:pPr>
            <w:r>
              <w:t xml:space="preserve">5.4 - 7.6</w:t>
            </w:r>
          </w:p>
        </w:tc>
        <w:tc>
          <w:p>
            <w:pPr>
              <w:pStyle w:val="Compact"/>
              <w:jc w:val="left"/>
            </w:pPr>
            <w:r>
              <w:t xml:space="preserve">g C m</w:t>
            </w:r>
            <w:r>
              <w:rPr>
                <w:vertAlign w:val="superscript"/>
              </w:rPr>
              <w:t xml:space="preserve">-2</w:t>
            </w:r>
            <w:r>
              <w:t xml:space="preserve"> </w:t>
            </w:r>
            <w:r>
              <w:t xml:space="preserve">d</w:t>
            </w:r>
            <w:r>
              <w:rPr>
                <w:vertAlign w:val="superscript"/>
              </w:rPr>
              <w:t xml:space="preserve">-1</w:t>
            </w:r>
          </w:p>
        </w:tc>
        <w:tc>
          <w:p>
            <w:pPr>
              <w:pStyle w:val="Compact"/>
              <w:jc w:val="left"/>
            </w:pPr>
            <w:r>
              <w:t xml:space="preserve">this study</w:t>
            </w:r>
          </w:p>
        </w:tc>
      </w:tr>
      <w:tr>
        <w:tc>
          <w:p>
            <w:pPr>
              <w:pStyle w:val="Compact"/>
              <w:jc w:val="left"/>
            </w:pPr>
            <m:oMath>
              <m:r>
                <m:rPr>
                  <m:sty m:val="p"/>
                </m:rPr>
                <m:t>Λ</m:t>
              </m:r>
            </m:oMath>
          </w:p>
        </w:tc>
        <w:tc>
          <w:p>
            <w:pPr>
              <w:pStyle w:val="Compact"/>
              <w:jc w:val="left"/>
            </w:pPr>
            <w:r>
              <w:t xml:space="preserve">leaf or root turnover</w:t>
            </w:r>
          </w:p>
        </w:tc>
        <w:tc>
          <w:p>
            <w:pPr>
              <w:pStyle w:val="Compact"/>
              <w:jc w:val="left"/>
            </w:pPr>
            <w:r>
              <w:t xml:space="preserve">1</w:t>
            </w:r>
          </w:p>
        </w:tc>
        <w:tc>
          <w:p>
            <w:pPr>
              <w:pStyle w:val="Compact"/>
              <w:jc w:val="left"/>
            </w:pPr>
            <w:r>
              <w:t xml:space="preserve">yr</w:t>
            </w:r>
            <w:r>
              <w:rPr>
                <w:vertAlign w:val="superscript"/>
              </w:rPr>
              <w:t xml:space="preserve">-1</w:t>
            </w:r>
          </w:p>
        </w:tc>
        <w:tc>
          <w:p>
            <w:pPr>
              <w:pStyle w:val="Compact"/>
              <w:jc w:val="left"/>
            </w:pPr>
            <w:r>
              <w:t xml:space="preserve">theoretical</w:t>
            </w:r>
          </w:p>
        </w:tc>
      </w:tr>
    </w:tbl>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(2012a)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(2012b)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Tjoelker M, Oleksyn J, Reich PB, Others (1999) Acclimation of respiration to temperature and CO2 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60949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Below-ground sink limitation alters growth and carbon balance of Eucalyptus seedlings</dc:title>
  <dc:creator/>
</cp:coreProperties>
</file>