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rPr>
        <w:t xml:space="preserve">n</w:t>
      </w:r>
      <w:r>
        <w:t xml:space="preserve">,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excess photosynthetic</w:t>
      </w:r>
      <w:r>
        <w:t xml:space="preserve"> </w:t>
      </w:r>
      <w:r>
        <w:rPr>
          <w:i/>
        </w:rPr>
        <w:t xml:space="preserve">C</w:t>
      </w:r>
      <w:r>
        <w:t xml:space="preserve"> </w:t>
      </w:r>
      <w:r>
        <w:t xml:space="preserve">not attributed to biomass 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infer proportional responses in growth.</w:t>
      </w:r>
    </w:p>
    <w:p>
      <w:pPr>
        <w:pStyle w:val="BodyText"/>
      </w:pPr>
      <w:r>
        <w:br w:type="textWrapping"/>
      </w:r>
      <w:r>
        <w:t xml:space="preserve">Alternatively, manipulating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br w:type="textWrapping"/>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where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 (</w:t>
      </w:r>
      <w:r>
        <w:rPr>
          <w:i/>
        </w:rPr>
        <w:t xml:space="preserve">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infer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22900" cy="7054791"/>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pPr>
        <w:pStyle w:val="BodyText"/>
      </w:pP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22900" cy="4067175"/>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references"/>
      <w:bookmarkEnd w:id="53"/>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4">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5">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6">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99b7d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