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46.png" ContentType="image/png"/>
  <Override PartName="/word/media/rId47.png" ContentType="image/png"/>
  <Override PartName="/word/media/rId45.png" ContentType="image/png"/>
  <Override PartName="/word/media/rId49.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rPr>
          <w:i/>
        </w:rPr>
        <w:t xml:space="preserve">Eucalyptus</w:t>
      </w:r>
      <w:r>
        <w:t xml:space="preserve"> </w:t>
      </w:r>
      <w:r>
        <w:t xml:space="preserve">seedlings</w:t>
      </w:r>
    </w:p>
    <w:p>
      <w:pPr>
        <w:pStyle w:val="FirstParagraph"/>
      </w:pPr>
      <w:r>
        <w:br w:type="textWrapping"/>
      </w:r>
      <w:r>
        <w:t xml:space="preserve">COURTNEY E. CAMPANY</w:t>
      </w:r>
      <w:r>
        <w:rPr>
          <w:vertAlign w:val="superscript"/>
        </w:rPr>
        <w:t xml:space="preserve">1,2</w:t>
      </w:r>
      <w:r>
        <w:t xml:space="preserve">, BELINDA MEDLYN</w:t>
      </w:r>
      <w:r>
        <w:rPr>
          <w:vertAlign w:val="superscript"/>
        </w:rPr>
        <w:t xml:space="preserve">1</w:t>
      </w:r>
      <w:r>
        <w:t xml:space="preserve"> </w:t>
      </w:r>
      <w:r>
        <w:t xml:space="preserve">and REMKO A. DUURSMA</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r>
        <w:br w:type="textWrapping"/>
      </w:r>
      <w:r>
        <w:rPr>
          <w:vertAlign w:val="superscript"/>
        </w:rPr>
        <w:t xml:space="preserve">2</w:t>
      </w:r>
      <w:r>
        <w:t xml:space="preserve"> </w:t>
      </w:r>
      <w:r>
        <w:t xml:space="preserve">Corresponding author (</w:t>
      </w:r>
      <w:hyperlink r:id="rId21">
        <w:r>
          <w:rPr>
            <w:rStyle w:val="Hyperlink"/>
          </w:rPr>
          <w:t xml:space="preserve">courtneycampany@gmail.com</w:t>
        </w:r>
      </w:hyperlink>
      <w:r>
        <w:t xml:space="preserve">)</w:t>
      </w:r>
    </w:p>
    <w:p>
      <w:pPr>
        <w:pStyle w:val="BodyText"/>
      </w:pPr>
      <w:r>
        <w:br w:type="textWrapping"/>
      </w:r>
      <w:r>
        <w:t xml:space="preserve">Hawkesbury Institute for the Environment, Western Sydney University Hawkesbury Campus Ground Floor, Building R2 Locked Bag 1797 Penrith 2751 NSW Australia</w:t>
      </w:r>
    </w:p>
    <w:p>
      <w:pPr>
        <w:pStyle w:val="BodyText"/>
      </w:pPr>
      <w:r>
        <w:br w:type="textWrapping"/>
      </w:r>
      <w:r>
        <w:t xml:space="preserve">RUNNING HEAD: SINK LIMITATION ALTERS SEEDLING CARBON BALANCE</w:t>
      </w:r>
    </w:p>
    <w:p>
      <w:pPr>
        <w:pStyle w:val="Heading1"/>
      </w:pPr>
      <w:bookmarkStart w:id="22" w:name="abstract"/>
      <w:bookmarkEnd w:id="22"/>
      <w:r>
        <w:t xml:space="preserve">Abstract</w:t>
      </w:r>
    </w:p>
    <w:p>
      <w:pPr>
        <w:pStyle w:val="FirstParagraph"/>
      </w:pPr>
      <w:r>
        <w:t xml:space="preserve">Interpreting limitations to plant growth requires understanding the balance between carbon (</w:t>
      </w:r>
      <w:r>
        <w:rPr>
          <w:i/>
        </w:rPr>
        <w:t xml:space="preserve">C</w:t>
      </w:r>
      <w:r>
        <w:t xml:space="preserve">) source and sink activity. This study used manipulations of soil volume to test how growth is coupled to physiology,</w:t>
      </w:r>
      <w:r>
        <w:t xml:space="preserve"> </w:t>
      </w:r>
      <w:r>
        <w:rPr>
          <w:i/>
        </w:rPr>
        <w:t xml:space="preserve">C</w:t>
      </w:r>
      <w:r>
        <w:t xml:space="preserve"> </w:t>
      </w:r>
      <w:r>
        <w:t xml:space="preserve">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planted freely-rooted (free) seedlings. We developed a seedling growth model that utilized leaf photosynthesis rates (</w:t>
      </w:r>
      <w:r>
        <w:rPr>
          <w:i/>
        </w:rPr>
        <w:t xml:space="preserve">A</w:t>
      </w:r>
      <w:r>
        <w:rPr>
          <w:vertAlign w:val="subscript"/>
        </w:rPr>
        <w:t xml:space="preserve">n</w:t>
      </w:r>
      <w:r>
        <w:t xml:space="preserve">) to allocate daily</w:t>
      </w:r>
      <w:r>
        <w:t xml:space="preserve"> </w:t>
      </w:r>
      <w:r>
        <w:rPr>
          <w:i/>
        </w:rPr>
        <w:t xml:space="preserve">C</w:t>
      </w:r>
      <w:r>
        <w:t xml:space="preserve"> </w:t>
      </w:r>
      <w:r>
        <w:t xml:space="preserve">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reduced leaf nitrogen content and starch accumulation. We then asked whether the observed reductions in</w:t>
      </w:r>
      <w:r>
        <w:t xml:space="preserve"> </w:t>
      </w:r>
      <w:r>
        <w:rPr>
          <w:i/>
        </w:rPr>
        <w:t xml:space="preserve">A</w:t>
      </w:r>
      <w:r>
        <w:rPr>
          <w:vertAlign w:val="subscript"/>
        </w:rPr>
        <w:t xml:space="preserve">n</w:t>
      </w:r>
      <w:r>
        <w:t xml:space="preserve"> </w:t>
      </w:r>
      <w:r>
        <w:t xml:space="preserve">explained the observed differences in seedling biomass. Although belowground sink limitation resulted in a reduction of</w:t>
      </w:r>
      <w:r>
        <w:t xml:space="preserve"> </w:t>
      </w:r>
      <w:r>
        <w:rPr>
          <w:i/>
        </w:rPr>
        <w:t xml:space="preserve">A</w:t>
      </w:r>
      <w:r>
        <w:rPr>
          <w:vertAlign w:val="subscript"/>
        </w:rPr>
        <w:t xml:space="preserve">n</w:t>
      </w:r>
      <w:r>
        <w:t xml:space="preserve">, the model concluded that these reductions were not large enough to explain observed growth responses. Thus, as</w:t>
      </w:r>
      <w:r>
        <w:t xml:space="preserve"> </w:t>
      </w:r>
      <w:r>
        <w:rPr>
          <w:i/>
        </w:rPr>
        <w:t xml:space="preserve">A</w:t>
      </w:r>
      <w:r>
        <w:rPr>
          <w:vertAlign w:val="subscript"/>
        </w:rPr>
        <w:t xml:space="preserve">n</w:t>
      </w:r>
      <w:r>
        <w:t xml:space="preserve"> </w:t>
      </w:r>
      <w:r>
        <w:t xml:space="preserve">and growth were not tightly coordinated, an unaccounted for pool of photosynthetic</w:t>
      </w:r>
      <w:r>
        <w:t xml:space="preserve"> </w:t>
      </w:r>
      <w:r>
        <w:rPr>
          <w:i/>
        </w:rPr>
        <w:t xml:space="preserve">C</w:t>
      </w:r>
      <w:r>
        <w:t xml:space="preserve"> </w:t>
      </w:r>
      <w:r>
        <w:t xml:space="preserve">resulted in seedlings with soil volume restriction. These results highlight the need to further utilize mass balance approaches when evaluating plant C allocation and confirm that important feedbacks exist between belowground sink strength and leaf</w:t>
      </w:r>
      <w:r>
        <w:t xml:space="preserve"> </w:t>
      </w:r>
      <w:r>
        <w:rPr>
          <w:i/>
        </w:rPr>
        <w:t xml:space="preserve">C</w:t>
      </w:r>
      <w:r>
        <w:t xml:space="preserve"> </w:t>
      </w:r>
      <w:r>
        <w:t xml:space="preserve">uptake.</w:t>
      </w:r>
    </w:p>
    <w:p>
      <w:pPr>
        <w:pStyle w:val="Heading2"/>
      </w:pPr>
      <w:bookmarkStart w:id="23" w:name="keywords"/>
      <w:bookmarkEnd w:id="23"/>
      <w:r>
        <w:t xml:space="preserve">Keywords</w:t>
      </w:r>
    </w:p>
    <w:p>
      <w:pPr>
        <w:pStyle w:val="FirstParagraph"/>
      </w:pPr>
      <w:r>
        <w:t xml:space="preserve">photosynthesis,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w:t>
      </w:r>
      <w:r>
        <w:t xml:space="preserve"> </w:t>
      </w:r>
      <w:r>
        <w:rPr>
          <w:i/>
        </w:rPr>
        <w:t xml:space="preserve">C</w:t>
      </w:r>
      <w:r>
        <w:t xml:space="preserve"> </w:t>
      </w:r>
      <w:r>
        <w:t xml:space="preserve">assimilation requires knowledge of the mass balance that must be achieved between</w:t>
      </w:r>
      <w:r>
        <w:t xml:space="preserve"> </w:t>
      </w:r>
      <w:r>
        <w:rPr>
          <w:i/>
        </w:rPr>
        <w:t xml:space="preserve">C</w:t>
      </w:r>
      <w:r>
        <w:t xml:space="preserve"> </w:t>
      </w:r>
      <w:r>
        <w:t xml:space="preserve">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rPr>
        <w:t xml:space="preserve">n</w:t>
      </w:r>
      <w:r>
        <w:t xml:space="preserve">) and respiratory losses together determine net</w:t>
      </w:r>
      <w:r>
        <w:t xml:space="preserve"> </w:t>
      </w:r>
      <w:r>
        <w:rPr>
          <w:i/>
        </w:rPr>
        <w:t xml:space="preserve">C</w:t>
      </w:r>
      <w:r>
        <w:t xml:space="preserve"> </w:t>
      </w:r>
      <w:r>
        <w:t xml:space="preserve">balance and will correlate to plant growth. At shorter temporal scales, however, growth can instead be mediated by tissue</w:t>
      </w:r>
      <w:r>
        <w:t xml:space="preserve"> </w:t>
      </w:r>
      <w:r>
        <w:rPr>
          <w:i/>
        </w:rPr>
        <w:t xml:space="preserve">C</w:t>
      </w:r>
      <w:r>
        <w:t xml:space="preserve"> </w:t>
      </w:r>
      <w:r>
        <w:t xml:space="preserve">storage pools. This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rPr>
        <w:t xml:space="preserve">n</w:t>
      </w:r>
      <w:r>
        <w:t xml:space="preserve">, making it complex to understand and challenging to model</w:t>
      </w:r>
      <w:r>
        <w:t xml:space="preserve"> </w:t>
      </w:r>
      <w:r>
        <w:t xml:space="preserve">(Fourcaud et al. 2008)</w:t>
      </w:r>
      <w:r>
        <w:t xml:space="preserve">. Despite a wealth of studies, large uncertainties still remain regarding the coordination of</w:t>
      </w:r>
      <w:r>
        <w:t xml:space="preserve"> </w:t>
      </w:r>
      <w:r>
        <w:rPr>
          <w:i/>
        </w:rPr>
        <w:t xml:space="preserve">C</w:t>
      </w:r>
      <w:r>
        <w:t xml:space="preserve"> </w:t>
      </w:r>
      <w:r>
        <w:t xml:space="preserve">supply and growth of woody species.</w:t>
      </w:r>
    </w:p>
    <w:p>
      <w:pPr>
        <w:pStyle w:val="BodyText"/>
      </w:pPr>
      <w:r>
        <w:br w:type="textWrapping"/>
      </w:r>
      <w:r>
        <w:t xml:space="preserve"> </w:t>
      </w:r>
      <w:r>
        <w:t xml:space="preserve"> </w:t>
      </w:r>
      <w:r>
        <w:t xml:space="preserve"> </w:t>
      </w:r>
      <w:r>
        <w:t xml:space="preserve"> </w:t>
      </w:r>
      <w:r>
        <w:t xml:space="preserve">In woody species, the coordination of</w:t>
      </w:r>
      <w:r>
        <w:t xml:space="preserve"> </w:t>
      </w:r>
      <w:r>
        <w:rPr>
          <w:i/>
        </w:rPr>
        <w:t xml:space="preserve">A</w:t>
      </w:r>
      <w:r>
        <w:rPr>
          <w:vertAlign w:val="subscript"/>
        </w:rPr>
        <w:t xml:space="preserve">n</w:t>
      </w:r>
      <w:r>
        <w:t xml:space="preserve"> </w:t>
      </w:r>
      <w:r>
        <w:t xml:space="preserve">and growth has been studied with manipulations of</w:t>
      </w:r>
      <w:r>
        <w:t xml:space="preserve"> </w:t>
      </w:r>
      <w:r>
        <w:rPr>
          <w:i/>
        </w:rPr>
        <w:t xml:space="preserve">C</w:t>
      </w:r>
      <w:r>
        <w:t xml:space="preserve"> </w:t>
      </w:r>
      <w:r>
        <w:t xml:space="preserve">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yet are attributed to various mechanisms, including reduction in end-product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w:t>
      </w:r>
      <w:r>
        <w:t xml:space="preserve">. However,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w:t>
      </w:r>
      <w:r>
        <w:t xml:space="preserve"> </w:t>
      </w:r>
      <w:r>
        <w:rPr>
          <w:i/>
        </w:rPr>
        <w:t xml:space="preserve">C</w:t>
      </w:r>
      <w:r>
        <w:t xml:space="preserve"> </w:t>
      </w:r>
      <w:r>
        <w:t xml:space="preserve">limitation to mycorrhizal colonization</w:t>
      </w:r>
      <w:r>
        <w:t xml:space="preserve"> </w:t>
      </w:r>
      <w:r>
        <w:t xml:space="preserve">(Markkola et al. 2004)</w:t>
      </w:r>
      <w:r>
        <w:t xml:space="preserve">, or an overall decrease in whole plant</w:t>
      </w:r>
      <w:r>
        <w:t xml:space="preserve"> </w:t>
      </w:r>
      <w:r>
        <w:rPr>
          <w:i/>
        </w:rPr>
        <w:t xml:space="preserve">C</w:t>
      </w:r>
      <w:r>
        <w:t xml:space="preserve"> </w:t>
      </w:r>
      <w:r>
        <w:t xml:space="preserve">gain</w:t>
      </w:r>
      <w:r>
        <w:t xml:space="preserve"> </w:t>
      </w:r>
      <w:r>
        <w:t xml:space="preserve">(Ovaska, Walls, et al. 1993)</w:t>
      </w:r>
      <w:r>
        <w:t xml:space="preserve">. These manipulations of C source activity expose unresolved issues with how changes in</w:t>
      </w:r>
      <w:r>
        <w:t xml:space="preserve"> </w:t>
      </w:r>
      <w:r>
        <w:rPr>
          <w:i/>
        </w:rPr>
        <w:t xml:space="preserve">A</w:t>
      </w:r>
      <w:r>
        <w:rPr>
          <w:vertAlign w:val="subscript"/>
        </w:rPr>
        <w:t xml:space="preserve">n</w:t>
      </w:r>
      <w:r>
        <w:t xml:space="preserve"> </w:t>
      </w:r>
      <w:r>
        <w:t xml:space="preserve">do not always correspond with proportional responses in growth.</w:t>
      </w:r>
    </w:p>
    <w:p>
      <w:pPr>
        <w:pStyle w:val="BodyText"/>
      </w:pPr>
      <w:r>
        <w:br w:type="textWrapping"/>
      </w:r>
      <w:r>
        <w:t xml:space="preserve"> </w:t>
      </w:r>
      <w:r>
        <w:t xml:space="preserve"> </w:t>
      </w:r>
      <w:r>
        <w:t xml:space="preserve"> </w:t>
      </w:r>
      <w:r>
        <w:t xml:space="preserve"> </w:t>
      </w:r>
      <w:r>
        <w:t xml:space="preserve">Alternatively, manipulating plant tissue</w:t>
      </w:r>
      <w:r>
        <w:t xml:space="preserve"> </w:t>
      </w:r>
      <w:r>
        <w:rPr>
          <w:i/>
        </w:rPr>
        <w:t xml:space="preserve">C</w:t>
      </w:r>
      <w:r>
        <w:t xml:space="preserve"> </w:t>
      </w:r>
      <w:r>
        <w:t xml:space="preserve">sinks is often used to investigate the correlation between</w:t>
      </w:r>
      <w:r>
        <w:t xml:space="preserve"> </w:t>
      </w:r>
      <w:r>
        <w:rPr>
          <w:i/>
        </w:rPr>
        <w:t xml:space="preserve">A</w:t>
      </w:r>
      <w:r>
        <w:rPr>
          <w:vertAlign w:val="subscript"/>
        </w:rPr>
        <w:t xml:space="preserve">n</w:t>
      </w:r>
      <w:r>
        <w:t xml:space="preserve"> </w:t>
      </w:r>
      <w:r>
        <w:t xml:space="preserve">and growth. This is because metabolic signaling networks, relaying information on</w:t>
      </w:r>
      <w:r>
        <w:t xml:space="preserve"> </w:t>
      </w:r>
      <w:r>
        <w:rPr>
          <w:i/>
        </w:rPr>
        <w:t xml:space="preserve">C</w:t>
      </w:r>
      <w:r>
        <w:t xml:space="preserve"> </w:t>
      </w:r>
      <w:r>
        <w:t xml:space="preserve">and</w:t>
      </w:r>
      <w:r>
        <w:t xml:space="preserve"> </w:t>
      </w:r>
      <w:r>
        <w:rPr>
          <w:i/>
        </w:rPr>
        <w:t xml:space="preserve">N</w:t>
      </w:r>
      <w:r>
        <w:t xml:space="preserve"> </w:t>
      </w:r>
      <w:r>
        <w:t xml:space="preserve">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Whether photosynthetic down regulation is evident in woody species has been tested through fruit removal and phloem girdling. In these studies, down regulation of</w:t>
      </w:r>
      <w:r>
        <w:t xml:space="preserve"> </w:t>
      </w:r>
      <w:r>
        <w:rPr>
          <w:i/>
        </w:rPr>
        <w:t xml:space="preserve">A</w:t>
      </w:r>
      <w:r>
        <w:rPr>
          <w:vertAlign w:val="subscript"/>
        </w:rPr>
        <w:t xml:space="preserve">n</w:t>
      </w:r>
      <w:r>
        <w:t xml:space="preserve"> </w:t>
      </w:r>
      <w:r>
        <w:t xml:space="preserve">was frequently correlated to carbohydrate accumulation resulting from reduced tissue sink strength</w:t>
      </w:r>
      <w:r>
        <w:t xml:space="preserve"> </w:t>
      </w:r>
      <w:r>
        <w:t xml:space="preserve">(Iglesias et al. 2002, Urban and Alphonsout 2007, Haouari et al.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 </w:t>
      </w:r>
      <w:r>
        <w:t xml:space="preserve"> </w:t>
      </w:r>
      <w:r>
        <w:t xml:space="preserve"> </w:t>
      </w:r>
      <w:r>
        <w:t xml:space="preserve"> </w:t>
      </w:r>
      <w:r>
        <w:t xml:space="preserve">An alternative experimental approach is to reduce belowground</w:t>
      </w:r>
      <w:r>
        <w:t xml:space="preserve"> </w:t>
      </w:r>
      <w:r>
        <w:rPr>
          <w:i/>
        </w:rPr>
        <w:t xml:space="preserve">C</w:t>
      </w:r>
      <w:r>
        <w:t xml:space="preserve"> </w:t>
      </w:r>
      <w:r>
        <w:t xml:space="preserve">sink strength in tree seedlings by manipulating rooting volume, by varying the container size</w:t>
      </w:r>
      <w:r>
        <w:t xml:space="preserve"> </w:t>
      </w:r>
      <w:r>
        <w:t xml:space="preserve">(Arp 1991, NeSmith and Duval 1998, Poorter, Bühler, et al. 2012)</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rPr>
          <w:vertAlign w:val="subscript"/>
        </w:rPr>
        <w:t xml:space="preserve">n</w:t>
      </w:r>
      <w:r>
        <w:t xml:space="preserve">, water relations, nutrient uptake and respiration</w:t>
      </w:r>
      <w:r>
        <w:t xml:space="preserve"> </w:t>
      </w:r>
      <w:r>
        <w:t xml:space="preserve">(NeSmith and Duval 1998, Poorter, Bühler, et al. 2012 and references therein)</w:t>
      </w:r>
      <w:r>
        <w:t xml:space="preserve">. Inadequate rooting volume may decrease</w:t>
      </w:r>
      <w:r>
        <w:t xml:space="preserve"> </w:t>
      </w:r>
      <w:r>
        <w:rPr>
          <w:i/>
        </w:rPr>
        <w:t xml:space="preserve">C</w:t>
      </w:r>
      <w:r>
        <w:t xml:space="preserve"> </w:t>
      </w:r>
      <w:r>
        <w:t xml:space="preserve">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w:t>
      </w:r>
      <w:r>
        <w:t xml:space="preserve"> </w:t>
      </w:r>
      <w:r>
        <w:rPr>
          <w:i/>
        </w:rPr>
        <w:t xml:space="preserve">C</w:t>
      </w:r>
      <w:r>
        <w:t xml:space="preserve"> </w:t>
      </w:r>
      <w:r>
        <w:t xml:space="preserve">exchange and assimilate export rates</w:t>
      </w:r>
      <w:r>
        <w:t xml:space="preserve"> </w:t>
      </w:r>
      <w:r>
        <w:t xml:space="preserve">(Robbins and Pharr 1988)</w:t>
      </w:r>
      <w:r>
        <w:t xml:space="preserve">. However, evidence in support for a trade-off between</w:t>
      </w:r>
      <w:r>
        <w:t xml:space="preserve"> </w:t>
      </w:r>
      <w:r>
        <w:rPr>
          <w:i/>
        </w:rPr>
        <w:t xml:space="preserve">C</w:t>
      </w:r>
      <w:r>
        <w:t xml:space="preserve"> </w:t>
      </w:r>
      <w:r>
        <w:t xml:space="preserve">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 </w:t>
      </w:r>
      <w:r>
        <w:t xml:space="preserve"> </w:t>
      </w:r>
      <w:r>
        <w:t xml:space="preserve"> </w:t>
      </w:r>
      <w:r>
        <w:t xml:space="preserve"> </w:t>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w:t>
      </w:r>
      <w:r>
        <w:t xml:space="preserve"> </w:t>
      </w:r>
      <w:r>
        <w:rPr>
          <w:i/>
        </w:rPr>
        <w:t xml:space="preserve">C</w:t>
      </w:r>
      <w:r>
        <w:t xml:space="preserve"> </w:t>
      </w:r>
      <w:r>
        <w:t xml:space="preserve">mass balance approach, which was then compared to observed harvested seedling mass. The model used whole-plant</w:t>
      </w:r>
      <w:r>
        <w:t xml:space="preserve"> </w:t>
      </w:r>
      <w:r>
        <w:rPr>
          <w:i/>
        </w:rPr>
        <w:t xml:space="preserve">C</w:t>
      </w:r>
      <w:r>
        <w:t xml:space="preserve"> </w:t>
      </w:r>
      <w:r>
        <w:t xml:space="preserve">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 </w:t>
      </w:r>
      <w:r>
        <w:t xml:space="preserve"> </w:t>
      </w:r>
      <w:r>
        <w:t xml:space="preserve"> </w:t>
      </w:r>
      <w:r>
        <w:t xml:space="preserve"> </w:t>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pPr>
        <w:pStyle w:val="BodyText"/>
      </w:pPr>
      <w:r>
        <w:t xml:space="preserve">2). As the finite pool of rooting volume and soil nutrients will decline faster in trees growing in small containers, we expected reductions in partitioning to fine root mass relative to tree size with decreasing container size.</w:t>
      </w:r>
    </w:p>
    <w:p>
      <w:pPr>
        <w:pStyle w:val="BodyText"/>
      </w:pPr>
      <w:r>
        <w:t xml:space="preserve">3). Reduced sink strength was expected to lead to accumulation of leaf non-structural carbohydrates, and a resulting down regulation of</w:t>
      </w:r>
      <w:r>
        <w:t xml:space="preserve"> </w:t>
      </w:r>
      <w:r>
        <w:rPr>
          <w:i/>
        </w:rPr>
        <w:t xml:space="preserve">A</w:t>
      </w:r>
      <w:r>
        <w:rPr>
          <w:vertAlign w:val="subscript"/>
          <w:i/>
        </w:rPr>
        <w:t xml:space="preserve">n</w:t>
      </w:r>
      <w:r>
        <w:t xml:space="preserve">. We therefore expected a correlation between carbohydrate accumulation and photosynthetic capacity as a function of soil volume.</w:t>
      </w:r>
    </w:p>
    <w:p>
      <w:pPr>
        <w:pStyle w:val="BodyText"/>
      </w:pPr>
      <w:r>
        <w:t xml:space="preserve">4). Last, observed seedling mass was expected to correspond to growth model mass predicted from a simple</w:t>
      </w:r>
      <w:r>
        <w:t xml:space="preserve"> </w:t>
      </w:r>
      <w:r>
        <w:rPr>
          <w:i/>
        </w:rPr>
        <w:t xml:space="preserve">C</w:t>
      </w:r>
      <w:r>
        <w:t xml:space="preserve"> </w:t>
      </w:r>
      <w:r>
        <w:t xml:space="preserve">balance model taking into account measured rates of photosynthesis.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t xml:space="preserve"> </w:t>
      </w:r>
      <w:r>
        <w:t xml:space="preserve"> </w:t>
      </w:r>
      <w:r>
        <w:t xml:space="preserve"> </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 </w:t>
      </w:r>
      <w:r>
        <w:t xml:space="preserve"> </w:t>
      </w:r>
      <w:r>
        <w:t xml:space="preserve"> </w:t>
      </w:r>
      <w:r>
        <w:t xml:space="preserve"> </w:t>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 which was further kept out by periodic weeding.</w:t>
      </w:r>
    </w:p>
    <w:p>
      <w:pPr>
        <w:pStyle w:val="BodyText"/>
      </w:pPr>
      <w:r>
        <w:br w:type="textWrapping"/>
      </w:r>
      <w:r>
        <w:t xml:space="preserve"> </w:t>
      </w:r>
      <w:r>
        <w:t xml:space="preserve"> </w:t>
      </w:r>
      <w:r>
        <w:t xml:space="preserve"> </w:t>
      </w:r>
      <w:r>
        <w:t xml:space="preserve"> </w:t>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 was inspected after every watering and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 </w:t>
      </w:r>
      <w:r>
        <w:t xml:space="preserve"> </w:t>
      </w:r>
      <w:r>
        <w:t xml:space="preserve"> </w:t>
      </w:r>
      <w:r>
        <w:t xml:space="preserve"> </w:t>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(above).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BodyText"/>
      </w:pPr>
      <w:r>
        <w:br w:type="textWrapping"/>
      </w:r>
      <w:r>
        <w:t xml:space="preserve"> </w:t>
      </w:r>
      <w:r>
        <w:t xml:space="preserve"> </w:t>
      </w:r>
      <w:r>
        <w:t xml:space="preserve"> </w:t>
      </w:r>
      <w:r>
        <w:t xml:space="preserve"> </w:t>
      </w:r>
      <w:r>
        <w:t xml:space="preserve">Leaf dark respiration rates (</w:t>
      </w:r>
      <w:r>
        <w:rPr>
          <w:i/>
        </w:rPr>
        <w:t xml:space="preserve">R</w:t>
      </w:r>
      <w:r>
        <w:t xml:space="preserve">)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 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w:t>
      </w:r>
      <w:r>
        <w:t xml:space="preserve"> </w:t>
      </w:r>
      <w:r>
        <w:rPr>
          <w:i/>
        </w:rPr>
        <w:t xml:space="preserve">N</w:t>
      </w:r>
      <w:r>
        <w:t xml:space="preserve"> </w:t>
      </w:r>
      <w:r>
        <w:t xml:space="preserve">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w:t>
      </w:r>
      <w:r>
        <w:t xml:space="preserve"> </w:t>
      </w:r>
      <w:r>
        <w:rPr>
          <w:i/>
        </w:rPr>
        <w:t xml:space="preserve">N</w:t>
      </w:r>
      <w:r>
        <w:t xml:space="preserve">.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w:t>
      </w:r>
      <w:r>
        <w:t xml:space="preserve"> </w:t>
      </w:r>
      <w:r>
        <w:rPr>
          <w:i/>
        </w:rPr>
        <w:t xml:space="preserve">N</w:t>
      </w:r>
      <w:r>
        <w:t xml:space="preserve"> </w:t>
      </w:r>
      <w:r>
        <w:t xml:space="preserve">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 </w:t>
      </w:r>
      <w:r>
        <w:t xml:space="preserve"> </w:t>
      </w:r>
      <w:r>
        <w:t xml:space="preserve"> </w:t>
      </w:r>
      <w:r>
        <w:t xml:space="preserve"> </w:t>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w:t>
      </w:r>
      <w:r>
        <w:t xml:space="preserve"> </w:t>
      </w:r>
      <w:r>
        <w:rPr>
          <w:i/>
        </w:rPr>
        <w:t xml:space="preserve">N</w:t>
      </w:r>
      <w:r>
        <w:t xml:space="preserve"> </w:t>
      </w:r>
      <w:r>
        <w:t xml:space="preserve">content. Similarly, TNC-free leaf</w:t>
      </w:r>
      <w:r>
        <w:t xml:space="preserve"> </w:t>
      </w:r>
      <w:r>
        <w:rPr>
          <w:i/>
        </w:rPr>
        <w:t xml:space="preserve">N</w:t>
      </w:r>
      <w:r>
        <w:t xml:space="preserve"> </w:t>
      </w:r>
      <w:r>
        <w:t xml:space="preserve">(</w:t>
      </w:r>
      <w:r>
        <w:rPr>
          <w:i/>
        </w:rPr>
        <w:t xml:space="preserve">N</w:t>
      </w:r>
      <w:r>
        <w:rPr>
          <w:vertAlign w:val="subscript"/>
        </w:rPr>
        <w:t xml:space="preserve">f</w:t>
      </w:r>
      <w:r>
        <w:t xml:space="preserve">, %) was calculated on all gas exchange leaves from leaf mass without TNC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w:t>
      </w:r>
      <w:r>
        <w:rPr>
          <w:i/>
        </w:rPr>
        <w:t xml:space="preserve">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r>
            <m:rPr/>
            <m:t>L</m:t>
          </m:r>
          <m:d>
            <m:dPr>
              <m:begChr m:val="("/>
              <m:endChr m:val=")"/>
              <m:grow/>
            </m:dPr>
            <m:e>
              <m:f>
                <m:fPr>
                  <m:type m:val="bar"/>
                </m:fPr>
                <m:num>
                  <m:sSub>
                    <m:e>
                      <m:r>
                        <m:rPr/>
                        <m:t>C</m:t>
                      </m:r>
                    </m:e>
                    <m:sub>
                      <m:r>
                        <m:rPr>
                          <m:sty m:val="p"/>
                        </m:rPr>
                        <m:t>d</m:t>
                      </m:r>
                      <m:r>
                        <m:rPr>
                          <m:sty m:val="p"/>
                        </m:rPr>
                        <m:t>a</m:t>
                      </m:r>
                      <m:r>
                        <m:rPr>
                          <m:sty m:val="p"/>
                        </m:rPr>
                        <m:t>y</m:t>
                      </m:r>
                      <m:r>
                        <m:rPr>
                          <m:sty m:val="p"/>
                        </m:rPr>
                        <m:t>′</m:t>
                      </m:r>
                      <m:r>
                        <m:rPr>
                          <m:sty m:val="p"/>
                        </m:rPr>
                        <m:t>i</m:t>
                      </m:r>
                    </m:sub>
                  </m:sSub>
                  <m:r>
                    <m:rPr/>
                    <m:t> </m:t>
                  </m:r>
                  <m:sSub>
                    <m:e>
                      <m:r>
                        <m:rPr/>
                        <m:t>σ</m:t>
                      </m:r>
                    </m:e>
                    <m:sub>
                      <m:r>
                        <m:rPr>
                          <m:sty m:val="p"/>
                        </m:rPr>
                        <m:t>s</m:t>
                      </m:r>
                    </m:sub>
                  </m:sSub>
                </m:num>
                <m:den>
                  <m:sSub>
                    <m:e>
                      <m:r>
                        <m:rPr/>
                        <m:t>ϵ</m:t>
                      </m:r>
                    </m:e>
                    <m:sub>
                      <m:r>
                        <m:rPr>
                          <m:sty m:val="p"/>
                        </m:rPr>
                        <m:t>c</m:t>
                      </m:r>
                    </m:sub>
                  </m:sSub>
                </m:den>
              </m:f>
            </m:e>
          </m:d>
          <m:r>
            <m:rPr/>
            <m:t>−</m:t>
          </m:r>
          <m:r>
            <m:rPr/>
            <m:t>R</m:t>
          </m:r>
        </m:oMath>
      </m:oMathPara>
    </w:p>
    <w:p>
      <w:pPr>
        <w:pStyle w:val="BodyText"/>
      </w:pPr>
      <w:r>
        <w:t xml:space="preserve">where</w:t>
      </w:r>
      <w:r>
        <w:t xml:space="preserve"> </w:t>
      </w:r>
      <w:r>
        <w:rPr>
          <w:i/>
        </w:rPr>
        <w:t xml:space="preserve">L</w:t>
      </w:r>
      <w:r>
        <w:t xml:space="preserve"> </w:t>
      </w:r>
      <w:r>
        <w:t xml:space="preserve">is total plant leaf area (m</w:t>
      </w:r>
      <w:r>
        <w:rPr>
          <w:vertAlign w:val="superscript"/>
        </w:rPr>
        <w:t xml:space="preserve">2</w:t>
      </w:r>
      <w:r>
        <w:t xml:space="preserve">),</w:t>
      </w:r>
      <w:r>
        <w:t xml:space="preserve"> </w:t>
      </w:r>
      <w:r>
        <w:rPr>
          <w:i/>
        </w:rPr>
        <w:t xml:space="preserve">C</w:t>
      </w:r>
      <w:r>
        <w:rPr>
          <w:vertAlign w:val="subscript"/>
        </w:rPr>
        <w:t xml:space="preserve">day,i</w:t>
      </w:r>
      <w:r>
        <w:t xml:space="preserve"> </w:t>
      </w:r>
      <w:r>
        <w:t xml:space="preserve">is the predicted daily carbon assimilation (g C g mass</w:t>
      </w:r>
      <w:r>
        <w:rPr>
          <w:vertAlign w:val="superscript"/>
        </w:rPr>
        <w:t xml:space="preserve">-1</w:t>
      </w:r>
      <w:r>
        <w:t xml:space="preserve"> </w:t>
      </w:r>
      <w:r>
        <w:t xml:space="preserve">d</w:t>
      </w:r>
      <w:r>
        <w:rPr>
          <w:vertAlign w:val="superscript"/>
        </w:rPr>
        <w:t xml:space="preserve">-1</w:t>
      </w:r>
      <w:r>
        <w:t xml:space="preserve">,, explained below),</w:t>
      </w:r>
      <w:r>
        <w:t xml:space="preserve"> </w:t>
      </w:r>
      <m:oMath>
        <m:r>
          <m:rPr/>
          <m:t>σ</m:t>
        </m:r>
      </m:oMath>
      <w:r>
        <w:rPr>
          <w:vertAlign w:val="subscript"/>
        </w:rPr>
        <w:t xml:space="preserve">s</w:t>
      </w:r>
      <w:r>
        <w:t xml:space="preserve"> </w:t>
      </w:r>
      <w:r>
        <w:t xml:space="preserve">is a self-shading parameter (explained below),</w:t>
      </w:r>
      <w:r>
        <w:t xml:space="preserve"> </w:t>
      </w:r>
      <m:oMath>
        <m:r>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t xml:space="preserve"> </w:t>
      </w:r>
      <w:r>
        <w:t xml:space="preserve">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Σ</m:t>
          </m:r>
          <m:r>
            <m:rPr/>
            <m:t>(</m:t>
          </m:r>
          <m:sSub>
            <m:e>
              <m:r>
                <m:rPr/>
                <m:t>R</m:t>
              </m:r>
            </m:e>
            <m:sub>
              <m:r>
                <m:rPr>
                  <m:sty m:val="p"/>
                </m:rPr>
                <m:t>c</m:t>
              </m:r>
            </m:sub>
          </m:sSub>
          <m:r>
            <m:rPr/>
            <m:t> </m:t>
          </m:r>
          <m:sSub>
            <m:e>
              <m:r>
                <m:rPr/>
                <m:t>M</m:t>
              </m:r>
            </m:e>
            <m:sub>
              <m:r>
                <m:rPr>
                  <m:sty m:val="p"/>
                </m:rPr>
                <m:t>c</m:t>
              </m:r>
            </m:sub>
          </m:sSub>
          <m:r>
            <m:rPr/>
            <m:t>)</m:t>
          </m:r>
        </m:oMath>
      </m:oMathPara>
    </w:p>
    <w:p>
      <w:pPr>
        <w:pStyle w:val="BodyText"/>
      </w:pPr>
      <w:r>
        <w:t xml:space="preserve">where</w:t>
      </w:r>
      <w:r>
        <w:t xml:space="preserve"> </w:t>
      </w:r>
      <w:r>
        <w:rPr>
          <w:i/>
        </w:rPr>
        <w:t xml:space="preserve">R</w:t>
      </w:r>
      <w:r>
        <w:rPr>
          <w:vertAlign w:val="subscript"/>
        </w:rPr>
        <w:t xml:space="preserve">c</w:t>
      </w:r>
      <w:r>
        <w:t xml:space="preserve"> </w:t>
      </w:r>
      <w:r>
        <w:t xml:space="preserve">is published or local tissue respiration rates of fine roots, coarse roots or stems (Table S1, g C g mass</w:t>
      </w:r>
      <w:r>
        <w:rPr>
          <w:vertAlign w:val="superscript"/>
        </w:rPr>
        <w:t xml:space="preserve">-1</w:t>
      </w:r>
      <w:r>
        <w:t xml:space="preserve"> </w:t>
      </w:r>
      <w:r>
        <w:t xml:space="preserve">d</w:t>
      </w:r>
      <w:r>
        <w:rPr>
          <w:vertAlign w:val="superscript"/>
        </w:rPr>
        <w:t xml:space="preserve">-1</w:t>
      </w:r>
      <w:r>
        <w:t xml:space="preserve">) and</w:t>
      </w:r>
      <w:r>
        <w:t xml:space="preserve"> </w:t>
      </w:r>
      <w:r>
        <w:rPr>
          <w:i/>
        </w:rPr>
        <w:t xml:space="preserve">M</w:t>
      </w:r>
      <w:r>
        <w:rPr>
          <w:vertAlign w:val="subscript"/>
        </w:rPr>
        <w:t xml:space="preserve">c</w:t>
      </w:r>
      <w:r>
        <w:t xml:space="preserve"> </w:t>
      </w:r>
      <w:r>
        <w:t xml:space="preserve">is the standing biomass of each component (g). Leaf respiration is represented in the calculation of</w:t>
      </w:r>
      <w:r>
        <w:t xml:space="preserve"> </w:t>
      </w:r>
      <w:r>
        <w:rPr>
          <w:i/>
        </w:rPr>
        <w:t xml:space="preserve">C</w:t>
      </w:r>
      <w:r>
        <w:rPr>
          <w:vertAlign w:val="subscript"/>
        </w:rPr>
        <w:t xml:space="preserve">day</w:t>
      </w:r>
      <w:r>
        <w:t xml:space="preserve"> </w:t>
      </w:r>
      <w:r>
        <w:t xml:space="preserve">(described below). The change in individual component biomass (</w:t>
      </w:r>
      <w:r>
        <w:rPr>
          <w:i/>
        </w:rPr>
        <w:t xml:space="preserve">M</w:t>
      </w:r>
      <w:r>
        <w:rPr>
          <w:vertAlign w:val="subscript"/>
        </w:rPr>
        <w:t xml:space="preserve">c</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sty m:val="p"/>
                    </m:rPr>
                    <m:t>c</m:t>
                  </m:r>
                </m:sub>
              </m:sSub>
            </m:num>
            <m:den>
              <m:r>
                <m:rPr/>
                <m:t>d</m:t>
              </m:r>
              <m:r>
                <m:rPr/>
                <m:t>t</m:t>
              </m:r>
            </m:den>
          </m:f>
          <m:r>
            <m:rPr/>
            <m:t>=</m:t>
          </m:r>
          <m:sSub>
            <m:e>
              <m:r>
                <m:rPr/>
                <m:t>A</m:t>
              </m:r>
            </m:e>
            <m:sub>
              <m:r>
                <m:rPr>
                  <m:sty m:val="p"/>
                </m:rPr>
                <m:t>c</m:t>
              </m:r>
            </m:sub>
          </m:sSub>
          <m:r>
            <m:rPr/>
            <m:t> </m:t>
          </m:r>
          <m:sSub>
            <m:e>
              <m:r>
                <m:rPr/>
                <m:t>P</m:t>
              </m:r>
            </m:e>
            <m:sub>
              <m:r>
                <m:rPr>
                  <m:sty m:val="p"/>
                </m:rPr>
                <m:t>i</m:t>
              </m:r>
            </m:sub>
          </m:sSub>
          <m:r>
            <m:rPr/>
            <m:t> </m:t>
          </m:r>
          <m:r>
            <m:rPr/>
            <m:t>−</m:t>
          </m:r>
          <m:r>
            <m:rPr/>
            <m:t> </m:t>
          </m:r>
          <m:r>
            <m:rPr/>
            <m:t>(</m:t>
          </m:r>
          <m:sSub>
            <m:e>
              <m:r>
                <m:rPr/>
                <m:t>Λ</m:t>
              </m:r>
            </m:e>
            <m:sub>
              <m:r>
                <m:rPr>
                  <m:sty m:val="p"/>
                </m:rPr>
                <m:t>c</m:t>
              </m:r>
            </m:sub>
          </m:sSub>
          <m:r>
            <m:rPr/>
            <m:t> </m:t>
          </m:r>
          <m:sSub>
            <m:e>
              <m:r>
                <m:rPr/>
                <m:t>M</m:t>
              </m:r>
            </m:e>
            <m:sub>
              <m:r>
                <m:rPr>
                  <m:sty m:val="p"/>
                </m:rPr>
                <m:t>c</m:t>
              </m:r>
            </m:sub>
          </m:sSub>
          <m:r>
            <m:rPr/>
            <m:t>)</m:t>
          </m:r>
        </m:oMath>
      </m:oMathPara>
    </w:p>
    <w:p>
      <w:pPr>
        <w:pStyle w:val="BodyText"/>
      </w:pPr>
      <w:r>
        <w:t xml:space="preserve">where</w:t>
      </w:r>
      <w:r>
        <w:t xml:space="preserve"> </w:t>
      </w:r>
      <w:r>
        <w:rPr>
          <w:i/>
        </w:rPr>
        <w:t xml:space="preserve">A</w:t>
      </w:r>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pPr>
        <w:pStyle w:val="BodyText"/>
      </w:pPr>
      <w:r>
        <w:br w:type="textWrapping"/>
      </w:r>
      <w:r>
        <w:t xml:space="preserve"> </w:t>
      </w:r>
      <w:r>
        <w:t xml:space="preserve"> </w:t>
      </w:r>
      <w:r>
        <w:t xml:space="preserve"> </w:t>
      </w:r>
      <w:r>
        <w:t xml:space="preserve"> </w:t>
      </w:r>
      <w:r>
        <w:rPr>
          <w:i/>
        </w:rP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 R and</w:t>
      </w:r>
      <w:r>
        <w:t xml:space="preserve"> </w:t>
      </w:r>
      <w:r>
        <w:rPr>
          <w:i/>
        </w:rPr>
        <w:t xml:space="preserve">g</w:t>
      </w:r>
      <w:r>
        <w:rPr>
          <w:vertAlign w:val="subscript"/>
        </w:rPr>
        <w:t xml:space="preserve">1</w:t>
      </w:r>
      <w:r>
        <w:t xml:space="preserve">) for each treatment and meteorological data from an onsite weather station.</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C</w:t>
      </w:r>
      <w:r>
        <w:rPr>
          <w:vertAlign w:val="subscript"/>
        </w:rPr>
        <w:t xml:space="preserve">day</w:t>
      </w:r>
      <w:r>
        <w:t xml:space="preserve"> </w:t>
      </w:r>
      <w:r>
        <w:t xml:space="preserve">for each soil volume treatment, one value for each day of the experiment. Thus, each daily time step for model runs included a value of</w:t>
      </w:r>
      <w:r>
        <w:t xml:space="preserve"> </w:t>
      </w:r>
      <w:r>
        <w:rPr>
          <w:i/>
        </w:rPr>
        <w:t xml:space="preserve">C</w:t>
      </w:r>
      <w:r>
        <w:rPr>
          <w:vertAlign w:val="subscript"/>
        </w:rPr>
        <w:t xml:space="preserve">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 </w:t>
      </w:r>
      <w:r>
        <w:t xml:space="preserve"> </w:t>
      </w:r>
      <w:r>
        <w:t xml:space="preserve"> </w:t>
      </w:r>
      <w:r>
        <w:t xml:space="preserve"> </w:t>
      </w:r>
      <w:r>
        <w:t xml:space="preserve">It was further necessary to calculate a self-shading parameter (</w:t>
      </w:r>
      <m:oMath>
        <m:r>
          <m:rPr/>
          <m:t>σ</m:t>
        </m:r>
      </m:oMath>
      <w:r>
        <w:rPr>
          <w:vertAlign w:val="subscript"/>
        </w:rPr>
        <w:t xml:space="preserve">s</w:t>
      </w:r>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 2014)</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t>σ</m:t>
        </m:r>
      </m:oMath>
      <w:r>
        <w:rPr>
          <w:vertAlign w:val="subscript"/>
        </w:rPr>
        <w:t xml:space="preserve">s</w:t>
      </w:r>
      <w:r>
        <w:t xml:space="preserve"> </w:t>
      </w:r>
      <w:r>
        <w:t xml:space="preserve">and total leaf area was determined across digitized seedlings, within each treatment. For the growth model,</w:t>
      </w:r>
      <w:r>
        <w:t xml:space="preserve"> </w:t>
      </w:r>
      <m:oMath>
        <m:r>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S1.</w:t>
      </w:r>
    </w:p>
    <w:p>
      <w:pPr>
        <w:pStyle w:val="BodyText"/>
      </w:pPr>
      <w:r>
        <w:br w:type="textWrapping"/>
      </w:r>
      <w:r>
        <w:t xml:space="preserve"> </w:t>
      </w:r>
      <w:r>
        <w:t xml:space="preserve"> </w:t>
      </w:r>
      <w:r>
        <w:t xml:space="preserve"> </w:t>
      </w:r>
      <w:r>
        <w:t xml:space="preserve"> </w:t>
      </w:r>
      <w:r>
        <w:t xml:space="preserve">We then utilized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were sufficient to accurately predict overall seedling biomass production after 120 days. Each model run utilized changes in</w:t>
      </w:r>
      <w:r>
        <w:t xml:space="preserve"> </w:t>
      </w:r>
      <w:r>
        <w:rPr>
          <w:i/>
        </w:rPr>
        <w:t xml:space="preserve">A</w:t>
      </w:r>
      <w:r>
        <w:rPr>
          <w:vertAlign w:val="subscript"/>
        </w:rPr>
        <w:t xml:space="preserve">n</w:t>
      </w:r>
      <w:r>
        <w:t xml:space="preserve"> </w:t>
      </w:r>
      <w:r>
        <w:t xml:space="preserve">and leaf mass fraction (LMF), with values of stem and root respiration rates, to generate total seedling mass and leaf area after 120 days. Cumulative net leaf</w:t>
      </w:r>
      <w:r>
        <w:t xml:space="preserve"> </w:t>
      </w:r>
      <w:r>
        <w:rPr>
          <w:i/>
        </w:rPr>
        <w:t xml:space="preserve">C</w:t>
      </w:r>
      <w:r>
        <w:t xml:space="preserve"> </w:t>
      </w:r>
      <w:r>
        <w:t xml:space="preserve">gain for each treatment was equal to the sum of each value of C</w:t>
      </w:r>
      <w:r>
        <w:rPr>
          <w:vertAlign w:val="subscript"/>
        </w:rPr>
        <w:t xml:space="preserve">day,i</w:t>
      </w:r>
      <w:r>
        <w:t xml:space="preserve"> </w:t>
      </w:r>
      <w:r>
        <w:t xml:space="preserve">over 120 days and final seedling</w:t>
      </w:r>
      <w:r>
        <w:t xml:space="preserve"> </w:t>
      </w:r>
      <w:r>
        <w:rPr>
          <w:i/>
        </w:rPr>
        <w:t xml:space="preserve">C</w:t>
      </w:r>
      <w:r>
        <w:t xml:space="preserve"> </w:t>
      </w:r>
      <w:r>
        <w:t xml:space="preserve">was assumed to equal half of the final dry mass for both modeled and observed seedlings.</w:t>
      </w:r>
    </w:p>
    <w:p>
      <w:pPr>
        <w:pStyle w:val="BodyText"/>
      </w:pPr>
      <w:r>
        <w:br w:type="textWrapping"/>
      </w:r>
      <w:r>
        <w:t xml:space="preserve"> </w:t>
      </w:r>
      <w:r>
        <w:t xml:space="preserve"> </w:t>
      </w:r>
      <w:r>
        <w:t xml:space="preserve"> </w:t>
      </w:r>
      <w:r>
        <w:t xml:space="preserve"> </w:t>
      </w:r>
      <w:r>
        <w:t xml:space="preserve">First, a default model was fitted with mean photosynthetic parameters from the free seedlings and then optimized to produce a LMF which correctly predicted both the leaf mass and total biomass of the harvested free seedling (</w:t>
      </w:r>
      <w:r>
        <w:rPr>
          <w:i/>
        </w:rPr>
        <w:t xml:space="preserve">M</w:t>
      </w:r>
      <w:r>
        <w:rPr>
          <w:vertAlign w:val="subscript"/>
        </w:rPr>
        <w:t xml:space="preserve">free</w:t>
      </w:r>
      <w:r>
        <w:t xml:space="preserve">). This optimized LMF was then used to constrain model runs with soil volume treatment specific</w:t>
      </w:r>
      <w:r>
        <w:t xml:space="preserve"> </w:t>
      </w:r>
      <w:r>
        <w:rPr>
          <w:i/>
        </w:rPr>
        <w:t xml:space="preserve">C</w:t>
      </w:r>
      <w:r>
        <w:rPr>
          <w:vertAlign w:val="subscript"/>
        </w:rPr>
        <w:t xml:space="preserve">day</w:t>
      </w:r>
      <w:r>
        <w:t xml:space="preserve">, while keeping tissue respiration and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Next, model sensitivity to different</w:t>
      </w:r>
      <w:r>
        <w:t xml:space="preserve"> </w:t>
      </w:r>
      <w:r>
        <w:rPr>
          <w:i/>
        </w:rPr>
        <w:t xml:space="preserve">C</w:t>
      </w:r>
      <w:r>
        <w:t xml:space="preserve"> </w:t>
      </w:r>
      <w:r>
        <w:t xml:space="preserve">allocation scenarios, including observed treatment specific LMF and up-regulation of non-leaf tissue respiration by 50 % of default values (</w:t>
      </w:r>
      <w:r>
        <w:rPr>
          <w:i/>
        </w:rPr>
        <w:t xml:space="preserve">M</w:t>
      </w:r>
      <w:r>
        <w:rPr>
          <w:vertAlign w:val="subscript"/>
        </w:rPr>
        <w:t xml:space="preserve">S1</w:t>
      </w:r>
      <w:r>
        <w:t xml:space="preserve"> </w:t>
      </w:r>
      <w:r>
        <w:t xml:space="preserve">and</w:t>
      </w:r>
      <w:r>
        <w:t xml:space="preserve"> </w:t>
      </w:r>
      <w:r>
        <w:rPr>
          <w:i/>
        </w:rPr>
        <w:t xml:space="preserve">M</w:t>
      </w:r>
      <w:r>
        <w:rPr>
          <w:vertAlign w:val="subscript"/>
        </w:rPr>
        <w:t xml:space="preserve">S2</w:t>
      </w:r>
      <w:r>
        <w:t xml:space="preserve">, respectively), was used to test for improvement of model biomass predictions compared to measured harvest biomass. For all cases, seedling biomass production was compared between model output and harvested seedlings with treatment specific mean</w:t>
      </w:r>
      <w:r>
        <w:t xml:space="preserve"> </w:t>
      </w:r>
      <w:r>
        <w:rPr>
          <w:i/>
        </w:rPr>
        <w:t xml:space="preserve">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 et al.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and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pPr>
        <w:pStyle w:val="FirstParagraph"/>
      </w:pPr>
      <w:r>
        <w:t xml:space="preserve">Plant height, diameter and leaf area diverged between container volumes soon after start of the experiment (Figure 1a-c). First, seedling leaf area significantly diverged between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marginal with smaller soil volumes in the final month. Final seedling height significantly increased with increasing soil volume (</w:t>
      </w:r>
      <w:r>
        <w:rPr>
          <w:i/>
        </w:rPr>
        <w:t xml:space="preserve">P</w:t>
      </w:r>
      <w:r>
        <w:t xml:space="preserve"> </w:t>
      </w:r>
      <w:r>
        <w:t xml:space="preserve">&lt; 0.001). Increases in both final stem diameter (</w:t>
      </w:r>
      <w:r>
        <w:rPr>
          <w:i/>
        </w:rPr>
        <w:t xml:space="preserve">P</w:t>
      </w:r>
      <w:r>
        <w:t xml:space="preserve"> </w:t>
      </w:r>
      <w:r>
        <w:t xml:space="preserve">&lt; 0.001)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 </w:t>
      </w:r>
      <w:r>
        <w:t xml:space="preserve"> </w:t>
      </w:r>
      <w:r>
        <w:t xml:space="preserve"> </w:t>
      </w:r>
      <w:r>
        <w:t xml:space="preserve"> </w:t>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Across all treatments, the final harvest root:shoot biomass ratio was conserved in these seedlings which exhibited a slightly higher shoot than root mass (</w:t>
      </w:r>
      <m:oMath>
        <m:bar>
          <m:barPr>
            <m:pos m:val="top"/>
          </m:barPr>
          <m:e>
            <m:r>
              <m:rPr/>
              <m:t>x</m:t>
            </m:r>
          </m:e>
        </m:bar>
      </m:oMath>
      <w:r>
        <w:t xml:space="preserve"> </w:t>
      </w:r>
      <w:r>
        <w:t xml:space="preserve">= 0.904, 95% CI = [0.846,1.119]) and the ratio of leaf to fine root mass was also not different (Figure 3c).</w:t>
      </w:r>
    </w:p>
    <w:p>
      <w:pPr>
        <w:pStyle w:val="BodyText"/>
      </w:pPr>
      <w:r>
        <w:br w:type="textWrapping"/>
      </w:r>
      <w:r>
        <w:t xml:space="preserve"> </w:t>
      </w:r>
      <w:r>
        <w:t xml:space="preserve"> </w:t>
      </w:r>
      <w:r>
        <w:t xml:space="preserve"> </w:t>
      </w:r>
      <w:r>
        <w:t xml:space="preserve"> </w:t>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containers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5" w:name="leaf-and-root-chemistry"/>
      <w:bookmarkEnd w:id="35"/>
      <w:r>
        <w:t xml:space="preserve">Leaf and root chemistry</w:t>
      </w:r>
    </w:p>
    <w:p>
      <w:pPr>
        <w:pStyle w:val="FirstParagraph"/>
      </w:pPr>
      <w:r>
        <w:t xml:space="preserve">Leaf</w:t>
      </w:r>
      <w:r>
        <w:t xml:space="preserve"> </w:t>
      </w:r>
      <w:r>
        <w:rPr>
          <w:i/>
        </w:rPr>
        <w:t xml:space="preserve">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a significant reduction in leaf</w:t>
      </w:r>
      <w:r>
        <w:t xml:space="preserve"> </w:t>
      </w:r>
      <w:r>
        <w:rPr>
          <w:i/>
        </w:rPr>
        <w:t xml:space="preserve">N</w:t>
      </w:r>
      <w:r>
        <w:rPr>
          <w:vertAlign w:val="subscript"/>
        </w:rPr>
        <w:t xml:space="preserve">f</w:t>
      </w:r>
      <w:r>
        <w:t xml:space="preserve"> </w:t>
      </w:r>
      <w:r>
        <w:t xml:space="preserve">compared to other soil volumes, while free seedlings maintained the highest leaf</w:t>
      </w:r>
      <w:r>
        <w:t xml:space="preserve"> </w:t>
      </w:r>
      <w:r>
        <w:rPr>
          <w:i/>
        </w:rPr>
        <w:t xml:space="preserve">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w:t>
      </w:r>
      <w:r>
        <w:t xml:space="preserve"> </w:t>
      </w:r>
      <w:r>
        <w:rPr>
          <w:i/>
        </w:rPr>
        <w:t xml:space="preserve">N</w:t>
      </w:r>
      <w:r>
        <w:t xml:space="preserve"> </w:t>
      </w:r>
      <w:r>
        <w:t xml:space="preserve">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relationships between photosynthetic capacity, leaf starch and leaf</w:t>
      </w:r>
      <w:r>
        <w:t xml:space="preserve"> </w:t>
      </w:r>
      <w:r>
        <w:rPr>
          <w:i/>
        </w:rPr>
        <w:t xml:space="preserve">N</w:t>
      </w:r>
      <w:r>
        <w:t xml:space="preserve"> </w:t>
      </w:r>
      <w:r>
        <w:t xml:space="preserve">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to both leaf</w:t>
      </w:r>
      <w:r>
        <w:t xml:space="preserve"> </w:t>
      </w:r>
      <w:r>
        <w:rPr>
          <w:i/>
        </w:rPr>
        <w:t xml:space="preserve">N</w:t>
      </w:r>
      <w:r>
        <w:t xml:space="preserve"> </w:t>
      </w:r>
      <w:r>
        <w:t xml:space="preserve">content and leaf starch (both</w:t>
      </w:r>
      <w:r>
        <w:t xml:space="preserve"> </w:t>
      </w:r>
      <w:r>
        <w:rPr>
          <w:i/>
        </w:rPr>
        <w:t xml:space="preserve">P</w:t>
      </w:r>
      <w:r>
        <w:t xml:space="preserve"> </w:t>
      </w:r>
      <w:r>
        <w:t xml:space="preserve">&lt; 0.001). We used predictions from the linear mixed effect model equation to visualize these relationship of</w:t>
      </w:r>
      <w:r>
        <w:t xml:space="preserve"> </w:t>
      </w:r>
      <w:r>
        <w:rPr>
          <w:i/>
        </w:rPr>
        <w:t xml:space="preserve">A</w:t>
      </w:r>
      <w:r>
        <w:rPr>
          <w:vertAlign w:val="subscript"/>
        </w:rPr>
        <w:t xml:space="preserve">max</w:t>
      </w:r>
      <w:r>
        <w:t xml:space="preserve"> </w:t>
      </w:r>
      <w:r>
        <w:t xml:space="preserve">to either leaf</w:t>
      </w:r>
      <w:r>
        <w:t xml:space="preserve"> </w:t>
      </w:r>
      <w:r>
        <w:rPr>
          <w:i/>
        </w:rPr>
        <w:t xml:space="preserve">N</w:t>
      </w:r>
      <w:r>
        <w:t xml:space="preserve"> </w:t>
      </w:r>
      <w:r>
        <w:t xml:space="preserve">content 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w:t>
      </w:r>
      <w:r>
        <w:t xml:space="preserve"> </w:t>
      </w:r>
      <w:r>
        <w:rPr>
          <w:i/>
        </w:rPr>
        <w:t xml:space="preserve">N</w:t>
      </w:r>
      <w:r>
        <w:t xml:space="preserve"> </w:t>
      </w:r>
      <w:r>
        <w:t xml:space="preserve">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w:t>
      </w:r>
      <w:r>
        <w:t xml:space="preserve"> </w:t>
      </w:r>
      <w:r>
        <w:rPr>
          <w:i/>
        </w:rPr>
        <w:t xml:space="preserve">N</w:t>
      </w:r>
      <w:r>
        <w:t xml:space="preserve"> </w:t>
      </w:r>
      <w:r>
        <w:t xml:space="preserve">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 </w:t>
      </w:r>
      <w:r>
        <w:t xml:space="preserve"> </w:t>
      </w:r>
      <w:r>
        <w:t xml:space="preserve"> </w:t>
      </w:r>
      <w:r>
        <w:t xml:space="preserve"> </w:t>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 </w:t>
      </w:r>
      <w:r>
        <w:t xml:space="preserve"> </w:t>
      </w:r>
      <w:r>
        <w:t xml:space="preserve"> </w:t>
      </w:r>
      <w:r>
        <w:t xml:space="preserve"> </w:t>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pPr>
        <w:pStyle w:val="FirstParagraph"/>
      </w:pPr>
      <w:r>
        <w:t xml:space="preserve">The default model (</w:t>
      </w:r>
      <w:r>
        <w:rPr>
          <w:i/>
        </w:rPr>
        <w:t xml:space="preserve">M</w:t>
      </w:r>
      <w:r>
        <w:rPr>
          <w:vertAlign w:val="subscript"/>
        </w:rPr>
        <w:t xml:space="preserve">free</w:t>
      </w:r>
      <w:r>
        <w:t xml:space="preserve">), successfully optimized a LMF (21.6 %) which then allowed the model to predict mean harvest total biomass of free seedlings within 1.2 %. Using this optimized LMF, the total biomass of modeled seedlings for each soil volume treatment (</w:t>
      </w:r>
      <w:r>
        <w:rPr>
          <w:i/>
        </w:rPr>
        <w:t xml:space="preserve">M</w:t>
      </w:r>
      <w:r>
        <w:rPr>
          <w:vertAlign w:val="subscript"/>
        </w:rPr>
        <w:t xml:space="preserve">pots</w:t>
      </w:r>
      <w:r>
        <w:t xml:space="preserve">) were on average 23±2.4 g C more than measured seedling biomass when compared against predicted total net leaf</w:t>
      </w:r>
      <w:r>
        <w:t xml:space="preserve"> </w:t>
      </w:r>
      <w:r>
        <w:rPr>
          <w:i/>
        </w:rPr>
        <w:t xml:space="preserve">C</w:t>
      </w:r>
      <w:r>
        <w:t xml:space="preserve"> </w:t>
      </w:r>
      <w:r>
        <w:t xml:space="preserve">gain (Figure 6a). As a result, seedling C mass was overestimated by an average of 50±8.7 %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BodyText"/>
      </w:pPr>
      <w:r>
        <w:br w:type="textWrapping"/>
      </w:r>
      <w:r>
        <w:t xml:space="preserve"> </w:t>
      </w:r>
      <w:r>
        <w:t xml:space="preserve"> </w:t>
      </w:r>
      <w:r>
        <w:t xml:space="preserve"> </w:t>
      </w:r>
      <w:r>
        <w:t xml:space="preserve"> </w:t>
      </w:r>
      <w:r>
        <w:t xml:space="preserve">Next, we performed a series of model simulations to test possible C allocation scenarios to account for the over predictions of seedling</w:t>
      </w:r>
      <w:r>
        <w:t xml:space="preserve"> </w:t>
      </w:r>
      <w:r>
        <w:rPr>
          <w:i/>
        </w:rPr>
        <w:t xml:space="preserve">C</w:t>
      </w:r>
      <w:r>
        <w:t xml:space="preserve"> </w:t>
      </w:r>
      <w:r>
        <w:t xml:space="preserve">mass. Testing the sensitivity of the model to observed treatment-specific LMF from the final harvest (</w:t>
      </w:r>
      <w:r>
        <w:rPr>
          <w:i/>
        </w:rPr>
        <w:t xml:space="preserve">M</w:t>
      </w:r>
      <w:r>
        <w:rPr>
          <w:vertAlign w:val="subscript"/>
        </w:rPr>
        <w:t xml:space="preserve">S1</w:t>
      </w:r>
      <w:r>
        <w:t xml:space="preserve">), which were each lower than the optimized LMF value (see Figure 3a), improved model predictions of seedling C mass but still overestimated seedling total</w:t>
      </w:r>
      <w:r>
        <w:t xml:space="preserve"> </w:t>
      </w:r>
      <w:r>
        <w:rPr>
          <w:i/>
        </w:rPr>
        <w:t xml:space="preserve">C</w:t>
      </w:r>
      <w:r>
        <w:t xml:space="preserve"> </w:t>
      </w:r>
      <w:r>
        <w:t xml:space="preserve">by 32±11.1 % (Figure S1a). Using harvest values of LMF, however, does not capture the observed increase in leaf turnover of seedlings in small containers (Figure 1c). Thus, the use of harvest LMF values for seedlings in containers in</w:t>
      </w:r>
      <w:r>
        <w:t xml:space="preserve"> </w:t>
      </w:r>
      <w:r>
        <w:rPr>
          <w:i/>
        </w:rPr>
        <w:t xml:space="preserve">M</w:t>
      </w:r>
      <w:r>
        <w:rPr>
          <w:vertAlign w:val="subscript"/>
        </w:rPr>
        <w:t xml:space="preserve">S1</w:t>
      </w:r>
      <w:r>
        <w:t xml:space="preserve"> </w:t>
      </w:r>
      <w:r>
        <w:t xml:space="preserve">likely underestimates daily C allocation to leaves over the final months of the experiment. Increases of 50 % in non-leaf tissue respiration (</w:t>
      </w:r>
      <w:r>
        <w:rPr>
          <w:i/>
        </w:rPr>
        <w:t xml:space="preserve">M</w:t>
      </w:r>
      <w:r>
        <w:rPr>
          <w:vertAlign w:val="subscript"/>
        </w:rPr>
        <w:t xml:space="preserve">S2</w:t>
      </w:r>
      <w:r>
        <w:t xml:space="preserve">) improved biomass estimates slightly but overestimated mass</w:t>
      </w:r>
      <w:r>
        <w:t xml:space="preserve"> </w:t>
      </w:r>
      <w:r>
        <w:rPr>
          <w:i/>
        </w:rPr>
        <w:t xml:space="preserve">C</w:t>
      </w:r>
      <w:r>
        <w:t xml:space="preserve"> </w:t>
      </w:r>
      <w:r>
        <w:t xml:space="preserve">by an average of 46±9.3 % in seedlings with soil volume restriction (Figure S1b). With</w:t>
      </w:r>
      <w:r>
        <w:t xml:space="preserve"> </w:t>
      </w:r>
      <w:r>
        <w:rPr>
          <w:i/>
        </w:rPr>
        <w:t xml:space="preserve">M</w:t>
      </w:r>
      <w:r>
        <w:rPr>
          <w:vertAlign w:val="subscript"/>
        </w:rPr>
        <w:t xml:space="preserve">S2</w:t>
      </w:r>
      <w:r>
        <w:t xml:space="preserve">, non-tissue respiration rates would need to be increased by ca. 250% in order for mass balance to be achieved.</w:t>
      </w:r>
    </w:p>
    <w:p>
      <w:pPr>
        <w:pStyle w:val="Heading1"/>
      </w:pPr>
      <w:bookmarkStart w:id="38" w:name="discussion"/>
      <w:bookmarkEnd w:id="38"/>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w:t>
      </w:r>
      <w:r>
        <w:t xml:space="preserve"> </w:t>
      </w:r>
      <w:r>
        <w:rPr>
          <w:i/>
        </w:rPr>
        <w:t xml:space="preserve">C</w:t>
      </w:r>
      <w:r>
        <w:t xml:space="preserve"> </w:t>
      </w:r>
      <w:r>
        <w:t xml:space="preserve">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39" w:name="reductions-in-growth-and-physiology-under-sink-limitation"/>
      <w:bookmarkEnd w:id="39"/>
      <w:r>
        <w:t xml:space="preserve">Reductions in growth and physiology under sink limitation</w:t>
      </w:r>
    </w:p>
    <w:p>
      <w:pPr>
        <w:pStyle w:val="FirstParagraph"/>
      </w:pPr>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Bühler, et al.</w:t>
      </w:r>
      <w:r>
        <w:t xml:space="preserve"> </w:t>
      </w:r>
      <w:r>
        <w:t xml:space="preserve">(2012)</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this was likely evident in a large divergence in leaf area between seedlings in containers and free seedlings through time, with the eventual cessation of new leaf growth in seedlings in small containers.</w:t>
      </w:r>
    </w:p>
    <w:p>
      <w:pPr>
        <w:pStyle w:val="BodyText"/>
      </w:pPr>
      <w:r>
        <w:br w:type="textWrapping"/>
      </w:r>
      <w:r>
        <w:t xml:space="preserve"> </w:t>
      </w:r>
      <w:r>
        <w:t xml:space="preserve"> </w:t>
      </w:r>
      <w:r>
        <w:t xml:space="preserve"> </w:t>
      </w:r>
      <w:r>
        <w:t xml:space="preserve"> </w:t>
      </w:r>
      <w:r>
        <w:t xml:space="preserve">Decreases in</w:t>
      </w:r>
      <w:r>
        <w:t xml:space="preserve"> </w:t>
      </w:r>
      <w:r>
        <w:rPr>
          <w:i/>
        </w:rPr>
        <w:t xml:space="preserve">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rPr>
        <w:t xml:space="preserve">n</w:t>
      </w:r>
      <w:r>
        <w:t xml:space="preserve">.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nutrient content, water or reduced sink strength</w:t>
      </w:r>
      <w:r>
        <w:t xml:space="preserve"> </w:t>
      </w:r>
      <w:r>
        <w:t xml:space="preserve">(Poorter, Bühler, et al. 2012)</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 </w:t>
      </w:r>
      <w:r>
        <w:t xml:space="preserve"> </w:t>
      </w:r>
      <w:r>
        <w:t xml:space="preserve"> </w:t>
      </w:r>
      <w:r>
        <w:t xml:space="preserve"> </w:t>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pPr>
        <w:pStyle w:val="BodyText"/>
      </w:pPr>
      <w:r>
        <w:br w:type="textWrapping"/>
      </w:r>
      <w:r>
        <w:t xml:space="preserve"> </w:t>
      </w:r>
      <w:r>
        <w:t xml:space="preserve"> </w:t>
      </w:r>
      <w:r>
        <w:t xml:space="preserve"> </w:t>
      </w:r>
      <w:r>
        <w:t xml:space="preserve"> </w:t>
      </w:r>
      <w:r>
        <w:t xml:space="preserve">Here, reductions in</w:t>
      </w:r>
      <w:r>
        <w:t xml:space="preserve"> </w:t>
      </w:r>
      <w:r>
        <w:rPr>
          <w:i/>
        </w:rPr>
        <w:t xml:space="preserve">A</w:t>
      </w:r>
      <w:r>
        <w:rPr>
          <w:vertAlign w:val="subscript"/>
        </w:rPr>
        <w:t xml:space="preserve">n</w:t>
      </w:r>
      <w:r>
        <w:t xml:space="preserve"> </w:t>
      </w:r>
      <w:r>
        <w:t xml:space="preserve">were positively correlated with decreases in leaf</w:t>
      </w:r>
      <w:r>
        <w:t xml:space="preserve"> </w:t>
      </w:r>
      <w:r>
        <w:rPr>
          <w:i/>
        </w:rPr>
        <w:t xml:space="preserve">N</w:t>
      </w:r>
      <w:r>
        <w:t xml:space="preserve"> </w:t>
      </w:r>
      <w:r>
        <w:t xml:space="preserve">and leaf</w:t>
      </w:r>
      <w:r>
        <w:t xml:space="preserve"> </w:t>
      </w:r>
      <w:r>
        <w:rPr>
          <w:i/>
        </w:rPr>
        <w:t xml:space="preserve">N</w:t>
      </w:r>
      <w:r>
        <w:t xml:space="preserve"> </w:t>
      </w:r>
      <w:r>
        <w:t xml:space="preserve">was considerably reduced for seedlings in containers. As leaf</w:t>
      </w:r>
      <w:r>
        <w:t xml:space="preserve"> </w:t>
      </w:r>
      <w:r>
        <w:rPr>
          <w:i/>
        </w:rPr>
        <w:t xml:space="preserve">N</w:t>
      </w:r>
      <w:r>
        <w:t xml:space="preserve"> </w:t>
      </w:r>
      <w:r>
        <w:t xml:space="preserve">reductions were detected with TNC-free leaf mass, this suggests that physical root restriction or decreased supply likely affected seedling</w:t>
      </w:r>
      <w:r>
        <w:t xml:space="preserve"> </w:t>
      </w:r>
      <w:r>
        <w:rPr>
          <w:i/>
        </w:rPr>
        <w:t xml:space="preserve">N</w:t>
      </w:r>
      <w:r>
        <w:t xml:space="preserve"> </w:t>
      </w:r>
      <w:r>
        <w:t xml:space="preserve">uptake instead of TNC dilution in leaves in the smallest containers. Root</w:t>
      </w:r>
      <w:r>
        <w:t xml:space="preserve"> </w:t>
      </w:r>
      <w:r>
        <w:rPr>
          <w:i/>
        </w:rPr>
        <w:t xml:space="preserve">N</w:t>
      </w:r>
      <w:r>
        <w:t xml:space="preserve"> </w:t>
      </w:r>
      <w:r>
        <w:t xml:space="preserve">at the end of the experiment was on average higher in free seedlings but not consistently higher than every container volume treatment. Unrestricted mycorrhizal recruitment could have instead facilitated the increases in leaf</w:t>
      </w:r>
      <w:r>
        <w:t xml:space="preserve"> </w:t>
      </w:r>
      <w:r>
        <w:rPr>
          <w:i/>
        </w:rPr>
        <w:t xml:space="preserve">N</w:t>
      </w:r>
      <w:r>
        <w:t xml:space="preserve"> </w:t>
      </w:r>
      <w:r>
        <w:t xml:space="preserve">in free seedlings, but this effect is unknown. Combined with the fact that soil</w:t>
      </w:r>
      <w:r>
        <w:t xml:space="preserve"> </w:t>
      </w:r>
      <w:r>
        <w:rPr>
          <w:i/>
        </w:rPr>
        <w:t xml:space="preserve">N</w:t>
      </w:r>
      <w:r>
        <w:t xml:space="preserve"> </w:t>
      </w:r>
      <w:r>
        <w:t xml:space="preserve">declined evenly across all treatments, there was no clear mechanism present to identify changes in root</w:t>
      </w:r>
      <w:r>
        <w:t xml:space="preserve"> </w:t>
      </w:r>
      <w:r>
        <w:rPr>
          <w:i/>
        </w:rPr>
        <w:t xml:space="preserve">N</w:t>
      </w:r>
      <w:r>
        <w:t xml:space="preserve"> </w:t>
      </w:r>
      <w:r>
        <w:t xml:space="preserve">uptake between free seedlings and seedlings in containers. In these already low fertility soils, it is possible that seedlings in containers simply grew into increasing N limitation which negatively affected belowground sink strength. Although no clear feedback could be determined between the available soil</w:t>
      </w:r>
      <w:r>
        <w:t xml:space="preserve"> </w:t>
      </w:r>
      <w:r>
        <w:rPr>
          <w:i/>
        </w:rPr>
        <w:t xml:space="preserve">N</w:t>
      </w:r>
      <w:r>
        <w:t xml:space="preserve"> </w:t>
      </w:r>
      <w:r>
        <w:t xml:space="preserve">pool and decreases in leaf</w:t>
      </w:r>
      <w:r>
        <w:t xml:space="preserve"> </w:t>
      </w:r>
      <w:r>
        <w:rPr>
          <w:i/>
        </w:rPr>
        <w:t xml:space="preserve">N</w:t>
      </w:r>
      <w:r>
        <w:t xml:space="preserve">,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 </w:t>
      </w:r>
      <w:r>
        <w:t xml:space="preserve"> </w:t>
      </w:r>
      <w:r>
        <w:t xml:space="preserve"> </w:t>
      </w:r>
      <w:r>
        <w:t xml:space="preserve"> </w:t>
      </w:r>
      <w:r>
        <w:t xml:space="preserve">As both rooting space and resources were finite in containers, the inability of seedlings to maintain the capacity of the belowground</w:t>
      </w:r>
      <w:r>
        <w:t xml:space="preserve"> </w:t>
      </w:r>
      <w:r>
        <w:rPr>
          <w:i/>
        </w:rPr>
        <w:t xml:space="preserve">C</w:t>
      </w:r>
      <w:r>
        <w:t xml:space="preserve"> </w:t>
      </w:r>
      <w:r>
        <w:t xml:space="preserve">sink resulted in the buildup of</w:t>
      </w:r>
      <w:r>
        <w:t xml:space="preserve"> </w:t>
      </w:r>
      <w:r>
        <w:rPr>
          <w:i/>
        </w:rPr>
        <w:t xml:space="preserve">C</w:t>
      </w:r>
      <w:r>
        <w:t xml:space="preserve"> </w:t>
      </w:r>
      <w:r>
        <w:t xml:space="preserve">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 et al.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0" w:name="biomass-partitioning-under-sink-limitation"/>
      <w:bookmarkEnd w:id="40"/>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 Niklas, et al. 2012)</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3a,b). This is a surprising result as shifts in partitioning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 </w:t>
      </w:r>
      <w:r>
        <w:t xml:space="preserve"> </w:t>
      </w:r>
      <w:r>
        <w:t xml:space="preserve"> </w:t>
      </w:r>
      <w:r>
        <w:t xml:space="preserve"> </w:t>
      </w:r>
      <w:r>
        <w:t xml:space="preserve">The lack of detected shifts in partitioning to fine roots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w:t>
      </w:r>
      <w:r>
        <w:t xml:space="preserve"> </w:t>
      </w:r>
      <w:r>
        <w:rPr>
          <w:i/>
        </w:rPr>
        <w:t xml:space="preserve">C</w:t>
      </w:r>
      <w:r>
        <w:t xml:space="preserve"> </w:t>
      </w:r>
      <w:r>
        <w:t xml:space="preserve">use efficiency, respiration and</w:t>
      </w:r>
      <w:r>
        <w:t xml:space="preserve"> </w:t>
      </w:r>
      <w:r>
        <w:rPr>
          <w:i/>
        </w:rPr>
        <w:t xml:space="preserve">C</w:t>
      </w:r>
      <w:r>
        <w:t xml:space="preserve"> </w:t>
      </w:r>
      <w:r>
        <w:t xml:space="preserve">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w:t>
      </w:r>
      <w:r>
        <w:t xml:space="preserve"> </w:t>
      </w:r>
      <w:r>
        <w:rPr>
          <w:i/>
        </w:rPr>
        <w:t xml:space="preserve">C</w:t>
      </w:r>
      <w:r>
        <w:t xml:space="preserve"> </w:t>
      </w:r>
      <w:r>
        <w:t xml:space="preserve">assimilation and processes such as respiration are considered proportional to biomass</w:t>
      </w:r>
      <w:r>
        <w:t xml:space="preserve"> </w:t>
      </w:r>
      <w:r>
        <w:t xml:space="preserve">(Le Roux 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w:t>
      </w:r>
      <w:r>
        <w:t xml:space="preserve"> </w:t>
      </w:r>
      <w:r>
        <w:rPr>
          <w:i/>
        </w:rPr>
        <w:t xml:space="preserve">C</w:t>
      </w:r>
      <w:r>
        <w:t xml:space="preserve"> </w:t>
      </w:r>
      <w:r>
        <w:t xml:space="preserve">unaccounted for with observed mass balance. Similar to Lohier et al.</w:t>
      </w:r>
      <w:r>
        <w:t xml:space="preserve"> </w:t>
      </w:r>
      <w:r>
        <w:t xml:space="preserve">(2014)</w:t>
      </w:r>
      <w:r>
        <w:t xml:space="preserve"> </w:t>
      </w:r>
      <w:r>
        <w:t xml:space="preserve">we manipulated processes contributing to modeled seedling</w:t>
      </w:r>
      <w:r>
        <w:t xml:space="preserve"> </w:t>
      </w:r>
      <w:r>
        <w:rPr>
          <w:i/>
        </w:rPr>
        <w:t xml:space="preserve">C</w:t>
      </w:r>
      <w:r>
        <w:t xml:space="preserve"> </w:t>
      </w:r>
      <w:r>
        <w:t xml:space="preserve">mass balance, including changes to leaf</w:t>
      </w:r>
      <w:r>
        <w:t xml:space="preserve"> </w:t>
      </w:r>
      <w:r>
        <w:rPr>
          <w:i/>
        </w:rPr>
        <w:t xml:space="preserve">C</w:t>
      </w:r>
      <w:r>
        <w:t xml:space="preserve"> </w:t>
      </w:r>
      <w:r>
        <w:t xml:space="preserve">allocation or non-leaf tissue respiration, to quantitatively test their respective influences on model predictions.</w:t>
      </w:r>
    </w:p>
    <w:p>
      <w:pPr>
        <w:pStyle w:val="BodyText"/>
      </w:pPr>
      <w:r>
        <w:br w:type="textWrapping"/>
      </w:r>
      <w:r>
        <w:t xml:space="preserve"> </w:t>
      </w:r>
      <w:r>
        <w:t xml:space="preserve"> </w:t>
      </w:r>
      <w:r>
        <w:t xml:space="preserve"> </w:t>
      </w:r>
      <w:r>
        <w:t xml:space="preserve"> </w:t>
      </w:r>
      <w:r>
        <w:t xml:space="preserve">Using measured LMF from the harvest, instead of the optimized seedling control (</w:t>
      </w:r>
      <w:r>
        <w:rPr>
          <w:i/>
        </w:rPr>
        <w:t xml:space="preserve">M</w:t>
      </w:r>
      <w:r>
        <w:rPr>
          <w:vertAlign w:val="subscript"/>
        </w:rPr>
        <w:t xml:space="preserve">S1</w:t>
      </w:r>
      <w:r>
        <w:t xml:space="preserve">), improved biomass predictions and provided insight into how sink limitation can impact leaf</w:t>
      </w:r>
      <w:r>
        <w:t xml:space="preserve"> </w:t>
      </w:r>
      <w:r>
        <w:rPr>
          <w:i/>
        </w:rPr>
        <w:t xml:space="preserve">C</w:t>
      </w:r>
      <w:r>
        <w:t xml:space="preserve"> </w:t>
      </w:r>
      <w:r>
        <w:t xml:space="preserve">allocation beyond</w:t>
      </w:r>
      <w:r>
        <w:t xml:space="preserve"> </w:t>
      </w:r>
      <w:r>
        <w:rPr>
          <w:i/>
        </w:rPr>
        <w:t xml:space="preserve">A</w:t>
      </w:r>
      <w:r>
        <w:rPr>
          <w:vertAlign w:val="subscript"/>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w:t>
      </w:r>
      <w:r>
        <w:t xml:space="preserve"> </w:t>
      </w:r>
      <w:r>
        <w:rPr>
          <w:i/>
        </w:rPr>
        <w:t xml:space="preserve">C</w:t>
      </w:r>
      <w:r>
        <w:t xml:space="preserve"> </w:t>
      </w:r>
      <w:r>
        <w:t xml:space="preserve">allocated to growth, respiration and</w:t>
      </w:r>
      <w:r>
        <w:t xml:space="preserve"> </w:t>
      </w:r>
      <w:r>
        <w:rPr>
          <w:i/>
        </w:rPr>
        <w:t xml:space="preserve">C</w:t>
      </w:r>
      <w:r>
        <w:t xml:space="preserve"> </w:t>
      </w:r>
      <w:r>
        <w:t xml:space="preserve">storage in leaves. It will be the interactions between these two components that will determine the total</w:t>
      </w:r>
      <w:r>
        <w:t xml:space="preserve"> </w:t>
      </w:r>
      <w:r>
        <w:rPr>
          <w:i/>
        </w:rPr>
        <w:t xml:space="preserve">C</w:t>
      </w:r>
      <w:r>
        <w:t xml:space="preserve"> </w:t>
      </w:r>
      <w:r>
        <w:t xml:space="preserve">gain available for plant growth.</w:t>
      </w:r>
    </w:p>
    <w:p>
      <w:pPr>
        <w:pStyle w:val="BodyText"/>
      </w:pPr>
      <w:r>
        <w:br w:type="textWrapping"/>
      </w:r>
      <w:r>
        <w:t xml:space="preserve"> </w:t>
      </w:r>
      <w:r>
        <w:t xml:space="preserve"> </w:t>
      </w:r>
      <w:r>
        <w:t xml:space="preserve"> </w:t>
      </w:r>
      <w:r>
        <w:t xml:space="preserve"> </w:t>
      </w:r>
      <w:r>
        <w:t xml:space="preserve">Increasing rates of non-leaf respiration (</w:t>
      </w:r>
      <w:r>
        <w:rPr>
          <w:i/>
        </w:rPr>
        <w:t xml:space="preserve">M</w:t>
      </w:r>
      <w:r>
        <w:rPr>
          <w:vertAlign w:val="subscript"/>
        </w:rPr>
        <w:t xml:space="preserve">S2</w:t>
      </w:r>
      <w:r>
        <w:t xml:space="preserve">) improved biomass predictions but to a far lesser extent than changes to leaf</w:t>
      </w:r>
      <w:r>
        <w:t xml:space="preserve"> </w:t>
      </w:r>
      <w:r>
        <w:rPr>
          <w:i/>
        </w:rPr>
        <w:t xml:space="preserve">C</w:t>
      </w:r>
      <w:r>
        <w:t xml:space="preserve"> </w:t>
      </w:r>
      <w:r>
        <w:t xml:space="preserve">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w:t>
      </w:r>
      <w:r>
        <w:t xml:space="preserve"> </w:t>
      </w:r>
      <w:r>
        <w:rPr>
          <w:i/>
        </w:rPr>
        <w:t xml:space="preserve">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w:t>
      </w:r>
      <w:r>
        <w:t xml:space="preserve"> </w:t>
      </w:r>
      <w:r>
        <w:rPr>
          <w:i/>
        </w:rPr>
        <w:t xml:space="preserve">C</w:t>
      </w:r>
      <w:r>
        <w:t xml:space="preserve"> </w:t>
      </w:r>
      <w:r>
        <w:t xml:space="preserve">balance is a delicate equilibrium between fluxes of</w:t>
      </w:r>
      <w:r>
        <w:t xml:space="preserve"> </w:t>
      </w:r>
      <w:r>
        <w:rPr>
          <w:i/>
        </w:rPr>
        <w:t xml:space="preserve">A</w:t>
      </w:r>
      <w:r>
        <w:rPr>
          <w:vertAlign w:val="subscript"/>
        </w:rPr>
        <w:t xml:space="preserve">n</w:t>
      </w:r>
      <w:r>
        <w:t xml:space="preserve"> </w:t>
      </w:r>
      <w:r>
        <w:t xml:space="preserve">and respiration, partial accounting of</w:t>
      </w:r>
      <w:r>
        <w:t xml:space="preserve"> </w:t>
      </w:r>
      <w:r>
        <w:rPr>
          <w:i/>
        </w:rPr>
        <w:t xml:space="preserve">C</w:t>
      </w:r>
      <w:r>
        <w:t xml:space="preserve"> </w:t>
      </w:r>
      <w:r>
        <w:t xml:space="preserve">dynamics can easily lead to erroneous conclusions</w:t>
      </w:r>
      <w:r>
        <w:t xml:space="preserve"> </w:t>
      </w:r>
      <w:r>
        <w:t xml:space="preserve">(Valentini et al. 2000)</w:t>
      </w:r>
      <w:r>
        <w:t xml:space="preserve">. These results imply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2" w:name="conclusions"/>
      <w:bookmarkEnd w:id="42"/>
      <w:r>
        <w:t xml:space="preserve">Conclusions</w:t>
      </w:r>
    </w:p>
    <w:p>
      <w:pPr>
        <w:pStyle w:val="FirstParagraph"/>
      </w:pPr>
      <w:r>
        <w:t xml:space="preserve">With a novel field-based design we detected a massive effect of container volume on seedling growth, when compared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rPr>
        <w:t xml:space="preserve">n</w:t>
      </w:r>
      <w:r>
        <w:t xml:space="preserve"> </w:t>
      </w:r>
      <w:r>
        <w:t xml:space="preserve">through the demand for</w:t>
      </w:r>
      <w:r>
        <w:t xml:space="preserve"> </w:t>
      </w:r>
      <w:r>
        <w:rPr>
          <w:i/>
        </w:rPr>
        <w:t xml:space="preserve">C</w:t>
      </w:r>
      <w:r>
        <w:t xml:space="preserve">. Although this may be true, our results imply that quantifying the fate of assimilated</w:t>
      </w:r>
      <w:r>
        <w:t xml:space="preserve"> </w:t>
      </w:r>
      <w:r>
        <w:rPr>
          <w:i/>
        </w:rPr>
        <w:t xml:space="preserve">C</w:t>
      </w:r>
      <w:r>
        <w:t xml:space="preserve"> </w:t>
      </w:r>
      <w:r>
        <w:t xml:space="preserve">into known pools of growth, storage and</w:t>
      </w:r>
      <w:r>
        <w:t xml:space="preserve"> </w:t>
      </w:r>
      <w:r>
        <w:rPr>
          <w:i/>
        </w:rPr>
        <w:t xml:space="preserve">C</w:t>
      </w:r>
      <w:r>
        <w:t xml:space="preserve"> </w:t>
      </w:r>
      <w:r>
        <w:t xml:space="preserve">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w:t>
      </w:r>
      <w:r>
        <w:t xml:space="preserve"> </w:t>
      </w:r>
      <w:r>
        <w:rPr>
          <w:i/>
        </w:rPr>
        <w:t xml:space="preserve">C</w:t>
      </w:r>
      <w:r>
        <w:t xml:space="preserve"> </w:t>
      </w:r>
      <w:r>
        <w:t xml:space="preserve">and other constituents. The approach used here has the flexibility to account for multiple drivers of</w:t>
      </w:r>
      <w:r>
        <w:t xml:space="preserve"> </w:t>
      </w:r>
      <w:r>
        <w:rPr>
          <w:i/>
        </w:rPr>
        <w:t xml:space="preserve">C</w:t>
      </w:r>
      <w:r>
        <w:t xml:space="preserve"> </w:t>
      </w:r>
      <w:r>
        <w:t xml:space="preserve">allocation and provides an avenue to address future questions regarding the impact of environmental change on plant growth.</w:t>
      </w:r>
    </w:p>
    <w:p>
      <w:pPr>
        <w:pStyle w:val="Heading1"/>
      </w:pPr>
      <w:bookmarkStart w:id="43" w:name="tables"/>
      <w:bookmarkEnd w:id="43"/>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2777.77777777778"/>
        <w:tblLook w:firstRow="1"/>
      </w:tblPr>
      <w:tblGrid>
        <w:gridCol w:w="2750"/>
        <w:gridCol w:w="2530"/>
        <w:gridCol w:w="3630"/>
        <w:gridCol w:w="2310"/>
        <w:gridCol w:w="2310"/>
        <w:gridCol w:w="363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666.666666666668"/>
        <w:tblLook w:firstRow="1"/>
      </w:tblPr>
      <w:tblGrid>
        <w:gridCol w:w="2750"/>
        <w:gridCol w:w="4069"/>
        <w:gridCol w:w="3300"/>
        <w:gridCol w:w="1760"/>
        <w:gridCol w:w="165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p>
        </w:tc>
        <w:tc>
          <w:tcPr>
            <w:tcBorders>
              <w:bottom w:val="single"/>
            </w:tcBorders>
            <w:vAlign w:val="bottom"/>
          </w:tcPr>
          <w:p>
            <w:pPr>
              <w:pStyle w:val="Compact"/>
              <w:jc w:val="left"/>
            </w:pPr>
            <w:r>
              <w:rPr>
                <w:i/>
                <w:b/>
              </w:rPr>
              <w:t xml:space="preserve">Vc</w:t>
            </w:r>
            <w:r>
              <w:rPr>
                <w:vertAlign w:val="subscript"/>
                <w:b/>
              </w:rPr>
              <w:t xml:space="preserve">max</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4" w:name="figures"/>
      <w:bookmarkEnd w:id="44"/>
      <w:r>
        <w:t xml:space="preserve">Figures</w:t>
      </w:r>
    </w:p>
    <w:p>
      <w:pPr>
        <w:pStyle w:val="FirstParagraph"/>
      </w:pPr>
      <w:r>
        <w:drawing>
          <wp:inline>
            <wp:extent cx="5486400" cy="7137400"/>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5"/>
                    <a:stretch>
                      <a:fillRect/>
                    </a:stretch>
                  </pic:blipFill>
                  <pic:spPr bwMode="auto">
                    <a:xfrm>
                      <a:off x="0" y="0"/>
                      <a:ext cx="5486400" cy="7137400"/>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6"/>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rPr>
          <w:b/>
        </w:rPr>
        <w:t xml:space="preserve">Figure 4</w:t>
      </w:r>
      <w:r>
        <w:t xml:space="preserve">. Soil volume treatment means ± standard error, across all measurement campaigns (n = 6), of light saturated rates of photosynthesis at 25 °C. Different letters represent significant differences between treatments.</w:t>
      </w:r>
    </w:p>
    <w:p>
      <w:pPr>
        <w:pStyle w:val="BodyText"/>
      </w:pPr>
      <w:r>
        <w:drawing>
          <wp:inline>
            <wp:extent cx="5943600" cy="4457700"/>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8"/>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49"/>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0" w:name="supporting-information"/>
      <w:bookmarkEnd w:id="50"/>
      <w:r>
        <w:t xml:space="preserve">Supporting Information</w:t>
      </w:r>
    </w:p>
    <w:p>
      <w:pPr>
        <w:pStyle w:val="FirstParagraph"/>
      </w:pPr>
      <w:r>
        <w:rPr>
          <w:b/>
        </w:rPr>
        <w:t xml:space="preserve">Table 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86400" cy="7315200"/>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1"/>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S1</w:t>
      </w:r>
      <w:r>
        <w:t xml:space="preserve">. Sensitivity testing of the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52" w:name="acknowledgements"/>
      <w:bookmarkEnd w:id="52"/>
      <w:r>
        <w:t xml:space="preserve">Acknowledgements</w:t>
      </w:r>
    </w:p>
    <w:p>
      <w:pPr>
        <w:pStyle w:val="FirstParagraph"/>
      </w:pPr>
      <w:r>
        <w:t xml:space="preserve">We thank Burhan Amiji for for his outstanding technical assitance. We would like to thank the many Hawkesbury Institute for the Environment staff and students who provded field work help during the experimental harvest.</w:t>
      </w:r>
    </w:p>
    <w:p>
      <w:pPr>
        <w:pStyle w:val="Heading1"/>
      </w:pPr>
      <w:bookmarkStart w:id="53" w:name="references"/>
      <w:bookmarkEnd w:id="53"/>
      <w:r>
        <w:t xml:space="preserve">References</w:t>
      </w:r>
    </w:p>
    <w:p>
      <w:pPr>
        <w:pStyle w:val="Bibliography"/>
      </w:pPr>
      <w:r>
        <w:t xml:space="preserve">Ainsworth EA, Long SP (2005) What have we learned from 15 years of free-air CO</w:t>
      </w:r>
      <w:r>
        <w:rPr>
          <w:vertAlign w:val="subscript"/>
        </w:rPr>
        <w:t xml:space="preserve">2</w:t>
      </w:r>
      <w:r>
        <w:t xml:space="preserve"> </w:t>
      </w:r>
      <w:r>
        <w:t xml:space="preserve">enrichment (FACE)? A meta-analytic review of the responses of photosynthesis, canopy properties and plant production to rising CO</w:t>
      </w:r>
      <w:r>
        <w:rPr>
          <w:vertAlign w:val="subscript"/>
        </w:rPr>
        <w:t xml:space="preserve">2</w:t>
      </w:r>
      <w:r>
        <w:t xml:space="preserve">. New Phytologist 165:351–372.</w:t>
      </w:r>
    </w:p>
    <w:p>
      <w:pPr>
        <w:pStyle w:val="Bibliography"/>
      </w:pPr>
      <w:r>
        <w:t xml:space="preserve">Ainsworth EA, Rogers A (2007) The response of photosynthesis and stomatal conductance to rising [CO</w:t>
      </w:r>
      <w:r>
        <w:rPr>
          <w:vertAlign w:val="subscript"/>
        </w:rPr>
        <w:t xml:space="preserve">2</w:t>
      </w:r>
      <w:r>
        <w:t xml:space="preserve">]: mechanisms and environmental interactions. Plant, Cell &amp; Environment 30:258–270.</w:t>
      </w:r>
    </w:p>
    <w:p>
      <w:pPr>
        <w:pStyle w:val="Bibliography"/>
      </w:pPr>
      <w:r>
        <w:t xml:space="preserve">Arp WJ (1991) Effects of source-sink relations on photosynthetic acclimation to elevated CO</w:t>
      </w:r>
      <w:r>
        <w:rPr>
          <w:vertAlign w:val="subscript"/>
        </w:rPr>
        <w:t xml:space="preserve">2</w:t>
      </w:r>
      <w:r>
        <w:t xml:space="preserve">.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Crous KY, Quentin AG, Lin Y-S, Medlyn BE, Williams DG, Barton CVM, Ellsworth DS (2013) Photosynthesis of temperate</w:t>
      </w:r>
      <w:r>
        <w:t xml:space="preserve"> </w:t>
      </w:r>
      <m:oMath>
        <m:r>
          <m:rPr/>
          <m:t>∖</m:t>
        </m:r>
      </m:oMath>
      <w:r>
        <w:t xml:space="preserve">textit{Eucalyptus globulus} trees outside their native range has limited adjustment to elevated CO</w:t>
      </w:r>
      <w:r>
        <w:rPr>
          <w:vertAlign w:val="subscript"/>
        </w:rPr>
        <w:t xml:space="preserve">2</w:t>
      </w:r>
      <w:r>
        <w:t xml:space="preserve"> </w:t>
      </w:r>
      <w:r>
        <w:t xml:space="preserve">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w:t>
      </w:r>
      <w:r>
        <w:t xml:space="preserve"> </w:t>
      </w:r>
      <m:oMath>
        <m:r>
          <m:rPr/>
          <m:t>∖</m:t>
        </m:r>
      </m:oMath>
      <w:r>
        <w:t xml:space="preserve">textit{Eucalyptus} species. Global Change Biology 21:459–472.</w:t>
      </w:r>
    </w:p>
    <w:p>
      <w:pPr>
        <w:pStyle w:val="Bibliography"/>
      </w:pPr>
      <w:r>
        <w:t xml:space="preserve">Drake BG, Gonzàlez-Meler MA, Long SP (1997) More efficient plants: a consequence of rising atmospheric CO</w:t>
      </w:r>
      <w:r>
        <w:rPr>
          <w:vertAlign w:val="subscript"/>
        </w:rPr>
        <w:t xml:space="preserve">2</w:t>
      </w:r>
      <w:r>
        <w:t xml:space="preserve">?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 (2014) YplantQMC: Plant architectural analysis with Yplant and QuasiMC.</w:t>
      </w:r>
      <w:r>
        <w:t xml:space="preserve"> </w:t>
      </w:r>
      <w:hyperlink r:id="rId54">
        <w:r>
          <w:rPr>
            <w:rStyle w:val="Hyperlink"/>
          </w:rPr>
          <w:t xml:space="preserve">http://www.remkoduursma.com/yplantqmc, https://www.bitbucket.org/remkoduursma/yplantqmc/</w:t>
        </w:r>
      </w:hyperlink>
    </w:p>
    <w:p>
      <w:pPr>
        <w:pStyle w:val="Bibliography"/>
      </w:pPr>
      <w:r>
        <w:t xml:space="preserve">Duursma RA (2015) Plantecophys - An R Package for Analysing and Modelling Leaf Gas Exchange Data. PLoS ONE 10</w:t>
      </w:r>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w:t>
      </w:r>
      <w:r>
        <w:t xml:space="preserve"> </w:t>
      </w:r>
      <m:oMath>
        <m:r>
          <m:rPr/>
          <m:t>∖</m:t>
        </m:r>
      </m:oMath>
      <w:r>
        <w:t xml:space="preserve">textit{Metasequoia glyptostroboides} growing under continuous light: the significance of carbohydrate sinks and paleoecophysiological implications. Botany 84:1453–1461.</w:t>
      </w:r>
    </w:p>
    <w:p>
      <w:pPr>
        <w:pStyle w:val="Bibliography"/>
      </w:pPr>
      <w:r>
        <w:t xml:space="preserve">Eyles A, Pinkard EA, Davies NW, Corkrey R, Churchill K, O’Grady AP, Sands P, Mohammed C</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w:t>
      </w:r>
      <w:r>
        <w:rPr>
          <w:vertAlign w:val="subscript"/>
        </w:rPr>
        <w:t xml:space="preserve">2</w:t>
      </w:r>
      <w:r>
        <w:t xml:space="preserve"> </w:t>
      </w:r>
      <w:r>
        <w:t xml:space="preserve">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Biological Reviews 41:587–640.</w:t>
      </w:r>
    </w:p>
    <w:p>
      <w:pPr>
        <w:pStyle w:val="Bibliography"/>
      </w:pPr>
      <w:r>
        <w:t xml:space="preserve">Gunderson CA, Wullschleger SD (1994) Photosynthetic acclimation in trees to rising atmospheric CO</w:t>
      </w:r>
      <w:r>
        <w:rPr>
          <w:vertAlign w:val="subscript"/>
        </w:rPr>
        <w:t xml:space="preserve">2</w:t>
      </w:r>
      <w:r>
        <w:t xml:space="preserve">: a broader perspective. Photosynthesis Research 39:369–388.</w:t>
      </w:r>
    </w:p>
    <w:p>
      <w:pPr>
        <w:pStyle w:val="Bibliography"/>
      </w:pPr>
      <w:r>
        <w:t xml:space="preserve">Handa IT, Körner C, Hättenschwiler S (2005) A test of the treeline carbon limitation hypothesis by in situ CO</w:t>
      </w:r>
      <w:r>
        <w:rPr>
          <w:vertAlign w:val="subscript"/>
        </w:rPr>
        <w:t xml:space="preserve">2</w:t>
      </w:r>
      <w:r>
        <w:t xml:space="preserve"> </w:t>
      </w:r>
      <w:r>
        <w:t xml:space="preserve">enrichment and defoliation. Ecology 86:1288–1300.</w:t>
      </w:r>
    </w:p>
    <w:p>
      <w:pPr>
        <w:pStyle w:val="Bibliography"/>
      </w:pPr>
      <w:r>
        <w:t xml:space="preserve">Haouari A, Van Labeke 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w:t>
      </w:r>
      <w:r>
        <w:t xml:space="preserve"> </w:t>
      </w:r>
      <m:oMath>
        <m:r>
          <m:rPr/>
          <m:t>∖</m:t>
        </m:r>
      </m:oMath>
      <w:r>
        <w:t xml:space="preserve">textit{Eucalyptus grandis} for planting in the tropics. Forest Ecology and Management 95:53–61.</w:t>
      </w:r>
    </w:p>
    <w:p>
      <w:pPr>
        <w:pStyle w:val="Bibliography"/>
      </w:pPr>
      <w:r>
        <w:t xml:space="preserve">Kirschbaum MUF (2011) Does enhanced photosynthesis enhance growth? Lessons learned from CO</w:t>
      </w:r>
      <w:r>
        <w:rPr>
          <w:vertAlign w:val="subscript"/>
        </w:rPr>
        <w:t xml:space="preserve">2</w:t>
      </w:r>
      <w:r>
        <w:t xml:space="preserve"> </w:t>
      </w:r>
      <w:r>
        <w:t xml:space="preserve">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w:t>
      </w:r>
    </w:p>
    <w:p>
      <w:pPr>
        <w:pStyle w:val="Bibliography"/>
      </w:pPr>
      <w:r>
        <w:t xml:space="preserve">Layne DR, Flore JA (1995) End-product inhibition of photosynthesis in</w:t>
      </w:r>
      <w:r>
        <w:t xml:space="preserve"> </w:t>
      </w:r>
      <m:oMath>
        <m:r>
          <m:rPr/>
          <m:t>∖</m:t>
        </m:r>
      </m:oMath>
      <w:r>
        <w:t xml:space="preserve">textit{Prunus cerasus} L. in response to whole-plant source-sink manipulation. Journal of the American Society for Horticultural Science 120:583–599.</w:t>
      </w:r>
    </w:p>
    <w:p>
      <w:pPr>
        <w:pStyle w:val="Bibliography"/>
      </w:pPr>
      <w:r>
        <w:t xml:space="preserve">Le Roux X, Lacointe A, Escobar-Gutiérrez A, Le Dizès 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 114:513–524.</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w:t>
      </w:r>
      <w:r>
        <w:t xml:space="preserve"> </w:t>
      </w:r>
      <m:oMath>
        <m:r>
          <m:rPr/>
          <m:t>∖</m:t>
        </m:r>
      </m:oMath>
      <w:r>
        <w:t xml:space="preserve">textit{Betula pubescens}. Oecologia 140:234–240.</w:t>
      </w:r>
    </w:p>
    <w:p>
      <w:pPr>
        <w:pStyle w:val="Bibliography"/>
      </w:pPr>
      <w:r>
        <w:t xml:space="preserve">McCleary BV, Gibson TS, Mugford DC (1997) Measurement of total starch in cereal products by amyloglucosidase-</w:t>
      </w:r>
      <m:oMath>
        <m:r>
          <m:rPr/>
          <m:t>α</m:t>
        </m:r>
      </m:oMath>
      <w:r>
        <w:t xml:space="preserve">-amylase method: Collaborative study. Journal of AOAC International 80:571–579.</w:t>
      </w:r>
    </w:p>
    <w:p>
      <w:pPr>
        <w:pStyle w:val="Bibliography"/>
      </w:pPr>
      <w:r>
        <w:t xml:space="preserve">McConnaughay KDM, Bazzaz FA (1991) Is physical space a soil resource? Ecology 72:94–103.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A general and simple method for obtaining R2 from generalized linear mixed-effects models. Methods in Ecology and Evolution 4:133–142.</w:t>
      </w:r>
    </w:p>
    <w:p>
      <w:pPr>
        <w:pStyle w:val="Bibliography"/>
      </w:pPr>
      <w:r>
        <w:t xml:space="preserve">Nebauer SG, Renau-Morata B, Guardiola JL, Molina R-V (2011) Photosynthesis down-regulation precedes carbohydrate accumulation under sink limitation in Citrus. Tree Physiology 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w:t>
      </w:r>
      <w:r>
        <w:rPr>
          <w:vertAlign w:val="subscript"/>
        </w:rPr>
        <w:t xml:space="preserve">2</w:t>
      </w:r>
      <w:r>
        <w:t xml:space="preserve"> </w:t>
      </w:r>
      <w:r>
        <w:t xml:space="preserve">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w:t>
      </w:r>
      <w:r>
        <w:t xml:space="preserve"> </w:t>
      </w:r>
      <m:oMath>
        <m:r>
          <m:rPr/>
          <m:t>∖</m:t>
        </m:r>
      </m:oMath>
      <w:r>
        <w:t xml:space="preserve">textit{Betula pendula} 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w:t>
      </w:r>
      <w:r>
        <w:t xml:space="preserve"> </w:t>
      </w:r>
      <m:oMath>
        <m:r>
          <m:rPr/>
          <m:t>∖</m:t>
        </m:r>
      </m:oMath>
      <w:r>
        <w:t xml:space="preserve">textit{Betula pendula} saplings I. Changes in growth,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(2015) {nlme}: Linear and nonlinear mixed effects models.</w:t>
      </w:r>
      <w:r>
        <w:t xml:space="preserve"> </w:t>
      </w:r>
      <w:hyperlink r:id="rId55">
        <w:r>
          <w:rPr>
            <w:rStyle w:val="Hyperlink"/>
          </w:rPr>
          <w:t xml:space="preserve">http://cran.r-project.org/package=nlme</w:t>
        </w:r>
      </w:hyperlink>
    </w:p>
    <w:p>
      <w:pPr>
        <w:pStyle w:val="Bibliography"/>
      </w:pPr>
      <w:r>
        <w:t xml:space="preserve">Pinkard EA, Beadle CL, Davidson NJ, Battaglia M (1998) Photosynthetic responses of</w:t>
      </w:r>
      <w:r>
        <w:t xml:space="preserve"> </w:t>
      </w:r>
      <m:oMath>
        <m:r>
          <m:rPr/>
          <m:t>∖</m:t>
        </m:r>
      </m:oMath>
      <w:r>
        <w:t xml:space="preserve">textit{Eucalyptus nitens} (Deane and Maiden) Maiden to green pruning. Trees 12:119–129.</w:t>
      </w:r>
    </w:p>
    <w:p>
      <w:pPr>
        <w:pStyle w:val="Bibliography"/>
      </w:pPr>
      <w:r>
        <w:t xml:space="preserve">Poorter H, Bühler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 R (2011) R: A language and environment for statistical computing Team RDC (ed). 1:409.</w:t>
      </w:r>
      <w:r>
        <w:t xml:space="preserve"> </w:t>
      </w:r>
      <w:hyperlink r:id="rId56">
        <w:r>
          <w:rPr>
            <w:rStyle w:val="Hyper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w:t>
      </w:r>
      <w:r>
        <w:t xml:space="preserve"> </w:t>
      </w:r>
      <m:oMath>
        <m:r>
          <m:rPr/>
          <m:t>∖</m:t>
        </m:r>
      </m:oMath>
      <w:r>
        <w:t xml:space="preserve">textit{Coffea arabica} in response to restricted root volume. Functional Plant Biology 33:1013–1023.</w:t>
      </w:r>
    </w:p>
    <w:p>
      <w:pPr>
        <w:pStyle w:val="Bibliography"/>
      </w:pPr>
      <w:r>
        <w:t xml:space="preserve">Sage RF (1994) Acclimation of photosynthesis to increasing atmospheric CO</w:t>
      </w:r>
      <w:r>
        <w:rPr>
          <w:vertAlign w:val="subscript"/>
        </w:rPr>
        <w:t xml:space="preserve">2</w:t>
      </w:r>
      <w:r>
        <w:t xml:space="preserve">: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w:t>
      </w:r>
      <w:r>
        <w:rPr>
          <w:vertAlign w:val="subscript"/>
        </w:rPr>
        <w:t xml:space="preserve">2</w:t>
      </w:r>
      <w:r>
        <w:t xml:space="preserve"> </w:t>
      </w:r>
      <w:r>
        <w:t xml:space="preserve">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w:t>
      </w:r>
      <w:r>
        <w:t xml:space="preserve"> </w:t>
      </w:r>
      <m:oMath>
        <m:r>
          <m:rPr/>
          <m:t>∖</m:t>
        </m:r>
      </m:oMath>
      <w:r>
        <w:t xml:space="preserve">textit{Eucalyptus globulus} 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003B7">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f4a169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hyperlink" Id="rId55" Target="http://cran.r-project.org/package=nlme" TargetMode="External" /><Relationship Type="http://schemas.openxmlformats.org/officeDocument/2006/relationships/hyperlink" Id="rId56" Target="http://www.r-project.org" TargetMode="External" /><Relationship Type="http://schemas.openxmlformats.org/officeDocument/2006/relationships/hyperlink" Id="rId54"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5" Target="http://cran.r-project.org/package=nlme" TargetMode="External" /><Relationship Type="http://schemas.openxmlformats.org/officeDocument/2006/relationships/hyperlink" Id="rId56" Target="http://www.r-project.org" TargetMode="External" /><Relationship Type="http://schemas.openxmlformats.org/officeDocument/2006/relationships/hyperlink" Id="rId54"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Belowground sink limitation alters growth and carbon balance of Eucalyptus seedlings</dc:title>
  <dc:creator/>
</cp:coreProperties>
</file>