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E.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t xml:space="preserve">Running Head: Sink limitation and reduced seedling growth</w:t>
      </w:r>
    </w:p>
    <w:p>
      <w:pPr>
        <w:pStyle w:val="Heading1"/>
      </w:pPr>
      <w:bookmarkStart w:id="22" w:name="abstract"/>
      <w:bookmarkEnd w:id="22"/>
      <w:r>
        <w:t xml:space="preserve">Abstract</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(Free) seedlings. Container volume negatively affected aboveground growth throughout the experiment, and light saturated rates of leaf photosynthesis were consistently lower in seedlings in containers (-26 %) compared to Free seedlings. Significant reductions in photosynthetic capacity in containerized seedlings was related to both reduced leaf nitrogen content and starch accumulation, indicating direct effects of sink limitation on photosynthetic down regulation. After 120 days, harvested biomass of Free seedlings was on average 84 % higher than seedlings in containers, but biomass distribution in leaves, stems and roots was not different. However, the reduction in net leaf photosynthesis over the growth period was insufficient to explain the reduction in growth, so that we also observed an apparent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net photosynthesis must be balanced by C allocation to growth and storage and C losses such as respiration, root exudation, volatile organic compounds and tissue turnover. Plant growth is thus predicted as the outcome of the processes of photosynthesis, C allocation and C loss.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C allocation and C loss.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can become strongly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removal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can we identify the main physiological processes that best explain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nursery seed grown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capped at the bottom end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 Roots of Free seedlings were allowed to grow unrestricted below the root exclusion border.</w:t>
      </w:r>
    </w:p>
    <w:p>
      <w:pPr>
        <w:pStyle w:val="BodyText"/>
      </w:pPr>
      <w:r>
        <w:br w:type="textWrapping"/>
      </w:r>
      <w:r>
        <w:t xml:space="preserve">Plants were watered weekly or when needed to maintain soil moisture at field capacity (13-15 %). Drain systems were built into each container to prevent pooling of water before root expansion, from reduced root uptake, or from large rainfall events.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w:t>
      </w:r>
      <w:r>
        <w:t xml:space="preserve"> </w:t>
      </w:r>
      <w:r>
        <w:t xml:space="preserve">A compartment in the bottom of each container, containing gravel covered by root exclusion mesh, was used to collect excess water. For small containers (5, 10, and 15 l) a simple bottom plug was used to drain excess water from the compartment. For larger containers, plastic tubing (6 mm diameter) was inset into the gravel layer and extended through the top of the container and a lysimeter pump was then used to suction excess water, through the tubing, as needed.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t>μ</m:t>
        </m:r>
      </m:oMath>
      <w:r>
        <w:t xml:space="preserve">l l</w:t>
      </w:r>
      <w:r>
        <w:rPr>
          <w:vertAlign w:val="superscript"/>
        </w:rPr>
        <w:t xml:space="preserve">-1</w:t>
      </w:r>
      <w:r>
        <w:t xml:space="preserve"> </w:t>
      </w:r>
      <w:r>
        <w:t xml:space="preserve">and PPFD of 1800</w:t>
      </w:r>
      <w:r>
        <w:t xml:space="preserve"> </w:t>
      </w:r>
      <m:oMath>
        <m: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t>μ</m:t>
        </m:r>
      </m:oMath>
      <w:r>
        <w:t xml:space="preserve">l</w:t>
      </w:r>
      <w:r>
        <w:rPr>
          <w:vertAlign w:val="superscript"/>
        </w:rPr>
        <w:t xml:space="preserve">-1</w:t>
      </w:r>
      <w:r>
        <w:t xml:space="preserve"> </w:t>
      </w:r>
      <w:r>
        <w:t xml:space="preserve">at 25 °C at saturating light. From these curves, the maximum rate of Rubisco carboxylation (</w:t>
      </w:r>
      <w:r>
        <w:rPr>
          <w:i/>
        </w:rPr>
        <w:t xml:space="preserve">V</w:t>
      </w:r>
      <w:r>
        <w:rPr>
          <w:vertAlign w:val="subscript"/>
        </w:rPr>
        <w:t xml:space="preserve">cmax</w:t>
      </w:r>
      <w:r>
        <w:t xml:space="preserve">) and the maximum rate of electron transport for RuBP regeneration under saturating light (</w:t>
      </w:r>
      <w:r>
        <w:rPr>
          <w:i/>
        </w:rPr>
        <w:t xml:space="preserve">J</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t>μ</m:t>
        </m:r>
      </m:oMath>
      <w:r>
        <w:t xml:space="preserve">l l</w:t>
      </w:r>
      <w:r>
        <w:rPr>
          <w:vertAlign w:val="superscript"/>
        </w:rPr>
        <w:t xml:space="preserve">-1</w:t>
      </w:r>
      <w:r>
        <w:t xml:space="preserve"> </w:t>
      </w:r>
      <w:r>
        <w:t xml:space="preserve">while leaf temperature was maintained at current ambient conditions (11.5-13.4 °C).</w:t>
      </w:r>
      <w:r>
        <w:t xml:space="preserve"> </w:t>
      </w:r>
      <w:r>
        <w:rPr>
          <w:i/>
        </w:rPr>
        <w:t xml:space="preserve">R</w:t>
      </w:r>
      <w:r>
        <w:t xml:space="preserve"> </w:t>
      </w:r>
      <w:r>
        <w:t xml:space="preserve">was logged 5 times for each leaf after CO</w:t>
      </w:r>
      <w:r>
        <w:rPr>
          <w:vertAlign w:val="subscript"/>
        </w:rPr>
        <w:t xml:space="preserve">2</w:t>
      </w:r>
      <w:r>
        <w:t xml:space="preserve"> </w:t>
      </w:r>
      <w:r>
        <w:t xml:space="preserve">and water vapour flux values stabilized in the conifer chamber.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t>Ψ</m:t>
        </m:r>
      </m:oMath>
      <w:r>
        <w:rPr>
          <w:vertAlign w:val="subscript"/>
        </w:rPr>
        <w:t xml:space="preserve">pd</w:t>
      </w:r>
      <w:r>
        <w:t xml:space="preserve">) and midday (</w:t>
      </w:r>
      <m:oMath>
        <m: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t>Ψ</m:t>
        </m:r>
      </m:oMath>
      <w:r>
        <w:rPr>
          <w:vertAlign w:val="subscript"/>
        </w:rPr>
        <w:t xml:space="preserve">pd</w:t>
      </w:r>
      <w:r>
        <w:t xml:space="preserve"> </w:t>
      </w:r>
      <w:r>
        <w:t xml:space="preserve">was measured before sunrise and</w:t>
      </w:r>
      <w:r>
        <w:t xml:space="preserve"> </w:t>
      </w:r>
      <m:oMath>
        <m: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Each leaf used in gas exchange measurements and subsamples of harvested roots were oven dried at 60 °C to a constant mass and ball milled for analysis of nitrogen (N) content,</w:t>
      </w:r>
      <w:r>
        <w:t xml:space="preserve"> </w:t>
      </w:r>
      <m:oMath>
        <m:r>
          <m:t>δ</m:t>
        </m:r>
      </m:oMath>
      <w:r>
        <w:rPr>
          <w:vertAlign w:val="superscript"/>
        </w:rPr>
        <w:t xml:space="preserve">13</w:t>
      </w:r>
      <w:r>
        <w:t xml:space="preserve">C, and total non-structural carbohydrates (TNC). Pre-planting soil samples (n=6) and subsamples of soil from each container following harvest were passed through a 1 mm sieve to remove organic material, air dried at 40 °C for 72 h and ball milled for analysis of N. Nitrogen concentrations of leaf and soil samples were determined using a Carlo Erba CE1110 elemental analyzer and the percentage of N in samples was calculated by comparison with certified standards. Leaf</w:t>
      </w:r>
      <w:r>
        <w:t xml:space="preserve"> </w:t>
      </w:r>
      <m:oMath>
        <m: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Exact methods of the TNC assay used in this study are fully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total net C gain of seedlings (</w:t>
      </w:r>
      <w:r>
        <w:rPr>
          <w:i/>
        </w:rPr>
        <w:t xml:space="preserve">G</w:t>
      </w:r>
      <w:r>
        <w:t xml:space="preserve">), is given by</w:t>
      </w:r>
    </w:p>
    <w:p>
      <w:pPr>
        <w:pStyle w:val="BodyText"/>
      </w:pPr>
      <w:r>
        <w:br w:type="textWrapping"/>
      </w:r>
      <w:r>
        <w:t xml:space="preserve">(1)</w:t>
      </w:r>
    </w:p>
    <w:p>
      <w:pPr>
        <w:pStyle w:val="BodyText"/>
      </w:pPr>
      <m:oMathPara>
        <m:oMathParaPr>
          <m:jc m:val="center"/>
        </m:oMathParaPr>
        <m:oMath>
          <m:r>
            <m:t>G</m:t>
          </m:r>
          <m:r>
            <m:t>(</m:t>
          </m:r>
          <m:r>
            <m:t>t</m:t>
          </m:r>
          <m:r>
            <m:t>)</m:t>
          </m:r>
          <m:r>
            <m:t>=</m:t>
          </m:r>
          <m:r>
            <m:t>σ</m:t>
          </m:r>
          <m:r>
            <m:t>L</m:t>
          </m:r>
          <m:sSub>
            <m:e>
              <m:r>
                <m:t>P</m:t>
              </m:r>
            </m:e>
            <m:sub>
              <m:r>
                <m:t>d</m:t>
              </m:r>
              <m:r>
                <m:t>a</m:t>
              </m:r>
              <m:r>
                <m:t>y</m:t>
              </m:r>
            </m:sub>
          </m:sSub>
        </m:oMath>
      </m:oMathPara>
    </w:p>
    <w:p>
      <w:pPr>
        <w:pStyle w:val="FirstParagraph"/>
      </w:pPr>
      <w:r>
        <w:t xml:space="preserve">where</w:t>
      </w:r>
      <w:r>
        <w:t xml:space="preserve"> </w:t>
      </w:r>
      <m:oMath>
        <m:r>
          <m:t>σ</m:t>
        </m:r>
      </m:oMath>
      <w:r>
        <w:t xml:space="preserve"> </w:t>
      </w:r>
      <w:r>
        <w:t xml:space="preserve">is a self-shading parameter,</w:t>
      </w:r>
      <w:r>
        <w:t xml:space="preserve"> </w:t>
      </w:r>
      <w:r>
        <w:rPr>
          <w:i/>
        </w:rPr>
        <w:t xml:space="preserve">L</w:t>
      </w:r>
      <w:r>
        <w:t xml:space="preserve"> </w:t>
      </w:r>
      <w:r>
        <w:t xml:space="preserve">is modelled total plant leaf area (m</w:t>
      </w:r>
      <w:r>
        <w:rPr>
          <w:vertAlign w:val="superscript"/>
        </w:rPr>
        <w:t xml:space="preserve">2</w:t>
      </w:r>
      <w:r>
        <w:t xml:space="preserve">), and</w:t>
      </w:r>
      <w:r>
        <w:t xml:space="preserve"> </w:t>
      </w:r>
      <w:r>
        <w:rPr>
          <w:i/>
        </w:rPr>
        <w:t xml:space="preserve">P</w:t>
      </w:r>
      <w:r>
        <w:rPr>
          <w:vertAlign w:val="subscript"/>
        </w:rPr>
        <w:t xml:space="preserve">day</w:t>
      </w:r>
      <w:r>
        <w:t xml:space="preserve"> </w:t>
      </w:r>
      <w:r>
        <w:t xml:space="preserve">is the net daily C assimilation per unit leaf area (g C m^-2).</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g</w:t>
      </w:r>
      <w:r>
        <w:rPr>
          <w:vertAlign w:val="subscript"/>
        </w:rPr>
        <w:t xml:space="preserve">1</w:t>
      </w:r>
      <w:r>
        <w:t xml:space="preserve"> </w:t>
      </w:r>
      <w:r>
        <w:t xml:space="preserve">and</w:t>
      </w:r>
      <w:r>
        <w:t xml:space="preserve"> </w:t>
      </w:r>
      <w:r>
        <w:rPr>
          <w:i/>
        </w:rPr>
        <w:t xml:space="preserve">R</w:t>
      </w:r>
      <w:r>
        <w:rPr>
          <w:vertAlign w:val="subscript"/>
        </w:rPr>
        <w:t xml:space="preserve">dark</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w:t>
      </w:r>
      <w:r>
        <w:t xml:space="preserve"> </w:t>
      </w:r>
      <w:r>
        <w:rPr>
          <w:i/>
        </w:rPr>
        <w:t xml:space="preserve">R</w:t>
      </w:r>
      <w:r>
        <w:rPr>
          <w:vertAlign w:val="subscript"/>
        </w:rPr>
        <w:t xml:space="preserve">dark</w:t>
      </w:r>
      <w:r>
        <w:t xml:space="preserve"> </w:t>
      </w:r>
      <w:r>
        <w:t xml:space="preserve">was was estimated using Eq. (2) from</w:t>
      </w:r>
      <w:r>
        <w:t xml:space="preserve"> </w:t>
      </w:r>
      <w:r>
        <w:t xml:space="preserve">Atkin et al. (2005)</w:t>
      </w:r>
      <w:r>
        <w:t xml:space="preserve">, which was parameterized with a mean reference empircal measurement for each treatment, a Q</w:t>
      </w:r>
      <w:r>
        <w:rPr>
          <w:vertAlign w:val="subscript"/>
        </w:rPr>
        <w:t xml:space="preserve">10</w:t>
      </w:r>
      <w:r>
        <w:t xml:space="preserve"> </w:t>
      </w:r>
      <w:r>
        <w:t xml:space="preserve">value of 1.86 from a seperate experiment using the same tube stock seedlings, a reference air temperature and air temperatures at each time step.</w:t>
      </w:r>
    </w:p>
    <w:p>
      <w:pPr>
        <w:pStyle w:val="BodyText"/>
      </w:pPr>
      <w:r>
        <w:br w:type="textWrapping"/>
      </w:r>
      <w:r>
        <w:t xml:space="preserve">(2)</w:t>
      </w:r>
    </w:p>
    <w:p>
      <w:pPr>
        <w:pStyle w:val="BodyText"/>
      </w:pPr>
      <m:oMathPara>
        <m:oMathParaPr>
          <m:jc m:val="center"/>
        </m:oMathParaPr>
        <m:oMath>
          <m:r>
            <m:t>R</m:t>
          </m:r>
          <m:r>
            <m:t> </m:t>
          </m:r>
          <m:r>
            <m:t>d</m:t>
          </m:r>
          <m:r>
            <m:t>a</m:t>
          </m:r>
          <m:r>
            <m:t>r</m:t>
          </m:r>
          <m:r>
            <m:t>k</m:t>
          </m:r>
          <m:r>
            <m:t> </m:t>
          </m:r>
          <m:r>
            <m:t>=</m:t>
          </m:r>
          <m:sSub>
            <m:e>
              <m:r>
                <m:t>R</m:t>
              </m:r>
            </m:e>
            <m:sub>
              <m:r>
                <m:t>r</m:t>
              </m:r>
              <m:r>
                <m:t>e</m:t>
              </m:r>
              <m:r>
                <m:t>f</m:t>
              </m:r>
            </m:sub>
          </m:sSub>
          <m:sSub>
            <m:e>
              <m:r>
                <m:t>Q</m:t>
              </m:r>
            </m:e>
            <m:sub>
              <m:r>
                <m:t>10</m:t>
              </m:r>
            </m:sub>
          </m:sSub>
          <m:sSup>
            <m:e>
              <m:r>
                <m:t> </m:t>
              </m:r>
            </m:e>
            <m:sup>
              <m:r>
                <m:t>(</m:t>
              </m:r>
              <m:r>
                <m:t>T</m:t>
              </m:r>
              <m:r>
                <m:t>−</m:t>
              </m:r>
              <m:sSub>
                <m:e>
                  <m:r>
                    <m:t>T</m:t>
                  </m:r>
                </m:e>
                <m:sub>
                  <m:r>
                    <m:t>r</m:t>
                  </m:r>
                  <m:r>
                    <m:t>e</m:t>
                  </m:r>
                  <m:r>
                    <m:t>f</m:t>
                  </m:r>
                </m:sub>
              </m:sSub>
              <m:r>
                <m:t>)</m:t>
              </m:r>
              <m:r>
                <m:t>/</m:t>
              </m:r>
              <m:r>
                <m:t>10</m:t>
              </m:r>
            </m:sup>
          </m:sSup>
        </m:oMath>
      </m:oMathPara>
    </w:p>
    <w:p>
      <w:pPr>
        <w:pStyle w:val="FirstParagraph"/>
      </w:pPr>
      <w:r>
        <w:t xml:space="preserve">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t>σ</m:t>
        </m:r>
      </m:oMath>
      <w:r>
        <w:t xml:space="preserve"> </w:t>
      </w:r>
      <w:r>
        <w:t xml:space="preserve">for each of the 61 digitized seedlings, independently for each of the seven soil volume treatments. Next, the linear relationship between</w:t>
      </w:r>
      <w:r>
        <w:t xml:space="preserve"> </w:t>
      </w:r>
      <m:oMath>
        <m:r>
          <m:t>σ</m:t>
        </m:r>
      </m:oMath>
      <w:r>
        <w:t xml:space="preserve"> </w:t>
      </w:r>
      <w:r>
        <w:t xml:space="preserve">and total leaf area was determined across digitized seedlings, within each treatment. For the growth model,</w:t>
      </w:r>
      <w:r>
        <w:t xml:space="preserve"> </w:t>
      </w:r>
      <m:oMath>
        <m: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from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Total seedling leaf area at harvest was significantly different between container treatments and Free seedlings (</w:t>
      </w:r>
      <w:r>
        <w:rPr>
          <w:i/>
        </w:rPr>
        <w:t xml:space="preserve">P</w:t>
      </w:r>
      <w:r>
        <w:t xml:space="preserve"> </w:t>
      </w:r>
      <w:r>
        <w:t xml:space="preserve">&lt; 0.001, Table 1). On average, both harvested biomass and total leaf area of Free seedlings was &gt;80 %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accounted for in the analysis (Figure 3a,b). The final harvest root:shoot biomass ratio was conserved across all treatments, with a slightly higher shoot than root mass (</w:t>
      </w:r>
      <m:oMath>
        <m:bar>
          <m:barPr>
            <m:pos m:val="top"/>
          </m:barPr>
          <m:e>
            <m:r>
              <m:t>x</m:t>
            </m:r>
          </m:e>
        </m:bar>
      </m:oMath>
      <w:r>
        <w:t xml:space="preserve"> </w:t>
      </w:r>
      <w:r>
        <w:t xml:space="preserve">= 0.90, 95 % CI = [0.85,1.12]).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1,</w:t>
      </w:r>
      <w:r>
        <w:t xml:space="preserve"> </w:t>
      </w:r>
      <w:r>
        <w:rPr>
          <w:i/>
        </w:rPr>
        <w:t xml:space="preserve">P</w:t>
      </w:r>
      <w:r>
        <w:t xml:space="preserve"> </w:t>
      </w:r>
      <w:r>
        <w:t xml:space="preserve">= 0.009). Fine root length density was significantly higher in the two smallest container sizes and was the lowest in the largest container size (Table 1,</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2,</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2).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t>
      </w:r>
      <w:r>
        <w:rPr>
          <w:i/>
        </w:rPr>
        <w:t xml:space="preserve">A</w:t>
      </w:r>
      <w:r>
        <w:rPr>
          <w:vertAlign w:val="subscript"/>
        </w:rPr>
        <w:t xml:space="preserve">mass</w:t>
      </w:r>
      <w:r>
        <w:t xml:space="preserve">) was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mass</w:t>
      </w:r>
      <w:r>
        <w:t xml:space="preserve"> </w:t>
      </w:r>
      <w:r>
        <w:t xml:space="preserve">to either leaf N</w:t>
      </w:r>
      <w:r>
        <w:rPr>
          <w:vertAlign w:val="subscript"/>
        </w:rPr>
        <w:t xml:space="preserve">f</w:t>
      </w:r>
      <w:r>
        <w:t xml:space="preserve"> </w:t>
      </w:r>
      <w:r>
        <w:t xml:space="preserve">or leaf starch at multiple bin levels (n=5) of the co-variate parameter (Figure 4). Across all measurement campaigns and treatments</w:t>
      </w:r>
      <w:r>
        <w:t xml:space="preserve"> </w:t>
      </w:r>
      <w:r>
        <w:rPr>
          <w:i/>
        </w:rPr>
        <w:t xml:space="preserve">A</w:t>
      </w:r>
      <w:r>
        <w:rPr>
          <w:vertAlign w:val="subscript"/>
        </w:rPr>
        <w:t xml:space="preserve">mass</w:t>
      </w:r>
      <w:r>
        <w:t xml:space="preserve"> </w:t>
      </w:r>
      <w:r>
        <w:t xml:space="preserve">was higher when leaf N</w:t>
      </w:r>
      <w:r>
        <w:rPr>
          <w:vertAlign w:val="subscript"/>
        </w:rPr>
        <w:t xml:space="preserve">f</w:t>
      </w:r>
      <w:r>
        <w:t xml:space="preserve"> </w:t>
      </w:r>
      <w:r>
        <w:t xml:space="preserve">was also higher, usually associated with low levels of leaf starch (Figure 4a).</w:t>
      </w:r>
      <w:r>
        <w:t xml:space="preserve"> </w:t>
      </w:r>
      <w:r>
        <w:rPr>
          <w:i/>
        </w:rPr>
        <w:t xml:space="preserve">A</w:t>
      </w:r>
      <w:r>
        <w:rPr>
          <w:vertAlign w:val="subscript"/>
        </w:rPr>
        <w:t xml:space="preserve">mass</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4b).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t>Ψ</m:t>
        </m:r>
      </m:oMath>
      <w:r>
        <w:rPr>
          <w:vertAlign w:val="subscript"/>
        </w:rPr>
        <w:t xml:space="preserve">pd</w:t>
      </w:r>
      <w:r>
        <w:t xml:space="preserve"> </w:t>
      </w:r>
      <w:r>
        <w:t xml:space="preserve">nor</w:t>
      </w:r>
      <w:r>
        <w:t xml:space="preserve"> </w:t>
      </w:r>
      <m:oMath>
        <m: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t>δ</m:t>
        </m:r>
      </m:oMath>
      <w:r>
        <w:rPr>
          <w:vertAlign w:val="superscript"/>
        </w:rPr>
        <w:t xml:space="preserve">13</w:t>
      </w:r>
      <w:r>
        <w:t xml:space="preserve">C at final harvest was not different across treatments (Table 2).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three-fold across containers sizes (Table 1).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estimated CUE of containerized seedlings was lower than the Free seedling control (Figure 5).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sat</w:t>
      </w:r>
      <w:r>
        <w:t xml:space="preserve"> </w:t>
      </w:r>
      <w:r>
        <w:t xml:space="preserve">was also reduced, but this reduction was insufficient to fully explain the reduction in growth, implying that components such as non-leaf respiratory losses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sat</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t>Ψ</m:t>
        </m:r>
      </m:oMath>
      <w:r>
        <w:rPr>
          <w:vertAlign w:val="subscript"/>
        </w:rPr>
        <w:t xml:space="preserve">pd</w:t>
      </w:r>
      <w:r>
        <w:t xml:space="preserve">), and consistent leaf</w:t>
      </w:r>
      <w:r>
        <w:t xml:space="preserve"> </w:t>
      </w:r>
      <m:oMath>
        <m: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sat</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 leaf photosynthesis 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at</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mass</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Overall, root N in Free seedlings was ~15 % higher than containerized seedlings at the end of the experiment. Unrestricted mycorrhizal recruitment could have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sat</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mass</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limitation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Although plants in containers have been shown to have different root morphology to field grown plants</w:t>
      </w:r>
      <w:r>
        <w:t xml:space="preserve"> </w:t>
      </w:r>
      <w:r>
        <w:t xml:space="preserve">(NeSmith and Duval 1998)</w:t>
      </w:r>
      <w:r>
        <w:t xml:space="preserve">, increases in specific root length were detected in only one of the the soil volume treatments.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estimated whole-plant C use efficiency was decreased in containerized seedlings,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suggests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at the whole plant level to growth, respiration, exudation and C storage.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unique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tables"/>
      <w:bookmarkEnd w:id="44"/>
      <w:r>
        <w:t xml:space="preserve">Tables</w:t>
      </w:r>
    </w:p>
    <w:p>
      <w:pPr>
        <w:pStyle w:val="FirstParagraph"/>
      </w:pPr>
      <w:r>
        <w:rPr>
          <w:b/>
        </w:rPr>
        <w:t xml:space="preserve">Table 1</w:t>
      </w:r>
      <w:r>
        <w:t xml:space="preserve">. Responses of plant characteristics of</w:t>
      </w:r>
      <w:r>
        <w:t xml:space="preserve"> </w:t>
      </w:r>
      <w:r>
        <w:rPr>
          <w:i/>
        </w:rPr>
        <w:t xml:space="preserve">Eucalyptus tereticornis</w:t>
      </w:r>
      <w:r>
        <w:t xml:space="preserve"> </w:t>
      </w:r>
      <w:r>
        <w:t xml:space="preserve">seedlings to soil volume treatments, including modelled cumulative net leaf carbon gain. Empirical values reflect the mean (± 1 standard error) for each treatment. Seedling mass, leaf area, SRL, and fine root length density (FRLD)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Values for FRLD were only calculated for seedlings in containers as Free seedlings had potentially unlimited soil volume to exploit. For empirical values,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 except for FRLD which represents only differences between seedlings in containers.</w:t>
      </w:r>
    </w:p>
    <w:tbl>
      <w:tblPr>
        <w:tblStyle w:val="TableNormal"/>
        <w:tblW w:type="pct" w:w="5000.0"/>
        <w:tblLook w:firstRow="1"/>
      </w:tblPr>
      <w:tblGrid>
        <w:gridCol w:w="1222"/>
        <w:gridCol w:w="1124"/>
        <w:gridCol w:w="1075"/>
        <w:gridCol w:w="1271"/>
        <w:gridCol w:w="928"/>
        <w:gridCol w:w="1026"/>
        <w:gridCol w:w="1271"/>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Leaf area (m</w:t>
            </w:r>
            <w:r>
              <w:rPr>
                <w:vertAlign w:val="superscript"/>
                <w:b/>
              </w:rPr>
              <w:t xml:space="preserve">2</w:t>
            </w:r>
            <w:r>
              <w:rPr>
                <w:b/>
              </w:rPr>
              <w:t xml:space="preserve">)</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c>
          <w:tcPr>
            <w:tcBorders>
              <w:bottom w:val="single"/>
            </w:tcBorders>
            <w:vAlign w:val="bottom"/>
          </w:tcPr>
          <w:p>
            <w:pPr>
              <w:pStyle w:val="Compact"/>
              <w:jc w:val="right"/>
            </w:pPr>
            <w:r>
              <w:rPr>
                <w:b/>
              </w:rPr>
              <w:t xml:space="preserve">Total Net C Gain (g)</w:t>
            </w:r>
          </w:p>
        </w:tc>
      </w:tr>
      <w:tr>
        <w:tc>
          <w:p>
            <w:pPr>
              <w:pStyle w:val="Compact"/>
              <w:jc w:val="left"/>
            </w:pPr>
            <w:r>
              <w:t xml:space="preserve">5</w:t>
            </w:r>
          </w:p>
        </w:tc>
        <w:tc>
          <w:p>
            <w:pPr>
              <w:pStyle w:val="Compact"/>
              <w:jc w:val="left"/>
            </w:pPr>
            <w:r>
              <w:t xml:space="preserve">14.8 (1.82) a</w:t>
            </w:r>
          </w:p>
        </w:tc>
        <w:tc>
          <w:p>
            <w:pPr>
              <w:pStyle w:val="Compact"/>
              <w:jc w:val="left"/>
            </w:pPr>
            <w:r>
              <w:t xml:space="preserve">0.02 (0.004) a</w:t>
            </w:r>
          </w:p>
        </w:tc>
        <w:tc>
          <w:p>
            <w:pPr>
              <w:pStyle w:val="Compact"/>
              <w:jc w:val="left"/>
            </w:pPr>
            <w:r>
              <w:t xml:space="preserve">11.8 (0.32) a</w:t>
            </w:r>
          </w:p>
        </w:tc>
        <w:tc>
          <w:p>
            <w:pPr>
              <w:pStyle w:val="Compact"/>
              <w:jc w:val="left"/>
            </w:pPr>
            <w:r>
              <w:t xml:space="preserve">73.0 (6.73) ab</w:t>
            </w:r>
          </w:p>
        </w:tc>
        <w:tc>
          <w:p>
            <w:pPr>
              <w:pStyle w:val="Compact"/>
              <w:jc w:val="left"/>
            </w:pPr>
            <w:r>
              <w:t xml:space="preserve">36.4 (5.68) bc</w:t>
            </w:r>
          </w:p>
        </w:tc>
        <w:tc>
          <w:p>
            <w:pPr>
              <w:pStyle w:val="Compact"/>
              <w:jc w:val="right"/>
            </w:pPr>
            <w:r>
              <w:t xml:space="preserve">23.1</w:t>
            </w:r>
          </w:p>
        </w:tc>
      </w:tr>
      <w:tr>
        <w:tc>
          <w:p>
            <w:pPr>
              <w:pStyle w:val="Compact"/>
              <w:jc w:val="left"/>
            </w:pPr>
            <w:r>
              <w:t xml:space="preserve">10</w:t>
            </w:r>
          </w:p>
        </w:tc>
        <w:tc>
          <w:p>
            <w:pPr>
              <w:pStyle w:val="Compact"/>
              <w:jc w:val="left"/>
            </w:pPr>
            <w:r>
              <w:t xml:space="preserve">20.0 (2.38) ab</w:t>
            </w:r>
          </w:p>
        </w:tc>
        <w:tc>
          <w:p>
            <w:pPr>
              <w:pStyle w:val="Compact"/>
              <w:jc w:val="left"/>
            </w:pPr>
            <w:r>
              <w:t xml:space="preserve">0.03 (0.003) a</w:t>
            </w:r>
          </w:p>
        </w:tc>
        <w:tc>
          <w:p>
            <w:pPr>
              <w:pStyle w:val="Compact"/>
              <w:jc w:val="left"/>
            </w:pPr>
            <w:r>
              <w:t xml:space="preserve">11.7 (0.31) a</w:t>
            </w:r>
          </w:p>
        </w:tc>
        <w:tc>
          <w:p>
            <w:pPr>
              <w:pStyle w:val="Compact"/>
              <w:jc w:val="left"/>
            </w:pPr>
            <w:r>
              <w:t xml:space="preserve">99.6 (8.70) b</w:t>
            </w:r>
          </w:p>
        </w:tc>
        <w:tc>
          <w:p>
            <w:pPr>
              <w:pStyle w:val="Compact"/>
              <w:jc w:val="left"/>
            </w:pPr>
            <w:r>
              <w:t xml:space="preserve">45.9 (8.68) c</w:t>
            </w:r>
          </w:p>
        </w:tc>
        <w:tc>
          <w:p>
            <w:pPr>
              <w:pStyle w:val="Compact"/>
              <w:jc w:val="right"/>
            </w:pPr>
            <w:r>
              <w:t xml:space="preserve">28.8</w:t>
            </w:r>
          </w:p>
        </w:tc>
      </w:tr>
      <w:tr>
        <w:tc>
          <w:p>
            <w:pPr>
              <w:pStyle w:val="Compact"/>
              <w:jc w:val="left"/>
            </w:pPr>
            <w:r>
              <w:t xml:space="preserve">15</w:t>
            </w:r>
          </w:p>
        </w:tc>
        <w:tc>
          <w:p>
            <w:pPr>
              <w:pStyle w:val="Compact"/>
              <w:jc w:val="left"/>
            </w:pPr>
            <w:r>
              <w:t xml:space="preserve">25.4 (2.49) ab</w:t>
            </w:r>
          </w:p>
        </w:tc>
        <w:tc>
          <w:p>
            <w:pPr>
              <w:pStyle w:val="Compact"/>
              <w:jc w:val="left"/>
            </w:pPr>
            <w:r>
              <w:t xml:space="preserve">0.05 (0.006) a</w:t>
            </w:r>
          </w:p>
        </w:tc>
        <w:tc>
          <w:p>
            <w:pPr>
              <w:pStyle w:val="Compact"/>
              <w:jc w:val="left"/>
            </w:pPr>
            <w:r>
              <w:t xml:space="preserve">12.7 (0.48) a</w:t>
            </w:r>
          </w:p>
        </w:tc>
        <w:tc>
          <w:p>
            <w:pPr>
              <w:pStyle w:val="Compact"/>
              <w:jc w:val="left"/>
            </w:pPr>
            <w:r>
              <w:t xml:space="preserve">74.6 (6.98) ab</w:t>
            </w:r>
          </w:p>
        </w:tc>
        <w:tc>
          <w:p>
            <w:pPr>
              <w:pStyle w:val="Compact"/>
              <w:jc w:val="left"/>
            </w:pPr>
            <w:r>
              <w:t xml:space="preserve">20.9 (1.51) ab</w:t>
            </w:r>
          </w:p>
        </w:tc>
        <w:tc>
          <w:p>
            <w:pPr>
              <w:pStyle w:val="Compact"/>
              <w:jc w:val="right"/>
            </w:pPr>
            <w:r>
              <w:t xml:space="preserve">43.2</w:t>
            </w:r>
          </w:p>
        </w:tc>
      </w:tr>
      <w:tr>
        <w:tc>
          <w:p>
            <w:pPr>
              <w:pStyle w:val="Compact"/>
              <w:jc w:val="left"/>
            </w:pPr>
            <w:r>
              <w:t xml:space="preserve">20</w:t>
            </w:r>
          </w:p>
        </w:tc>
        <w:tc>
          <w:p>
            <w:pPr>
              <w:pStyle w:val="Compact"/>
              <w:jc w:val="left"/>
            </w:pPr>
            <w:r>
              <w:t xml:space="preserve">23.4 (1.63) ab</w:t>
            </w:r>
          </w:p>
        </w:tc>
        <w:tc>
          <w:p>
            <w:pPr>
              <w:pStyle w:val="Compact"/>
              <w:jc w:val="left"/>
            </w:pPr>
            <w:r>
              <w:t xml:space="preserve">0.04 (0.004) a</w:t>
            </w:r>
          </w:p>
        </w:tc>
        <w:tc>
          <w:p>
            <w:pPr>
              <w:pStyle w:val="Compact"/>
              <w:jc w:val="left"/>
            </w:pPr>
            <w:r>
              <w:t xml:space="preserve">11.8 (0.37) a</w:t>
            </w:r>
          </w:p>
        </w:tc>
        <w:tc>
          <w:p>
            <w:pPr>
              <w:pStyle w:val="Compact"/>
              <w:jc w:val="left"/>
            </w:pPr>
            <w:r>
              <w:t xml:space="preserve">85.8 (7.37) ab</w:t>
            </w:r>
          </w:p>
        </w:tc>
        <w:tc>
          <w:p>
            <w:pPr>
              <w:pStyle w:val="Compact"/>
              <w:jc w:val="left"/>
            </w:pPr>
            <w:r>
              <w:t xml:space="preserve">23.0 (3.09) ab</w:t>
            </w:r>
          </w:p>
        </w:tc>
        <w:tc>
          <w:p>
            <w:pPr>
              <w:pStyle w:val="Compact"/>
              <w:jc w:val="right"/>
            </w:pPr>
            <w:r>
              <w:t xml:space="preserve">34.8</w:t>
            </w:r>
          </w:p>
        </w:tc>
      </w:tr>
      <w:tr>
        <w:tc>
          <w:p>
            <w:pPr>
              <w:pStyle w:val="Compact"/>
              <w:jc w:val="left"/>
            </w:pPr>
            <w:r>
              <w:t xml:space="preserve">25</w:t>
            </w:r>
          </w:p>
        </w:tc>
        <w:tc>
          <w:p>
            <w:pPr>
              <w:pStyle w:val="Compact"/>
              <w:jc w:val="left"/>
            </w:pPr>
            <w:r>
              <w:t xml:space="preserve">30.4 (5.49) ab</w:t>
            </w:r>
          </w:p>
        </w:tc>
        <w:tc>
          <w:p>
            <w:pPr>
              <w:pStyle w:val="Compact"/>
              <w:jc w:val="left"/>
            </w:pPr>
            <w:r>
              <w:t xml:space="preserve">0.06 (0.010) a</w:t>
            </w:r>
          </w:p>
        </w:tc>
        <w:tc>
          <w:p>
            <w:pPr>
              <w:pStyle w:val="Compact"/>
              <w:jc w:val="left"/>
            </w:pPr>
            <w:r>
              <w:t xml:space="preserve">12.4 (0.40) a</w:t>
            </w:r>
          </w:p>
        </w:tc>
        <w:tc>
          <w:p>
            <w:pPr>
              <w:pStyle w:val="Compact"/>
              <w:jc w:val="left"/>
            </w:pPr>
            <w:r>
              <w:t xml:space="preserve">82.5 (15.02) ab</w:t>
            </w:r>
          </w:p>
        </w:tc>
        <w:tc>
          <w:p>
            <w:pPr>
              <w:pStyle w:val="Compact"/>
              <w:jc w:val="left"/>
            </w:pPr>
            <w:r>
              <w:t xml:space="preserve">24.7 (7.58) ab</w:t>
            </w:r>
          </w:p>
        </w:tc>
        <w:tc>
          <w:p>
            <w:pPr>
              <w:pStyle w:val="Compact"/>
              <w:jc w:val="right"/>
            </w:pPr>
            <w:r>
              <w:t xml:space="preserve">46.2</w:t>
            </w:r>
          </w:p>
        </w:tc>
      </w:tr>
      <w:tr>
        <w:tc>
          <w:p>
            <w:pPr>
              <w:pStyle w:val="Compact"/>
              <w:jc w:val="left"/>
            </w:pPr>
            <w:r>
              <w:t xml:space="preserve">35</w:t>
            </w:r>
          </w:p>
        </w:tc>
        <w:tc>
          <w:p>
            <w:pPr>
              <w:pStyle w:val="Compact"/>
              <w:jc w:val="left"/>
            </w:pPr>
            <w:r>
              <w:t xml:space="preserve">52.2 (9.55) b</w:t>
            </w:r>
          </w:p>
        </w:tc>
        <w:tc>
          <w:p>
            <w:pPr>
              <w:pStyle w:val="Compact"/>
              <w:jc w:val="left"/>
            </w:pPr>
            <w:r>
              <w:t xml:space="preserve">0.11 (0.024) a</w:t>
            </w:r>
          </w:p>
        </w:tc>
        <w:tc>
          <w:p>
            <w:pPr>
              <w:pStyle w:val="Compact"/>
              <w:jc w:val="left"/>
            </w:pPr>
            <w:r>
              <w:t xml:space="preserve">13.5 (0.46) ab</w:t>
            </w:r>
          </w:p>
        </w:tc>
        <w:tc>
          <w:p>
            <w:pPr>
              <w:pStyle w:val="Compact"/>
              <w:jc w:val="left"/>
            </w:pPr>
            <w:r>
              <w:t xml:space="preserve">63.1 (6.47) a</w:t>
            </w:r>
          </w:p>
        </w:tc>
        <w:tc>
          <w:p>
            <w:pPr>
              <w:pStyle w:val="Compact"/>
              <w:jc w:val="left"/>
            </w:pPr>
            <w:r>
              <w:t xml:space="preserve">13.3 (1.98) a</w:t>
            </w:r>
          </w:p>
        </w:tc>
        <w:tc>
          <w:p>
            <w:pPr>
              <w:pStyle w:val="Compact"/>
              <w:jc w:val="right"/>
            </w:pPr>
            <w:r>
              <w:t xml:space="preserve">79.9</w:t>
            </w:r>
          </w:p>
        </w:tc>
      </w:tr>
      <w:tr>
        <w:tc>
          <w:p>
            <w:pPr>
              <w:pStyle w:val="Compact"/>
              <w:jc w:val="left"/>
            </w:pPr>
            <w:r>
              <w:t xml:space="preserve">Free</w:t>
            </w:r>
          </w:p>
        </w:tc>
        <w:tc>
          <w:p>
            <w:pPr>
              <w:pStyle w:val="Compact"/>
              <w:jc w:val="left"/>
            </w:pPr>
            <w:r>
              <w:t xml:space="preserve">174.5 (18.02) c</w:t>
            </w:r>
          </w:p>
        </w:tc>
        <w:tc>
          <w:p>
            <w:pPr>
              <w:pStyle w:val="Compact"/>
              <w:jc w:val="left"/>
            </w:pPr>
            <w:r>
              <w:t xml:space="preserve">0.47 (0.055) b</w:t>
            </w:r>
          </w:p>
        </w:tc>
        <w:tc>
          <w:p>
            <w:pPr>
              <w:pStyle w:val="Compact"/>
              <w:jc w:val="left"/>
            </w:pPr>
            <w:r>
              <w:t xml:space="preserve">15.1 (0.47) b</w:t>
            </w:r>
          </w:p>
        </w:tc>
        <w:tc>
          <w:p>
            <w:pPr>
              <w:pStyle w:val="Compact"/>
              <w:jc w:val="left"/>
            </w:pPr>
            <w:r>
              <w:t xml:space="preserve">50.9 (5.00) a</w:t>
            </w:r>
          </w:p>
        </w:tc>
        <w:tc>
          <w:p>
            <w:pStyle w:val="Compact"/>
          </w:p>
        </w:tc>
        <w:tc>
          <w:p>
            <w:pPr>
              <w:pStyle w:val="Compact"/>
              <w:jc w:val="right"/>
            </w:pPr>
            <w:r>
              <w:t xml:space="preserve">213.6</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0.009</w:t>
            </w:r>
          </w:p>
        </w:tc>
        <w:tc>
          <w:p>
            <w:pPr>
              <w:pStyle w:val="Compact"/>
              <w:jc w:val="left"/>
            </w:pPr>
            <w:r>
              <w:t xml:space="preserve">0.001</w:t>
            </w:r>
          </w:p>
        </w:tc>
        <w:tc>
          <w:p>
            <w:pPr>
              <w:pStyle w:val="Compact"/>
              <w:jc w:val="right"/>
            </w:pPr>
            <w:r>
              <w:t xml:space="preserve">NA</w:t>
            </w:r>
          </w:p>
        </w:tc>
      </w:tr>
    </w:tbl>
    <w:p>
      <w:pPr>
        <w:pStyle w:val="BodyText"/>
      </w:pPr>
      <w:r>
        <w:br w:type="textWrapping"/>
      </w:r>
      <w:r>
        <w:rPr>
          <w:b/>
        </w:rPr>
        <w:t xml:space="preserve">Table 2</w:t>
      </w:r>
      <w:r>
        <w:t xml:space="preserve">. Responses of leaf and root chemistry of</w:t>
      </w:r>
      <w:r>
        <w:t xml:space="preserve"> </w:t>
      </w:r>
      <w:r>
        <w:rPr>
          <w:i/>
        </w:rPr>
        <w:t xml:space="preserve">Eucalyptus tereticornis</w:t>
      </w:r>
      <w:r>
        <w:t xml:space="preserve"> </w:t>
      </w:r>
      <w:r>
        <w:t xml:space="preserve">seedlings to soil volume treatments. Each value reflects the mean (± 1 standard error) for each treatment. Values of leaf starch, leaf sugars and leaf N</w:t>
      </w:r>
      <w:r>
        <w:rPr>
          <w:vertAlign w:val="subscript"/>
        </w:rPr>
        <w:t xml:space="preserve">f</w:t>
      </w:r>
      <w:r>
        <w:t xml:space="preserve"> </w:t>
      </w:r>
      <w:r>
        <w:t xml:space="preserve">represent overall means across measurement campaigns (n=6). Leaf</w:t>
      </w:r>
      <w:r>
        <w:t xml:space="preserve"> </w:t>
      </w:r>
      <m:oMath>
        <m:r>
          <m:t>δ</m:t>
        </m:r>
      </m:oMath>
      <w:r>
        <w:rPr>
          <w:vertAlign w:val="superscript"/>
        </w:rPr>
        <w:t xml:space="preserve">13</w:t>
      </w:r>
      <w:r>
        <w:t xml:space="preserve">C and root N values are from final harvest. Different letters represent significant differences between treatments. The volume effect P value represents the overall difference between seedlings with soil volume restriction and the control seedlings.</w:t>
      </w:r>
    </w:p>
    <w:tbl>
      <w:tblPr>
        <w:tblStyle w:val="TableNormal"/>
        <w:tblW w:type="pct" w:w="5000.000000000001"/>
        <w:tblLook w:firstRow="1"/>
      </w:tblPr>
      <w:tblGrid>
        <w:gridCol w:w="1523"/>
        <w:gridCol w:w="1279"/>
        <w:gridCol w:w="1279"/>
        <w:gridCol w:w="1157"/>
        <w:gridCol w:w="1705"/>
        <w:gridCol w:w="974"/>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t>δ</m:t>
              </m:r>
            </m:oMath>
            <w:r>
              <w:rPr>
                <w:vertAlign w:val="superscript"/>
                <w:b/>
              </w:rPr>
              <w:t xml:space="preserve">13</w:t>
            </w:r>
            <w:r>
              <w:rPr>
                <w:b/>
              </w:rPr>
              <w:t xml:space="preserve">C (‰)</w:t>
            </w:r>
          </w:p>
        </w:tc>
        <w:tc>
          <w:tcPr>
            <w:tcBorders>
              <w:bottom w:val="single"/>
            </w:tcBorders>
            <w:vAlign w:val="bottom"/>
          </w:tcPr>
          <w:p>
            <w:pPr>
              <w:pStyle w:val="Compact"/>
              <w:jc w:val="left"/>
            </w:pPr>
            <w:r>
              <w:rPr>
                <w:b/>
              </w:rPr>
              <w:t xml:space="preserve">Root N (%)</w:t>
            </w:r>
          </w:p>
        </w:tc>
      </w:tr>
      <w:tr>
        <w:tc>
          <w:p>
            <w:pPr>
              <w:pStyle w:val="Compact"/>
              <w:jc w:val="left"/>
            </w:pPr>
            <w:r>
              <w:t xml:space="preserve">5</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c>
          <w:p>
            <w:pPr>
              <w:pStyle w:val="Compact"/>
              <w:jc w:val="left"/>
            </w:pPr>
            <w:r>
              <w:t xml:space="preserve">0.78 (0.04) ab</w:t>
            </w:r>
          </w:p>
        </w:tc>
      </w:tr>
      <w:tr>
        <w:tc>
          <w:p>
            <w:pPr>
              <w:pStyle w:val="Compact"/>
              <w:jc w:val="left"/>
            </w:pPr>
            <w:r>
              <w:t xml:space="preserve">10</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c>
          <w:p>
            <w:pPr>
              <w:pStyle w:val="Compact"/>
              <w:jc w:val="left"/>
            </w:pPr>
            <w:r>
              <w:t xml:space="preserve">0.75 (0.02) a</w:t>
            </w:r>
          </w:p>
        </w:tc>
      </w:tr>
      <w:tr>
        <w:tc>
          <w:p>
            <w:pPr>
              <w:pStyle w:val="Compact"/>
              <w:jc w:val="left"/>
            </w:pPr>
            <w:r>
              <w:t xml:space="preserve">15</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c>
          <w:p>
            <w:pPr>
              <w:pStyle w:val="Compact"/>
              <w:jc w:val="left"/>
            </w:pPr>
            <w:r>
              <w:t xml:space="preserve">0.71 (0.02) a</w:t>
            </w:r>
          </w:p>
        </w:tc>
      </w:tr>
      <w:tr>
        <w:tc>
          <w:p>
            <w:pPr>
              <w:pStyle w:val="Compact"/>
              <w:jc w:val="left"/>
            </w:pPr>
            <w:r>
              <w:t xml:space="preserve">20</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c>
          <w:p>
            <w:pPr>
              <w:pStyle w:val="Compact"/>
              <w:jc w:val="left"/>
            </w:pPr>
            <w:r>
              <w:t xml:space="preserve">0.76 (0.04) a</w:t>
            </w:r>
          </w:p>
        </w:tc>
      </w:tr>
      <w:tr>
        <w:tc>
          <w:p>
            <w:pPr>
              <w:pStyle w:val="Compact"/>
              <w:jc w:val="left"/>
            </w:pPr>
            <w:r>
              <w:t xml:space="preserve">25</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c>
          <w:p>
            <w:pPr>
              <w:pStyle w:val="Compact"/>
              <w:jc w:val="left"/>
            </w:pPr>
            <w:r>
              <w:t xml:space="preserve">0.74 (0.02) a</w:t>
            </w:r>
          </w:p>
        </w:tc>
      </w:tr>
      <w:tr>
        <w:tc>
          <w:p>
            <w:pPr>
              <w:pStyle w:val="Compact"/>
              <w:jc w:val="left"/>
            </w:pPr>
            <w:r>
              <w:t xml:space="preserve">35</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c>
          <w:p>
            <w:pPr>
              <w:pStyle w:val="Compact"/>
              <w:jc w:val="left"/>
            </w:pPr>
            <w:r>
              <w:t xml:space="preserve">0.77 (0.03) ab</w:t>
            </w:r>
          </w:p>
        </w:tc>
      </w:tr>
      <w:tr>
        <w:tc>
          <w:p>
            <w:pPr>
              <w:pStyle w:val="Compact"/>
              <w:jc w:val="left"/>
            </w:pPr>
            <w:r>
              <w:t xml:space="preserve">Free</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c>
          <w:p>
            <w:pPr>
              <w:pStyle w:val="Compact"/>
              <w:jc w:val="left"/>
            </w:pPr>
            <w:r>
              <w:t xml:space="preserve">0.90 (0.03) b</w:t>
            </w:r>
          </w:p>
        </w:tc>
      </w:tr>
      <w:tr>
        <w:tc>
          <w:p>
            <w:pPr>
              <w:pStyle w:val="Compact"/>
              <w:jc w:val="left"/>
            </w:pPr>
            <w:r>
              <w:t xml:space="preserve">Volume Effect (P value)</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c>
          <w:p>
            <w:pPr>
              <w:pStyle w:val="Compact"/>
              <w:jc w:val="left"/>
            </w:pPr>
            <w:r>
              <w:t xml:space="preserve">0.017</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A</w:t>
      </w:r>
      <w:r>
        <w:rPr>
          <w:vertAlign w:val="subscript"/>
        </w:rPr>
        <w:t xml:space="preserve">sat</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770"/>
        <w:gridCol w:w="1140"/>
        <w:gridCol w:w="1140"/>
        <w:gridCol w:w="1171"/>
        <w:gridCol w:w="1140"/>
        <w:gridCol w:w="1171"/>
        <w:gridCol w:w="924"/>
        <w:gridCol w:w="462"/>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A</w:t>
            </w:r>
            <w:r>
              <w:rPr>
                <w:vertAlign w:val="subscript"/>
                <w:b/>
              </w:rPr>
              <w:t xml:space="preserve">sat</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14.0 (0.8)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15.4 (1.0)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16.9 (0.9) 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17.4 (0.5)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15.6 (0.5)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16.0 (0.6)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21.4 (0.3)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5" w:name="figures"/>
      <w:bookmarkEnd w:id="45"/>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rPr>
          <w:b/>
        </w:rPr>
        <w:t xml:space="preserve">Figure 4</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rPr>
          <w:b/>
        </w:rPr>
        <w:t xml:space="preserve">Figure 5</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6" w:name="references"/>
      <w:bookmarkEnd w:id="46"/>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Atkin OK, Bruhn D, Tjoelker MG (2005) Response of plant respiration to changes in temperature: Mechanisms and consequences of variations in q10 values and acclimation. In: Plant respiration. Springer, pp 95–135.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7">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McCleary BV, Gibson TS, Mugford DC (1997) Measurement of total starch in cereal products by amyloglucosidase-</w:t>
      </w:r>
      <m:oMath>
        <m: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8">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49">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1154F">
          <w:rPr>
            <w:noProof/>
          </w:rPr>
          <w:t>1</w:t>
        </w:r>
        <w:r>
          <w:rPr>
            <w:noProof/>
          </w:rPr>
          <w:fldChar w:fldCharType="end"/>
        </w:r>
      </w:p>
    </w:sdtContent>
  </w:sdt>
  <w:p w:rsidR="006710CF" w:rsidRDefault="00811F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6f612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No Spacing" w:uiPriority="1" w:qFormat="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F1154F"/>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F1154F"/>
    <w:rPr>
      <w:sz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8" Target="http://cran.r-project.org/package=nlme" TargetMode="External" /><Relationship Type="http://schemas.openxmlformats.org/officeDocument/2006/relationships/hyperlink" Id="rId49" Target="http://www.r-project.org" TargetMode="External" /><Relationship Type="http://schemas.openxmlformats.org/officeDocument/2006/relationships/hyperlink" Id="rId47"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dcterms:created xsi:type="dcterms:W3CDTF">2017-02-07T04:42:46Z</dcterms:created>
  <dcterms:modified xsi:type="dcterms:W3CDTF">2017-02-07T04:42:46Z</dcterms:modified>
</cp:coreProperties>
</file>