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9.png" ContentType="image/png"/>
  <Override PartName="/word/media/rId47.png" ContentType="image/png"/>
  <Override PartName="/word/media/rId48.png" ContentType="image/png"/>
  <Override PartName="/word/media/rId46.png" ContentType="image/png"/>
  <Override PartName="/word/media/rId5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allocation to growth and storage and C losses including respiration, root exudation, volatile organic compounds and tissue turnover. Plant growth is thus predicted as the outcome of the processes of photosynthesis, C allocation and C loss.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C allocation and C loss.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 (11.5-13.4 °C).</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 °C to a constant mass and ball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 °C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total net C gain of seedlings (</w:t>
      </w:r>
      <w:r>
        <w:rPr>
          <w:i/>
        </w:rPr>
        <w:t xml:space="preserve">G</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L</m:t>
          </m:r>
          <m:r>
            <m:t>σ</m:t>
          </m:r>
          <m:sSub>
            <m:e>
              <m:r>
                <m:t>P</m:t>
              </m:r>
            </m:e>
            <m:sub>
              <m:r>
                <m:t>d</m:t>
              </m:r>
              <m:r>
                <m:t>a</m:t>
              </m:r>
              <m:r>
                <m:t>y</m:t>
              </m:r>
            </m:sub>
          </m:sSub>
        </m:oMath>
      </m:oMathPara>
    </w:p>
    <w:p>
      <w:pPr>
        <w:pStyle w:val="FirstParagraph"/>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m:oMath>
        <m:r>
          <m:t>σ</m:t>
        </m:r>
      </m:oMath>
      <w:r>
        <w:t xml:space="preserve"> </w:t>
      </w:r>
      <w:r>
        <w:t xml:space="preserve">is a self-shading parameter and</w:t>
      </w:r>
      <w:r>
        <w:t xml:space="preserve"> </w:t>
      </w:r>
      <w:r>
        <w:rPr>
          <w:i/>
        </w:rPr>
        <w:t xml:space="preserve">P</w:t>
      </w:r>
      <w:r>
        <w:rPr>
          <w:vertAlign w:val="subscript"/>
        </w:rPr>
        <w:t xml:space="preserve">day</w:t>
      </w:r>
      <w:r>
        <w:t xml:space="preserve"> </w:t>
      </w:r>
      <w:r>
        <w:t xml:space="preserve">is the net daily C assimilation per unit leaf area (g C m</w:t>
      </w:r>
      <w:r>
        <w:rPr>
          <w:vertAlign w:val="superscript"/>
        </w:rPr>
        <w:t xml:space="preserve">-2</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g</w:t>
      </w:r>
      <w:r>
        <w:rPr>
          <w:vertAlign w:val="subscript"/>
        </w:rPr>
        <w:t xml:space="preserve">1</w:t>
      </w:r>
      <w:r>
        <w:t xml:space="preserve"> </w:t>
      </w:r>
      <w:r>
        <w:t xml:space="preserve">and</w:t>
      </w:r>
      <w:r>
        <w:t xml:space="preserve"> </w:t>
      </w:r>
      <w:r>
        <w:rPr>
          <w:i/>
        </w:rPr>
        <w:t xml:space="preserve">R</w:t>
      </w:r>
      <w:r>
        <w:rPr>
          <w:vertAlign w:val="subscript"/>
        </w:rPr>
        <w:t xml:space="preserve">dark</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w:t>
      </w:r>
      <w:r>
        <w:t xml:space="preserve"> </w:t>
      </w:r>
      <w:r>
        <w:rPr>
          <w:i/>
        </w:rPr>
        <w:t xml:space="preserve">R</w:t>
      </w:r>
      <w:r>
        <w:rPr>
          <w:vertAlign w:val="subscript"/>
        </w:rPr>
        <w:t xml:space="preserve">dark</w:t>
      </w:r>
      <w:r>
        <w:t xml:space="preserve"> </w:t>
      </w:r>
      <w:r>
        <w:t xml:space="preserve">was was estimated using Eq. (2) from</w:t>
      </w:r>
      <w:r>
        <w:t xml:space="preserve"> </w:t>
      </w:r>
      <w:r>
        <w:t xml:space="preserve">Atkin et al. (2005)</w:t>
      </w:r>
      <w:r>
        <w:t xml:space="preserve">, which was parameterized with a mean reference empirical measurement for each treatment, a Q</w:t>
      </w:r>
      <w:r>
        <w:rPr>
          <w:vertAlign w:val="subscript"/>
        </w:rPr>
        <w:t xml:space="preserve">10</w:t>
      </w:r>
      <w:r>
        <w:t xml:space="preserve"> </w:t>
      </w:r>
      <w:r>
        <w:t xml:space="preserve">value of 1.86, a reference air temperature for each treatment and air temperatures at each time step.</w:t>
      </w:r>
    </w:p>
    <w:p>
      <w:pPr>
        <w:pStyle w:val="BodyText"/>
      </w:pPr>
      <w:r>
        <w:br w:type="textWrapping"/>
      </w:r>
      <w:r>
        <w:t xml:space="preserve">(2)</w:t>
      </w:r>
    </w:p>
    <w:p>
      <w:pPr>
        <w:pStyle w:val="BodyText"/>
      </w:pPr>
      <m:oMathPara>
        <m:oMathParaPr>
          <m:jc m:val="center"/>
        </m:oMathParaPr>
        <m:oMath>
          <m:r>
            <m:t>R</m:t>
          </m:r>
          <m:r>
            <m:t> </m:t>
          </m:r>
          <m:r>
            <m:t>d</m:t>
          </m:r>
          <m:r>
            <m:t>a</m:t>
          </m:r>
          <m:r>
            <m:t>r</m:t>
          </m:r>
          <m:r>
            <m:t>k</m:t>
          </m:r>
          <m:r>
            <m:t> </m:t>
          </m:r>
          <m:r>
            <m:t>=</m:t>
          </m:r>
          <m:sSub>
            <m:e>
              <m:r>
                <m:t>R</m:t>
              </m:r>
            </m:e>
            <m:sub>
              <m:r>
                <m:t>r</m:t>
              </m:r>
              <m:r>
                <m:t>e</m:t>
              </m:r>
              <m:r>
                <m:t>f</m:t>
              </m:r>
            </m:sub>
          </m:sSub>
          <m:sSub>
            <m:e>
              <m:r>
                <m:t>Q</m:t>
              </m:r>
            </m:e>
            <m:sub>
              <m:r>
                <m:t>10</m:t>
              </m:r>
            </m:sub>
          </m:sSub>
          <m:sSup>
            <m:e>
              <m:r>
                <m:t> </m:t>
              </m:r>
            </m:e>
            <m:sup>
              <m:r>
                <m:t>(</m:t>
              </m:r>
              <m:r>
                <m:t>T</m:t>
              </m:r>
              <m:r>
                <m:t>−</m:t>
              </m:r>
              <m:sSub>
                <m:e>
                  <m:r>
                    <m:t>T</m:t>
                  </m:r>
                </m:e>
                <m:sub>
                  <m:r>
                    <m:t>r</m:t>
                  </m:r>
                  <m:r>
                    <m:t>e</m:t>
                  </m:r>
                  <m:r>
                    <m:t>f</m:t>
                  </m:r>
                </m:sub>
              </m:sSub>
              <m:r>
                <m:t>)</m:t>
              </m:r>
              <m:r>
                <m:t>/</m:t>
              </m:r>
              <m:r>
                <m:t>10</m:t>
              </m:r>
            </m:sup>
          </m:sSup>
        </m:oMath>
      </m:oMathPara>
    </w:p>
    <w:p>
      <w:pPr>
        <w:pStyle w:val="FirstParagraph"/>
      </w:pPr>
      <w:r>
        <w:t xml:space="preserve">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net leaf photosynthesis 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rPr>
          <w:vertAlign w:val="subscript"/>
        </w:rPr>
        <w:t xml:space="preserve">day</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 photosynthesis 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Total seedling leaf area at harvest was significantly different between container treatments and Free seedlings (</w:t>
      </w:r>
      <w:r>
        <w:rPr>
          <w:i/>
        </w:rPr>
        <w:t xml:space="preserve">P</w:t>
      </w:r>
      <w:r>
        <w:t xml:space="preserve"> </w:t>
      </w:r>
      <w:r>
        <w:t xml:space="preserve">&lt; 0.001, Table 1). On average, both harvested biomass and total leaf area of Free seedlings was &gt;80 %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t>x</m:t>
            </m:r>
          </m:e>
        </m:bar>
      </m:oMath>
      <w:r>
        <w:t xml:space="preserve"> </w:t>
      </w:r>
      <w:r>
        <w:t xml:space="preserve">= 0.90, 95 % CI = [0.85,1.12]).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t>
      </w:r>
      <w:r>
        <w:rPr>
          <w:i/>
        </w:rPr>
        <w:t xml:space="preserve">A</w:t>
      </w:r>
      <w:r>
        <w:rPr>
          <w:vertAlign w:val="subscript"/>
        </w:rPr>
        <w:t xml:space="preserve">mass</w:t>
      </w:r>
      <w:r>
        <w:t xml:space="preserve">) was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mass</w:t>
      </w:r>
      <w:r>
        <w:t xml:space="preserve"> </w:t>
      </w:r>
      <w:r>
        <w:t xml:space="preserve">to either leaf N</w:t>
      </w:r>
      <w:r>
        <w:rPr>
          <w:vertAlign w:val="subscript"/>
        </w:rPr>
        <w:t xml:space="preserve">f</w:t>
      </w:r>
      <w:r>
        <w:t xml:space="preserve"> </w:t>
      </w:r>
      <w:r>
        <w:t xml:space="preserve">or leaf starch at multiple bin levels (n=5) of the co-variate parameter (Figure 4). Across all measurement campaigns and treatments</w:t>
      </w:r>
      <w:r>
        <w:t xml:space="preserve"> </w:t>
      </w:r>
      <w:r>
        <w:rPr>
          <w:i/>
        </w:rPr>
        <w:t xml:space="preserve">A</w:t>
      </w:r>
      <w:r>
        <w:rPr>
          <w:vertAlign w:val="subscript"/>
        </w:rPr>
        <w:t xml:space="preserve">mass</w:t>
      </w:r>
      <w:r>
        <w:t xml:space="preserve"> </w:t>
      </w:r>
      <w:r>
        <w:t xml:space="preserve">was higher when leaf N</w:t>
      </w:r>
      <w:r>
        <w:rPr>
          <w:vertAlign w:val="subscript"/>
        </w:rPr>
        <w:t xml:space="preserve">f</w:t>
      </w:r>
      <w:r>
        <w:t xml:space="preserve"> </w:t>
      </w:r>
      <w:r>
        <w:t xml:space="preserve">was also higher, usually associated with low levels of leaf starch (Figure 4a).</w:t>
      </w:r>
      <w:r>
        <w:t xml:space="preserve"> </w:t>
      </w:r>
      <w:r>
        <w:rPr>
          <w:i/>
        </w:rPr>
        <w:t xml:space="preserve">A</w:t>
      </w:r>
      <w:r>
        <w:rPr>
          <w:vertAlign w:val="subscript"/>
        </w:rPr>
        <w:t xml:space="preserve">mass</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4b).</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three-fold across containers sizes (Table 1).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5).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sat</w:t>
      </w:r>
      <w:r>
        <w:t xml:space="preserve"> </w:t>
      </w:r>
      <w:r>
        <w:t xml:space="preserve">was also reduced, but reductions in net leaf photosynthesis rates were insufficient to fully explain the reduction in growth, implying that components such as non-leaf respiratory losses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height, diameter and leaf area of seedlings in containers throughout the duration of the experiment.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sat</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sat</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 leaf photosynthesis 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at</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mass</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Overall, root N in Free seedlings was ~15 % higher than containerized seedlings at the end of the experiment. Unrestricted mycorrhizal recruitment could have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sat</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mass</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sat</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Although plants in containers have been shown to have different root morphology to field grown plants</w:t>
      </w:r>
      <w:r>
        <w:t xml:space="preserve"> </w:t>
      </w:r>
      <w:r>
        <w:t xml:space="preserve">(NeSmith and Duval 1998)</w:t>
      </w:r>
      <w:r>
        <w:t xml:space="preserve">, increases in specific root length were detected in only one of the the soil volume treatments.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 photosynthetic parameters, via soil volume effects. Although reductions in both</w:t>
      </w:r>
      <w:r>
        <w:t xml:space="preserve"> </w:t>
      </w:r>
      <w:r>
        <w:rPr>
          <w:i/>
        </w:rPr>
        <w:t xml:space="preserve">A</w:t>
      </w:r>
      <w:r>
        <w:rPr>
          <w:vertAlign w:val="subscript"/>
        </w:rPr>
        <w:t xml:space="preserve">max</w:t>
      </w:r>
      <w:r>
        <w:t xml:space="preserve"> </w:t>
      </w:r>
      <w:r>
        <w:t xml:space="preserve">and biomass were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containerized seedlings,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leaf area,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5000.0"/>
        <w:tblLook w:firstRow="1"/>
      </w:tblPr>
      <w:tblGrid>
        <w:gridCol w:w="1222"/>
        <w:gridCol w:w="1124"/>
        <w:gridCol w:w="1075"/>
        <w:gridCol w:w="1271"/>
        <w:gridCol w:w="928"/>
        <w:gridCol w:w="1026"/>
        <w:gridCol w:w="1271"/>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Leaf area (m</w:t>
            </w:r>
            <w:r>
              <w:rPr>
                <w:vertAlign w:val="superscript"/>
                <w:b/>
              </w:rPr>
              <w:t xml:space="preserve">2</w:t>
            </w:r>
            <w:r>
              <w:rPr>
                <w:b/>
              </w:rPr>
              <w:t xml:space="preserve">)</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w:t>
            </w:r>
          </w:p>
        </w:tc>
      </w:tr>
      <w:tr>
        <w:tc>
          <w:p>
            <w:pPr>
              <w:pStyle w:val="Compact"/>
              <w:jc w:val="left"/>
            </w:pPr>
            <w:r>
              <w:t xml:space="preserve">5</w:t>
            </w:r>
          </w:p>
        </w:tc>
        <w:tc>
          <w:p>
            <w:pPr>
              <w:pStyle w:val="Compact"/>
              <w:jc w:val="left"/>
            </w:pPr>
            <w:r>
              <w:t xml:space="preserve">14.8 (1.82) a</w:t>
            </w:r>
          </w:p>
        </w:tc>
        <w:tc>
          <w:p>
            <w:pPr>
              <w:pStyle w:val="Compact"/>
              <w:jc w:val="left"/>
            </w:pPr>
            <w:r>
              <w:t xml:space="preserve">0.02 (0.004)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0.03 (0.003) a</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0.05 (0.006) a</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0.04 (0.004) a</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0.06 (0.010) a</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0.11 (0.024) a</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0.47 (0.055) b</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5000.000000000001"/>
        <w:tblLook w:firstRow="1"/>
      </w:tblPr>
      <w:tblGrid>
        <w:gridCol w:w="1523"/>
        <w:gridCol w:w="1279"/>
        <w:gridCol w:w="1279"/>
        <w:gridCol w:w="1157"/>
        <w:gridCol w:w="1705"/>
        <w:gridCol w:w="974"/>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770"/>
        <w:gridCol w:w="1140"/>
        <w:gridCol w:w="1140"/>
        <w:gridCol w:w="1171"/>
        <w:gridCol w:w="1140"/>
        <w:gridCol w:w="1171"/>
        <w:gridCol w:w="924"/>
        <w:gridCol w:w="462"/>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A</w:t>
            </w:r>
            <w:r>
              <w:rPr>
                <w:vertAlign w:val="subscript"/>
                <w:b/>
              </w:rPr>
              <w:t xml:space="preserve">sat</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14.0 (0.8)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15.4 (1.0)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16.9 (0.9) 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17.4 (0.5)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15.6 (0.5)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16.0 (0.6)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21.4 (0.3)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drawing>
          <wp:inline>
            <wp:extent cx="5495559" cy="7144227"/>
            <wp:effectExtent b="0" l="0" r="0" t="0"/>
            <wp:docPr descr="" id="1" name="Picture"/>
            <a:graphic>
              <a:graphicData uri="http://schemas.openxmlformats.org/drawingml/2006/picture">
                <pic:pic>
                  <pic:nvPicPr>
                    <pic:cNvPr descr="manuscript_pve_editor_files/figure-docx/allometry-1.png" id="0" name="Picture"/>
                    <pic:cNvPicPr>
                      <a:picLocks noChangeArrowheads="1" noChangeAspect="1"/>
                    </pic:cNvPicPr>
                  </pic:nvPicPr>
                  <pic:blipFill>
                    <a:blip r:embed="rId46"/>
                    <a:stretch>
                      <a:fillRect/>
                    </a:stretch>
                  </pic:blipFill>
                  <pic:spPr bwMode="auto">
                    <a:xfrm>
                      <a:off x="0" y="0"/>
                      <a:ext cx="5495559" cy="7144227"/>
                    </a:xfrm>
                    <a:prstGeom prst="rect">
                      <a:avLst/>
                    </a:prstGeom>
                    <a:noFill/>
                    <a:ln w="9525">
                      <a:noFill/>
                      <a:headEnd/>
                      <a:tailEnd/>
                    </a:ln>
                  </pic:spPr>
                </pic:pic>
              </a:graphicData>
            </a:graphic>
          </wp:inline>
        </w:drawing>
      </w:r>
      <w:r>
        <w:t xml:space="preserve"> </w:t>
      </w: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drawing>
          <wp:inline>
            <wp:extent cx="5495559" cy="7327412"/>
            <wp:effectExtent b="0" l="0" r="0" t="0"/>
            <wp:docPr descr="" id="1" name="Picture"/>
            <a:graphic>
              <a:graphicData uri="http://schemas.openxmlformats.org/drawingml/2006/picture">
                <pic:pic>
                  <pic:nvPicPr>
                    <pic:cNvPr descr="manuscript_pve_editor_files/figure-docx/airvars-1.png" id="0" name="Picture"/>
                    <pic:cNvPicPr>
                      <a:picLocks noChangeArrowheads="1" noChangeAspect="1"/>
                    </pic:cNvPicPr>
                  </pic:nvPicPr>
                  <pic:blipFill>
                    <a:blip r:embed="rId47"/>
                    <a:stretch>
                      <a:fillRect/>
                    </a:stretch>
                  </pic:blipFill>
                  <pic:spPr bwMode="auto">
                    <a:xfrm>
                      <a:off x="0" y="0"/>
                      <a:ext cx="5495559" cy="7327412"/>
                    </a:xfrm>
                    <a:prstGeom prst="rect">
                      <a:avLst/>
                    </a:prstGeom>
                    <a:noFill/>
                    <a:ln w="9525">
                      <a:noFill/>
                      <a:headEnd/>
                      <a:tailEnd/>
                    </a:ln>
                  </pic:spPr>
                </pic:pic>
              </a:graphicData>
            </a:graphic>
          </wp:inline>
        </w:drawing>
      </w:r>
      <w:r>
        <w:t xml:space="preserve"> </w:t>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drawing>
          <wp:inline>
            <wp:extent cx="5495559" cy="7327412"/>
            <wp:effectExtent b="0" l="0" r="0" t="0"/>
            <wp:docPr descr="" id="1" name="Picture"/>
            <a:graphic>
              <a:graphicData uri="http://schemas.openxmlformats.org/drawingml/2006/picture">
                <pic:pic>
                  <pic:nvPicPr>
                    <pic:cNvPr descr="manuscript_pve_editor_files/figure-docx/allocation-1.png" id="0" name="Picture"/>
                    <pic:cNvPicPr>
                      <a:picLocks noChangeArrowheads="1" noChangeAspect="1"/>
                    </pic:cNvPicPr>
                  </pic:nvPicPr>
                  <pic:blipFill>
                    <a:blip r:embed="rId48"/>
                    <a:stretch>
                      <a:fillRect/>
                    </a:stretch>
                  </pic:blipFill>
                  <pic:spPr bwMode="auto">
                    <a:xfrm>
                      <a:off x="0" y="0"/>
                      <a:ext cx="5495559" cy="7327412"/>
                    </a:xfrm>
                    <a:prstGeom prst="rect">
                      <a:avLst/>
                    </a:prstGeom>
                    <a:noFill/>
                    <a:ln w="9525">
                      <a:noFill/>
                      <a:headEnd/>
                      <a:tailEnd/>
                    </a:ln>
                  </pic:spPr>
                </pic:pic>
              </a:graphicData>
            </a:graphic>
          </wp:inline>
        </w:drawing>
      </w:r>
      <w:r>
        <w:t xml:space="preserve"> </w:t>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drawing>
          <wp:inline>
            <wp:extent cx="5943600" cy="4457700"/>
            <wp:effectExtent b="0" l="0" r="0" t="0"/>
            <wp:docPr descr="" id="1" name="Picture"/>
            <a:graphic>
              <a:graphicData uri="http://schemas.openxmlformats.org/drawingml/2006/picture">
                <pic:pic>
                  <pic:nvPicPr>
                    <pic:cNvPr descr="manuscript_pve_editor_files/figure-docx/A_tncnitro-1.png" id="0" name="Picture"/>
                    <pic:cNvPicPr>
                      <a:picLocks noChangeArrowheads="1" noChangeAspect="1"/>
                    </pic:cNvPicPr>
                  </pic:nvPicPr>
                  <pic:blipFill>
                    <a:blip r:embed="rId49"/>
                    <a:stretch>
                      <a:fillRect/>
                    </a:stretch>
                  </pic:blipFill>
                  <pic:spPr bwMode="auto">
                    <a:xfrm>
                      <a:off x="0" y="0"/>
                      <a:ext cx="5943600" cy="4457700"/>
                    </a:xfrm>
                    <a:prstGeom prst="rect">
                      <a:avLst/>
                    </a:prstGeom>
                    <a:noFill/>
                    <a:ln w="9525">
                      <a:noFill/>
                      <a:headEnd/>
                      <a:tailEnd/>
                    </a:ln>
                  </pic:spPr>
                </pic:pic>
              </a:graphicData>
            </a:graphic>
          </wp:inline>
        </w:drawing>
      </w:r>
      <w:r>
        <w:t xml:space="preserve"> </w:t>
      </w:r>
      <w:r>
        <w:rPr>
          <w:b/>
        </w:rPr>
        <w:t xml:space="preserve">Figure 4</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drawing>
          <wp:inline>
            <wp:extent cx="5495559" cy="5495559"/>
            <wp:effectExtent b="0" l="0" r="0" t="0"/>
            <wp:docPr descr="" id="1" name="Picture"/>
            <a:graphic>
              <a:graphicData uri="http://schemas.openxmlformats.org/drawingml/2006/picture">
                <pic:pic>
                  <pic:nvPicPr>
                    <pic:cNvPr descr="manuscript_pve_editor_files/figure-docx/cuefig-1.png" id="0" name="Picture"/>
                    <pic:cNvPicPr>
                      <a:picLocks noChangeArrowheads="1" noChangeAspect="1"/>
                    </pic:cNvPicPr>
                  </pic:nvPicPr>
                  <pic:blipFill>
                    <a:blip r:embed="rId50"/>
                    <a:stretch>
                      <a:fillRect/>
                    </a:stretch>
                  </pic:blipFill>
                  <pic:spPr bwMode="auto">
                    <a:xfrm>
                      <a:off x="0" y="0"/>
                      <a:ext cx="5495559" cy="5495559"/>
                    </a:xfrm>
                    <a:prstGeom prst="rect">
                      <a:avLst/>
                    </a:prstGeom>
                    <a:noFill/>
                    <a:ln w="9525">
                      <a:noFill/>
                      <a:headEnd/>
                      <a:tailEnd/>
                    </a:ln>
                  </pic:spPr>
                </pic:pic>
              </a:graphicData>
            </a:graphic>
          </wp:inline>
        </w:drawing>
      </w:r>
      <w:r>
        <w:t xml:space="preserve"> </w:t>
      </w:r>
      <w:r>
        <w:rPr>
          <w:b/>
        </w:rPr>
        <w:t xml:space="preserve">Figure 5</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51" w:name="references"/>
      <w:bookmarkEnd w:id="51"/>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Atkin OK, Bruhn D, Tjoelker MG (2005) Response of plant respiration to changes in temperature: Mechanisms and consequences of variations in q10 values and acclimation. In: Plant respiration. Springer, pp 95–135.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52">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53">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54">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f4dc1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53" Target="http://cran.r-project.org/package=nlme" TargetMode="External" /><Relationship Type="http://schemas.openxmlformats.org/officeDocument/2006/relationships/hyperlink" Id="rId54" Target="http://www.r-project.org" TargetMode="External" /><Relationship Type="http://schemas.openxmlformats.org/officeDocument/2006/relationships/hyperlink" Id="rId52"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3" Target="http://cran.r-project.org/package=nlme" TargetMode="External" /><Relationship Type="http://schemas.openxmlformats.org/officeDocument/2006/relationships/hyperlink" Id="rId54" Target="http://www.r-project.org" TargetMode="External" /><Relationship Type="http://schemas.openxmlformats.org/officeDocument/2006/relationships/hyperlink" Id="rId52"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2017-02-08T03:36:42Z</dcterms:created>
  <dcterms:modified xsi:type="dcterms:W3CDTF">2017-02-08T03:36:42Z</dcterms:modified>
</cp:coreProperties>
</file>