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E.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BodyText"/>
      </w:pPr>
      <w:r>
        <w:t xml:space="preserve">Running Head: Sink limitation and reduced seedling growth</w:t>
      </w:r>
    </w:p>
    <w:p>
      <w:pPr>
        <w:pStyle w:val="Heading1"/>
      </w:pPr>
      <w:bookmarkStart w:id="22" w:name="abstract"/>
      <w:bookmarkEnd w:id="22"/>
      <w:r>
        <w:t xml:space="preserve">Abstract</w:t>
      </w:r>
    </w:p>
    <w:p>
      <w:pPr>
        <w:pStyle w:val="FirstParagraph"/>
      </w:pPr>
      <w:r>
        <w:t xml:space="preserve">Sink limitation is known to reduce plant growth, but it is not known how plant carbon (C) balance is affected, limiting our ability to predict growth under sink-limited conditions. We manipulated soil volume to impose sink limitation of growth in</w:t>
      </w:r>
      <w:r>
        <w:t xml:space="preserve"> </w:t>
      </w:r>
      <w:r>
        <w:rPr>
          <w:i/>
        </w:rPr>
        <w:t xml:space="preserve">Eucalyptus tereticornis</w:t>
      </w:r>
      <w:r>
        <w:t xml:space="preserve"> </w:t>
      </w:r>
      <w:r>
        <w:t xml:space="preserve">seedlings. Seedlings were grown in the field in containers of different sizes and planted flush to the soil alongside freely-rooted (Free) seedlings. Container volume negatively affected aboveground growth throughout the experiment, and light saturated rates of leaf photosynthesis were consistently lower in seedlings in containers (-26 %) compared to Free seedlings. Significant reductions in photosynthetic capacity in containerized seedlings was related to both reduced leaf nitrogen content and starch accumulation, indicating direct effects of sink limitation on photosynthetic down regulation. After 120 days, harvested biomass of Free seedlings was on average 84 % higher than seedlings in containers, but biomass distribution in leaves, stems and roots was not different. However, the reduction in net leaf photosynthesis over the growth period was insufficient to explain the reduction in growth, so that we also observed an apparent reduction in whole-plant C use efficiency (CUE) between Free seedlings and seedlings in containers. Our results show that sink limitation affects plant growth through feedbacks to both photosynthesis and CUE. Mass balance approaches to predicting plant growth under sink-limited conditions need to incorporate both of these feedbacks.</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(C)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and Wareing 1966, Körner 2015)</w:t>
      </w:r>
      <w:r>
        <w:t xml:space="preserve">. To be able to predict plant growth responses to environmental change, we need models that can account for both source and sink limitation.</w:t>
      </w:r>
    </w:p>
    <w:p>
      <w:pPr>
        <w:pStyle w:val="BodyText"/>
      </w:pPr>
      <w:r>
        <w:br w:type="textWrapping"/>
      </w:r>
      <w:r>
        <w:t xml:space="preserve">Most current models of plant growth are based on the physical principle of mass balance: C entering the plant through net photosynthesis must be balanced by C allocation to growth and storage and C losses including respiration, root exudation, volatile organic compounds and tissue turnover. Plant growth is thus predicted as the outcome of the processes of photosynthesis, C allocation and C loss.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C allocation and C loss. It has been suggested that sink limitation affects the C balance by causing a down-regulation of photosynthetic rate, possibly mediated by carbohydrate accumulation</w:t>
      </w:r>
      <w:r>
        <w:t xml:space="preserve"> </w:t>
      </w:r>
      <w:r>
        <w:t xml:space="preserve">(Arp 1991, Paul and Foyer 2001, Ainsworth et al. 2004, Ronchi et al. 2006, Nebauer et al. 2011)</w:t>
      </w:r>
      <w:r>
        <w:t xml:space="preserve">, but there is also evidence that photosynthesis and growth can become strongly decoupled under sink limitation</w:t>
      </w:r>
      <w:r>
        <w:t xml:space="preserve"> </w:t>
      </w:r>
      <w:r>
        <w:t xml:space="preserve">(Muller et al. 2011, Leuzinger et al. 2013)</w:t>
      </w:r>
      <w:r>
        <w:t xml:space="preserve">, suggesting that other processes must also be affected.</w:t>
      </w:r>
    </w:p>
    <w:p>
      <w:pPr>
        <w:pStyle w:val="BodyText"/>
      </w:pPr>
      <w:r>
        <w:br w:type="textWrapping"/>
      </w: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(Fatichi et al.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 et al. 2008)</w:t>
      </w:r>
      <w:r>
        <w:t xml:space="preserve">, thus incomplete modelling approaches often lead to unaccounted-for C. Our goal in this paper was to investigate how the C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w:t>
      </w:r>
      <w:r>
        <w:rPr>
          <w:vertAlign w:val="subscript"/>
        </w:rPr>
        <w:t xml:space="preserve">2</w:t>
      </w:r>
      <w:r>
        <w:t xml:space="preserve"> </w:t>
      </w:r>
      <w:r>
        <w:t xml:space="preserve">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 et al. 1997, Ainsworth and Rogers 2007)</w:t>
      </w:r>
      <w:r>
        <w:t xml:space="preserve">. This increased photosynthetic uptake is often observed to drive an increase in plant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 et al. 1998, Hamilton et al. 2002, Schäfer et al. 2003)</w:t>
      </w:r>
      <w:r>
        <w:t xml:space="preserve">.</w:t>
      </w:r>
    </w:p>
    <w:p>
      <w:pPr>
        <w:pStyle w:val="BodyText"/>
      </w:pPr>
      <w:r>
        <w:br w:type="textWrapping"/>
      </w:r>
      <w:r>
        <w:t xml:space="preserve">In partial defoliation experiments, source activity is decreased by a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and Flore 1995)</w:t>
      </w:r>
      <w:r>
        <w:t xml:space="preserve"> </w:t>
      </w:r>
      <w:r>
        <w:t xml:space="preserve">or enhanced leaf nutrient status</w:t>
      </w:r>
      <w:r>
        <w:t xml:space="preserve"> </w:t>
      </w:r>
      <w:r>
        <w:t xml:space="preserve">(Turnbull et al. 2007, Pinkard et al. 2011)</w:t>
      </w:r>
      <w:r>
        <w:t xml:space="preserve">, or more direct effects of modified sink-source balance such as, reduction in end-product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 Pinkard et al. 2011)</w:t>
      </w:r>
      <w:r>
        <w:t xml:space="preserve">, and regulatory sugar signaling</w:t>
      </w:r>
      <w:r>
        <w:t xml:space="preserve"> </w:t>
      </w:r>
      <w:r>
        <w:t xml:space="preserve">(Eyles et al.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 Walls, et al. 1993, Markkola et al. 2004, Palacio et al.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removal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 et al. 2002, Urban and Alphonsout 2007, Haouari et al.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w:t>
      </w:r>
      <w:r>
        <w:t xml:space="preserve"> </w:t>
      </w:r>
      <w:r>
        <w:t xml:space="preserve">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and Duval 1998, Poorter, Bühler, et al. 2012)</w:t>
      </w:r>
      <w:r>
        <w:t xml:space="preserve">. Inadequate rooting volume can decrease C sink strength by progressively restricting root growth in growing plants</w:t>
      </w:r>
      <w:r>
        <w:t xml:space="preserve"> </w:t>
      </w:r>
      <w:r>
        <w:t xml:space="preserve">(Thomas and Strain 1991)</w:t>
      </w:r>
      <w:r>
        <w:t xml:space="preserve">. In a comprehensive meta-analysis, Poorter</w:t>
      </w:r>
      <w:r>
        <w:t xml:space="preserve"> </w:t>
      </w:r>
      <w:r>
        <w:rPr>
          <w:i/>
        </w:rPr>
        <w:t xml:space="preserve">et al.</w:t>
      </w:r>
      <w:r>
        <w:t xml:space="preserve"> </w:t>
      </w:r>
      <w:r>
        <w:t xml:space="preserve">(2012)</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and Bazzaz 1991, Gunderson and Wullschleger 1994, Sage 1994, Maina et al. 2002, Ronchi et al. 2006)</w:t>
      </w:r>
      <w:r>
        <w:t xml:space="preserve">. Poorter</w:t>
      </w:r>
      <w:r>
        <w:t xml:space="preserve"> </w:t>
      </w:r>
      <w:r>
        <w:rPr>
          <w:i/>
        </w:rPr>
        <w:t xml:space="preserve">et al.</w:t>
      </w:r>
      <w:r>
        <w:t xml:space="preserve"> </w:t>
      </w:r>
      <w:r>
        <w:t xml:space="preserve">(2012)</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in field conditions,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1) can we identify the main physiological processes that best explain the down-regulation of photosynthesis?, and 2) does this down-regulation fully explain the observed response of growth, or are other components of the C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nursery seed grown from a single local Cumberland plain (western Sydney) cohort. Six additional seedlings were harvested before planting to measure initial leaf area and dry mass of leaves, stems and roots. Six container volumes were used ranging from 5 L to 35 L, with a 22.5 cm diameter, and lengths ranging from 15 to 100 cm. Containers were constructed of PVC pipe capped at the bottom end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 Roots of Free seedlings were allowed to grow unrestricted below the root exclusion border.</w:t>
      </w:r>
    </w:p>
    <w:p>
      <w:pPr>
        <w:pStyle w:val="BodyText"/>
      </w:pPr>
      <w:r>
        <w:br w:type="textWrapping"/>
      </w:r>
      <w:r>
        <w:t xml:space="preserve">Plants were watered weekly or when needed to maintain soil moisture at field capacity (13-15 %). Drain systems were built into each container to prevent pooling of water before root expansion, from reduced root uptake, or from large rainfall events. Pooling of water could lead to an anaerobic environment around the root that could hinder the uptake of water through reduced root conductance</w:t>
      </w:r>
      <w:r>
        <w:t xml:space="preserve"> </w:t>
      </w:r>
      <w:r>
        <w:t xml:space="preserve">(Poorter et al. 2009)</w:t>
      </w:r>
      <w:r>
        <w:t xml:space="preserve">, an undesired experimental artefact.</w:t>
      </w:r>
      <w:r>
        <w:t xml:space="preserve"> </w:t>
      </w:r>
      <w:r>
        <w:t xml:space="preserve">A compartment in the bottom of each container, containing gravel covered by root exclusion mesh, was used to collect excess water. For small containers (5, 10, and 15 l) a simple bottom plug was used to drain excess water from the compartment. For larger containers, plastic tubing (6 mm diameter) was inset into the gravel layer and extended through the top of the container and a lysimeter pump was then used to suction excess water, through the tubing, as needed.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t>μ</m:t>
        </m:r>
      </m:oMath>
      <w:r>
        <w:t xml:space="preserve">l l</w:t>
      </w:r>
      <w:r>
        <w:rPr>
          <w:vertAlign w:val="superscript"/>
        </w:rPr>
        <w:t xml:space="preserve">-1</w:t>
      </w:r>
      <w:r>
        <w:t xml:space="preserve"> </w:t>
      </w:r>
      <w:r>
        <w:t xml:space="preserve">and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t>μ</m:t>
        </m:r>
      </m:oMath>
      <w:r>
        <w:t xml:space="preserve">l</w:t>
      </w:r>
      <w:r>
        <w:rPr>
          <w:vertAlign w:val="superscript"/>
        </w:rPr>
        <w:t xml:space="preserve">-1</w:t>
      </w:r>
      <w:r>
        <w:t xml:space="preserve"> </w:t>
      </w:r>
      <w:r>
        <w:t xml:space="preserve">at 25 °C at saturating light. From these curves, the maximum rate of Rubisco carboxylation (</w:t>
      </w:r>
      <w:r>
        <w:rPr>
          <w:i/>
        </w:rPr>
        <w:t xml:space="preserve">V</w:t>
      </w:r>
      <w:r>
        <w:rPr>
          <w:vertAlign w:val="subscript"/>
        </w:rPr>
        <w:t xml:space="preserve">cmax</w:t>
      </w:r>
      <w:r>
        <w:t xml:space="preserve">) and the maximum rate of electron transport for RuBP regeneration under saturating light (</w:t>
      </w:r>
      <w:r>
        <w:rPr>
          <w:i/>
        </w:rPr>
        <w:t xml:space="preserve">J</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2016)</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while leaf temperature was maintained at current ambient conditions (11.5-13.4 °C).</w:t>
      </w:r>
      <w:r>
        <w:t xml:space="preserve"> </w:t>
      </w:r>
      <w:r>
        <w:rPr>
          <w:i/>
        </w:rPr>
        <w:t xml:space="preserve">R</w:t>
      </w:r>
      <w:r>
        <w:t xml:space="preserve"> </w:t>
      </w:r>
      <w:r>
        <w:t xml:space="preserve">was logged 5 times for each leaf after CO</w:t>
      </w:r>
      <w:r>
        <w:rPr>
          <w:vertAlign w:val="subscript"/>
        </w:rPr>
        <w:t xml:space="preserve">2</w:t>
      </w:r>
      <w:r>
        <w:t xml:space="preserve"> </w:t>
      </w:r>
      <w:r>
        <w:t xml:space="preserve">and water vapour flux values stabilized in the conifer chamber.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t>Ψ</m:t>
        </m:r>
      </m:oMath>
      <w:r>
        <w:rPr>
          <w:vertAlign w:val="subscript"/>
        </w:rPr>
        <w:t xml:space="preserve">pd</w:t>
      </w:r>
      <w:r>
        <w:t xml:space="preserve">) and midday (</w:t>
      </w:r>
      <m:oMath>
        <m: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t>Ψ</m:t>
        </m:r>
      </m:oMath>
      <w:r>
        <w:rPr>
          <w:vertAlign w:val="subscript"/>
        </w:rPr>
        <w:t xml:space="preserve">pd</w:t>
      </w:r>
      <w:r>
        <w:t xml:space="preserve"> </w:t>
      </w:r>
      <w:r>
        <w:t xml:space="preserve">was measured before sunrise and</w:t>
      </w:r>
      <w:r>
        <w:t xml:space="preserve"> </w:t>
      </w:r>
      <m:oMath>
        <m:r>
          <m:t>Ψ</m:t>
        </m:r>
      </m:oMath>
      <w:r>
        <w:rPr>
          <w:vertAlign w:val="subscript"/>
        </w:rPr>
        <w:t xml:space="preserve">l</w:t>
      </w:r>
      <w:r>
        <w:t xml:space="preserve"> </w:t>
      </w:r>
      <w:r>
        <w:t xml:space="preserve">at 13:00 h (± 30 min).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Each leaf used in gas exchange measurements and subsamples of harvested roots were oven dried at 60 °C to a constant mass and ball milled for analysis of nitrogen (N) content,</w:t>
      </w:r>
      <w:r>
        <w:t xml:space="preserve"> </w:t>
      </w:r>
      <m:oMath>
        <m:r>
          <m:t>δ</m:t>
        </m:r>
      </m:oMath>
      <w:r>
        <w:rPr>
          <w:vertAlign w:val="superscript"/>
        </w:rPr>
        <w:t xml:space="preserve">13</w:t>
      </w:r>
      <w:r>
        <w:t xml:space="preserve">C, and total non-structural carbohydrates (TNC). Pre-planting soil samples (n=6) and subsamples of soil from each container following harvest were passed through a 1 mm sieve to remove organic material, air dried at 40 °C for 72 h and ball milled for analysis of N. Nitrogen concentrations of leaf and soil samples were determined using a Carlo Erba CE1110 elemental analyzer and the percentage of N in samples was calculated by comparison with certified standards. Leaf</w:t>
      </w:r>
      <w:r>
        <w:t xml:space="preserve"> </w:t>
      </w:r>
      <m:oMath>
        <m: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Exact methods of the TNC assay used in this study are fully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total net C gain of seedlings (</w:t>
      </w:r>
      <w:r>
        <w:rPr>
          <w:i/>
        </w:rPr>
        <w:t xml:space="preserve">G</w:t>
      </w:r>
      <w:r>
        <w:t xml:space="preserve">), is given by</w:t>
      </w:r>
    </w:p>
    <w:p>
      <w:pPr>
        <w:pStyle w:val="BodyText"/>
      </w:pPr>
      <w:r>
        <w:br w:type="textWrapping"/>
      </w:r>
      <w:r>
        <w:t xml:space="preserve">(1)</w:t>
      </w:r>
    </w:p>
    <w:p>
      <w:pPr>
        <w:pStyle w:val="BodyText"/>
      </w:pPr>
      <m:oMathPara>
        <m:oMathParaPr>
          <m:jc m:val="center"/>
        </m:oMathParaPr>
        <m:oMath>
          <m:r>
            <m:t>G</m:t>
          </m:r>
          <m:r>
            <m:t>(</m:t>
          </m:r>
          <m:r>
            <m:t>t</m:t>
          </m:r>
          <m:r>
            <m:t>)</m:t>
          </m:r>
          <m:r>
            <m:t>=</m:t>
          </m:r>
          <m:r>
            <m:t>L</m:t>
          </m:r>
          <m:r>
            <m:t>σ</m:t>
          </m:r>
          <m:sSub>
            <m:e>
              <m:r>
                <m:t>P</m:t>
              </m:r>
            </m:e>
            <m:sub>
              <m:r>
                <m:t>d</m:t>
              </m:r>
              <m:r>
                <m:t>a</m:t>
              </m:r>
              <m:r>
                <m:t>y</m:t>
              </m:r>
            </m:sub>
          </m:sSub>
        </m:oMath>
      </m:oMathPara>
    </w:p>
    <w:p>
      <w:pPr>
        <w:pStyle w:val="FirstParagraph"/>
      </w:pPr>
      <w:r>
        <w:t xml:space="preserve">where</w:t>
      </w:r>
      <w:r>
        <w:t xml:space="preserve"> </w:t>
      </w:r>
      <w:r>
        <w:rPr>
          <w:i/>
        </w:rPr>
        <w:t xml:space="preserve">L</w:t>
      </w:r>
      <w:r>
        <w:t xml:space="preserve"> </w:t>
      </w:r>
      <w:r>
        <w:t xml:space="preserve">is total plant leaf area (m</w:t>
      </w:r>
      <w:r>
        <w:rPr>
          <w:vertAlign w:val="superscript"/>
        </w:rPr>
        <w:t xml:space="preserve">2</w:t>
      </w:r>
      <w:r>
        <w:t xml:space="preserve">),</w:t>
      </w:r>
      <w:r>
        <w:t xml:space="preserve"> </w:t>
      </w:r>
      <m:oMath>
        <m:r>
          <m:t>σ</m:t>
        </m:r>
      </m:oMath>
      <w:r>
        <w:t xml:space="preserve"> </w:t>
      </w:r>
      <w:r>
        <w:t xml:space="preserve">is a self-shading parameter and</w:t>
      </w:r>
      <w:r>
        <w:t xml:space="preserve"> </w:t>
      </w:r>
      <w:r>
        <w:rPr>
          <w:i/>
        </w:rPr>
        <w:t xml:space="preserve">P</w:t>
      </w:r>
      <w:r>
        <w:rPr>
          <w:vertAlign w:val="subscript"/>
        </w:rPr>
        <w:t xml:space="preserve">day</w:t>
      </w:r>
      <w:r>
        <w:t xml:space="preserve"> </w:t>
      </w:r>
      <w:r>
        <w:t xml:space="preserve">is the net daily C assimilation per unit leaf area, accounting for leaf respiratory losses (g C m</w:t>
      </w:r>
      <w:r>
        <w:rPr>
          <w:vertAlign w:val="superscript"/>
        </w:rPr>
        <w:t xml:space="preserve">-2</w:t>
      </w:r>
      <w:r>
        <w:t xml:space="preserve">).</w:t>
      </w:r>
    </w:p>
    <w:p>
      <w:pPr>
        <w:pStyle w:val="BodyText"/>
      </w:pPr>
      <w:r>
        <w:br w:type="textWrapping"/>
      </w:r>
      <w:r>
        <w:rPr>
          <w:i/>
        </w:rPr>
        <w:t xml:space="preserve">P</w:t>
      </w:r>
      <w:r>
        <w:rPr>
          <w:vertAlign w:val="subscript"/>
        </w:rPr>
        <w:t xml:space="preserve">day</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g</w:t>
      </w:r>
      <w:r>
        <w:rPr>
          <w:vertAlign w:val="subscript"/>
        </w:rPr>
        <w:t xml:space="preserve">1</w:t>
      </w:r>
      <w:r>
        <w:t xml:space="preserve"> </w:t>
      </w:r>
      <w:r>
        <w:t xml:space="preserve">and</w:t>
      </w:r>
      <w:r>
        <w:t xml:space="preserve"> </w:t>
      </w:r>
      <w:r>
        <w:rPr>
          <w:i/>
        </w:rPr>
        <w:t xml:space="preserve">R</w:t>
      </w:r>
      <w:r>
        <w:rPr>
          <w:vertAlign w:val="subscript"/>
        </w:rPr>
        <w:t xml:space="preserve">dark</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to observed values of</w:t>
      </w:r>
      <w:r>
        <w:t xml:space="preserve"> </w:t>
      </w:r>
      <w:r>
        <w:rPr>
          <w:i/>
        </w:rPr>
        <w:t xml:space="preserve">g</w:t>
      </w:r>
      <w:r>
        <w:rPr>
          <w:vertAlign w:val="subscript"/>
        </w:rPr>
        <w:t xml:space="preserve">s</w:t>
      </w:r>
      <w:r>
        <w:t xml:space="preserve">,</w:t>
      </w:r>
      <w:r>
        <w:t xml:space="preserve"> </w:t>
      </w:r>
      <w:r>
        <w:rPr>
          <w:i/>
        </w:rPr>
        <w:t xml:space="preserve">A</w:t>
      </w:r>
      <w:r>
        <w:rPr>
          <w:vertAlign w:val="subscript"/>
        </w:rPr>
        <w:t xml:space="preserve">sat</w:t>
      </w:r>
      <w:r>
        <w:t xml:space="preserve"> </w:t>
      </w:r>
      <w:r>
        <w:t xml:space="preserve">and vapour pressure deficit.</w:t>
      </w:r>
      <w:r>
        <w:t xml:space="preserve"> </w:t>
      </w:r>
      <w:r>
        <w:rPr>
          <w:i/>
        </w:rPr>
        <w:t xml:space="preserve">R</w:t>
      </w:r>
      <w:r>
        <w:rPr>
          <w:vertAlign w:val="subscript"/>
        </w:rPr>
        <w:t xml:space="preserve">dark</w:t>
      </w:r>
      <w:r>
        <w:t xml:space="preserve"> </w:t>
      </w:r>
      <w:r>
        <w:t xml:space="preserve">was was estimated using Eq. (2), which was parameterized with a mean reference empirical measurement for each treatment, a Q</w:t>
      </w:r>
      <w:r>
        <w:rPr>
          <w:vertAlign w:val="subscript"/>
        </w:rPr>
        <w:t xml:space="preserve">10</w:t>
      </w:r>
      <w:r>
        <w:t xml:space="preserve"> </w:t>
      </w:r>
      <w:r>
        <w:t xml:space="preserve">value of 1.86, a reference air temperature for each treatment and air temperatures at each time step.</w:t>
      </w:r>
    </w:p>
    <w:p>
      <w:pPr>
        <w:pStyle w:val="BodyText"/>
      </w:pPr>
      <w:r>
        <w:br w:type="textWrapping"/>
      </w:r>
      <w:r>
        <w:t xml:space="preserve">(2)</w:t>
      </w:r>
    </w:p>
    <w:p>
      <w:pPr>
        <w:pStyle w:val="BodyText"/>
      </w:pPr>
      <m:oMathPara>
        <m:oMathParaPr>
          <m:jc m:val="center"/>
        </m:oMathParaPr>
        <m:oMath>
          <m:r>
            <m:t>R</m:t>
          </m:r>
          <m:r>
            <m:t> </m:t>
          </m:r>
          <m:r>
            <m:t>d</m:t>
          </m:r>
          <m:r>
            <m:t>a</m:t>
          </m:r>
          <m:r>
            <m:t>r</m:t>
          </m:r>
          <m:r>
            <m:t>k</m:t>
          </m:r>
          <m:r>
            <m:t> </m:t>
          </m:r>
          <m:r>
            <m:t>=</m:t>
          </m:r>
          <m:sSub>
            <m:e>
              <m:r>
                <m:t>R</m:t>
              </m:r>
            </m:e>
            <m:sub>
              <m:r>
                <m:t>r</m:t>
              </m:r>
              <m:r>
                <m:t>e</m:t>
              </m:r>
              <m:r>
                <m:t>f</m:t>
              </m:r>
            </m:sub>
          </m:sSub>
          <m:sSub>
            <m:e>
              <m:r>
                <m:t>Q</m:t>
              </m:r>
            </m:e>
            <m:sub>
              <m:r>
                <m:t>10</m:t>
              </m:r>
            </m:sub>
          </m:sSub>
          <m:sSup>
            <m:e>
              <m:r>
                <m:t> </m:t>
              </m:r>
            </m:e>
            <m:sup>
              <m:r>
                <m:t>(</m:t>
              </m:r>
              <m:r>
                <m:t>T</m:t>
              </m:r>
              <m:r>
                <m:t>−</m:t>
              </m:r>
              <m:sSub>
                <m:e>
                  <m:r>
                    <m:t>T</m:t>
                  </m:r>
                </m:e>
                <m:sub>
                  <m:r>
                    <m:t>r</m:t>
                  </m:r>
                  <m:r>
                    <m:t>e</m:t>
                  </m:r>
                  <m:r>
                    <m:t>f</m:t>
                  </m:r>
                </m:sub>
              </m:sSub>
              <m:r>
                <m:t>)</m:t>
              </m:r>
              <m:r>
                <m:t>/</m:t>
              </m:r>
              <m:r>
                <m:t>10</m:t>
              </m:r>
            </m:sup>
          </m:sSup>
        </m:oMath>
      </m:oMathPara>
    </w:p>
    <w:p>
      <w:pPr>
        <w:pStyle w:val="FirstParagraph"/>
      </w:pPr>
      <w:r>
        <w:t xml:space="preserve">Methods of the coupled leaf gas exchange model are also described in Duursma et al.</w:t>
      </w:r>
      <w:r>
        <w:t xml:space="preserve"> </w:t>
      </w:r>
      <w:r>
        <w:t xml:space="preserve">(2014)</w:t>
      </w:r>
      <w:r>
        <w:t xml:space="preserve">. Combined with the meteorological parameters; PPFD, air temperature, and relative humidity, at 15 min intervals, net leaf photosynthesis rates (</w:t>
      </w:r>
      <m:oMath>
        <m: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rPr>
          <w:vertAlign w:val="subscript"/>
        </w:rPr>
        <w:t xml:space="preserve">day</w:t>
      </w:r>
      <w:r>
        <w:t xml:space="preserve"> </w:t>
      </w:r>
      <w:r>
        <w:t xml:space="preserve">for each soil volume treatment, one value for each day of the experiment. Thus, each daily time step for model runs included a value of</w:t>
      </w:r>
      <w:r>
        <w:t xml:space="preserve"> </w:t>
      </w:r>
      <w:r>
        <w:rPr>
          <w:i/>
        </w:rPr>
        <w:t xml:space="preserve">P</w:t>
      </w:r>
      <w:r>
        <w:rPr>
          <w:vertAlign w:val="subscript"/>
        </w:rPr>
        <w:t xml:space="preserve">day</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t>σ</m:t>
        </m:r>
      </m:oMath>
      <w:r>
        <w:t xml:space="preserve">) when scaling</w:t>
      </w:r>
      <w:r>
        <w:t xml:space="preserve"> </w:t>
      </w:r>
      <w:r>
        <w:rPr>
          <w:i/>
        </w:rPr>
        <w:t xml:space="preserve">P</w:t>
      </w:r>
      <w:r>
        <w:rPr>
          <w:vertAlign w:val="subscript"/>
        </w:rPr>
        <w:t xml:space="preserve">day</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 'YplantQMC' 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 'YplantQMC' 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t>σ</m:t>
        </m:r>
      </m:oMath>
      <w:r>
        <w:t xml:space="preserve"> </w:t>
      </w:r>
      <w:r>
        <w:t xml:space="preserve">for each of the 61 digitized seedlings, independently for each of the seven soil volume treatments. Next, the linear relationship between</w:t>
      </w:r>
      <w:r>
        <w:t xml:space="preserve"> </w:t>
      </w:r>
      <m:oMath>
        <m:r>
          <m:t>σ</m:t>
        </m:r>
      </m:oMath>
      <w:r>
        <w:t xml:space="preserve"> </w:t>
      </w:r>
      <w:r>
        <w:t xml:space="preserve">and total leaf area was determined across digitized seedlings, within each treatment. For the growth model,</w:t>
      </w:r>
      <w:r>
        <w:t xml:space="preserve"> </w:t>
      </w:r>
      <m:oMath>
        <m: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 photosynthesis were sufficient to accurately predict overall seedling biomass production after 120 days. Cumulative net leaf C gain for each treatment was equal to the sum of each value of</w:t>
      </w:r>
      <w:r>
        <w:t xml:space="preserve"> </w:t>
      </w:r>
      <w:r>
        <w:rPr>
          <w:i/>
        </w:rPr>
        <w:t xml:space="preserve">P</w:t>
      </w:r>
      <w:r>
        <w:rPr>
          <w:vertAlign w:val="subscript"/>
        </w:rPr>
        <w:t xml:space="preserve">day</w:t>
      </w:r>
      <w:r>
        <w:t xml:space="preserve"> </w:t>
      </w:r>
      <w:r>
        <w:t xml:space="preserve">over 120 days and final seedling C was assumed to equal half of the final dry mass for observed seedlings. We then compared seedling C use efficiency (CUE) across treatments, as the proportion of modelled cumulative net leaf C gain allocated to observed seedling C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max</w:t>
      </w:r>
      <w:r>
        <w:t xml:space="preserve"> </w:t>
      </w:r>
      <w:r>
        <w:t xml:space="preserve">on a mass basis (</w:t>
      </w:r>
      <w:r>
        <w:rPr>
          <w:i/>
        </w:rPr>
        <w:t xml:space="preserve">A</w:t>
      </w:r>
      <w:r>
        <w:rPr>
          <w:vertAlign w:val="subscript"/>
        </w:rPr>
        <w:t xml:space="preserve">mass</w:t>
      </w:r>
      <w:r>
        <w:t xml:space="preserve">) and leaf chemistry was performed using the 'nlme' package</w:t>
      </w:r>
      <w:r>
        <w:t xml:space="preserve"> </w:t>
      </w:r>
      <w:r>
        <w:t xml:space="preserve">(Pinheiro et al.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and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w:t>
      </w:r>
      <w:r>
        <w:t xml:space="preserve"> </w:t>
      </w:r>
      <m:oMath>
        <m: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from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 (Figure 1).</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Total seedling leaf area at harvest was significantly different between container treatments and Free seedlings (</w:t>
      </w:r>
      <w:r>
        <w:rPr>
          <w:i/>
        </w:rPr>
        <w:t xml:space="preserve">P</w:t>
      </w:r>
      <w:r>
        <w:t xml:space="preserve"> </w:t>
      </w:r>
      <w:r>
        <w:t xml:space="preserve">&lt; 0.001, Table 1). On average, both harvested biomass and total leaf area of Free seedlings was &gt;80 %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accounted for in the analysis (Figure 3a,b). The final harvest root:shoot biomass ratio was conserved across all treatments, with a slightly higher shoot than root mass (</w:t>
      </w:r>
      <m:oMath>
        <m:bar>
          <m:barPr>
            <m:pos m:val="top"/>
          </m:barPr>
          <m:e>
            <m:r>
              <m:t>x</m:t>
            </m:r>
          </m:e>
        </m:bar>
      </m:oMath>
      <w:r>
        <w:t xml:space="preserve"> </w:t>
      </w:r>
      <w:r>
        <w:t xml:space="preserve">= 0.90, 95 % CI = [0.85,1.12]).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1,</w:t>
      </w:r>
      <w:r>
        <w:t xml:space="preserve"> </w:t>
      </w:r>
      <w:r>
        <w:rPr>
          <w:i/>
        </w:rPr>
        <w:t xml:space="preserve">P</w:t>
      </w:r>
      <w:r>
        <w:t xml:space="preserve"> </w:t>
      </w:r>
      <w:r>
        <w:t xml:space="preserve">= 0.009). Fine root length density was significantly higher in the two smallest container sizes and was the lowest in the largest container size (Table 1,</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2,</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2).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starch and leaf N</w:t>
      </w:r>
      <w:r>
        <w:rPr>
          <w:vertAlign w:val="subscript"/>
        </w:rPr>
        <w:t xml:space="preserve">f</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t>
      </w:r>
      <w:r>
        <w:rPr>
          <w:i/>
        </w:rPr>
        <w:t xml:space="preserve">A</w:t>
      </w:r>
      <w:r>
        <w:rPr>
          <w:vertAlign w:val="subscript"/>
        </w:rPr>
        <w:t xml:space="preserve">mass</w:t>
      </w:r>
      <w:r>
        <w:t xml:space="preserve">) was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We used predictions from the linear mixed effect model equation to visualize these relationships of</w:t>
      </w:r>
      <w:r>
        <w:t xml:space="preserve"> </w:t>
      </w:r>
      <w:r>
        <w:rPr>
          <w:i/>
        </w:rPr>
        <w:t xml:space="preserve">A</w:t>
      </w:r>
      <w:r>
        <w:rPr>
          <w:vertAlign w:val="subscript"/>
        </w:rPr>
        <w:t xml:space="preserve">mass</w:t>
      </w:r>
      <w:r>
        <w:t xml:space="preserve"> </w:t>
      </w:r>
      <w:r>
        <w:t xml:space="preserve">to either leaf N</w:t>
      </w:r>
      <w:r>
        <w:rPr>
          <w:vertAlign w:val="subscript"/>
        </w:rPr>
        <w:t xml:space="preserve">f</w:t>
      </w:r>
      <w:r>
        <w:t xml:space="preserve"> </w:t>
      </w:r>
      <w:r>
        <w:t xml:space="preserve">or leaf starch at multiple bin levels (n=5) of the co-variate parameter (Figure 4). Across all measurement campaigns and treatments</w:t>
      </w:r>
      <w:r>
        <w:t xml:space="preserve"> </w:t>
      </w:r>
      <w:r>
        <w:rPr>
          <w:i/>
        </w:rPr>
        <w:t xml:space="preserve">A</w:t>
      </w:r>
      <w:r>
        <w:rPr>
          <w:vertAlign w:val="subscript"/>
        </w:rPr>
        <w:t xml:space="preserve">mass</w:t>
      </w:r>
      <w:r>
        <w:t xml:space="preserve"> </w:t>
      </w:r>
      <w:r>
        <w:t xml:space="preserve">was higher when leaf N</w:t>
      </w:r>
      <w:r>
        <w:rPr>
          <w:vertAlign w:val="subscript"/>
        </w:rPr>
        <w:t xml:space="preserve">f</w:t>
      </w:r>
      <w:r>
        <w:t xml:space="preserve"> </w:t>
      </w:r>
      <w:r>
        <w:t xml:space="preserve">was also higher, usually associated with low levels of leaf starch (Figure 4a).</w:t>
      </w:r>
      <w:r>
        <w:t xml:space="preserve"> </w:t>
      </w:r>
      <w:r>
        <w:rPr>
          <w:i/>
        </w:rPr>
        <w:t xml:space="preserve">A</w:t>
      </w:r>
      <w:r>
        <w:rPr>
          <w:vertAlign w:val="subscript"/>
        </w:rPr>
        <w:t xml:space="preserve">mass</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4b).</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w:t>
      </w:r>
      <w:r>
        <w:t xml:space="preserve"> </w:t>
      </w:r>
      <w:r>
        <w:rPr>
          <w:i/>
        </w:rPr>
        <w:t xml:space="preserve">J</w:t>
      </w:r>
      <w:r>
        <w:rPr>
          <w:vertAlign w:val="subscript"/>
        </w:rPr>
        <w:t xml:space="preserve">max</w:t>
      </w:r>
      <w:r>
        <w:t xml:space="preserve"> </w:t>
      </w:r>
      <w:r>
        <w:t xml:space="preserve">/</w:t>
      </w:r>
      <w:r>
        <w:t xml:space="preserve"> </w:t>
      </w:r>
      <w:r>
        <w:rPr>
          <w:i/>
        </w:rPr>
        <w:t xml:space="preserve">V</w:t>
      </w:r>
      <w:r>
        <w:rPr>
          <w:vertAlign w:val="subscript"/>
        </w:rPr>
        <w:t xml:space="preserve">cmax</w:t>
      </w:r>
      <w:r>
        <w:t xml:space="preserve"> </w:t>
      </w:r>
      <w:r>
        <w:t xml:space="preserve">ratio was conserved across all treatments (1.6±0.02).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highest in the smaller containers and decreased in larger containers and the Free seedling treatment (Table 3).</w:t>
      </w:r>
    </w:p>
    <w:p>
      <w:pPr>
        <w:pStyle w:val="BodyText"/>
      </w:pPr>
      <w:r>
        <w:br w:type="textWrapping"/>
      </w:r>
      <w:r>
        <w:t xml:space="preserve">Neither</w:t>
      </w:r>
      <w:r>
        <w:t xml:space="preserve"> </w:t>
      </w:r>
      <m:oMath>
        <m:r>
          <m:t>Ψ</m:t>
        </m:r>
      </m:oMath>
      <w:r>
        <w:rPr>
          <w:vertAlign w:val="subscript"/>
        </w:rPr>
        <w:t xml:space="preserve">pd</w:t>
      </w:r>
      <w:r>
        <w:t xml:space="preserve"> </w:t>
      </w:r>
      <w:r>
        <w:t xml:space="preserve">nor</w:t>
      </w:r>
      <w:r>
        <w:t xml:space="preserve"> </w:t>
      </w:r>
      <m:oMath>
        <m: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t>δ</m:t>
        </m:r>
      </m:oMath>
      <w:r>
        <w:rPr>
          <w:vertAlign w:val="superscript"/>
        </w:rPr>
        <w:t xml:space="preserve">13</w:t>
      </w:r>
      <w:r>
        <w:t xml:space="preserve">C at final harvest was not different across treatments (Table 2). Combined, these indices provide strong evidence that water stress was not apparent on these seedlings throughout the experiment. Soil N at harvest was not different across soil volumes (mean of .045 %), with minimal decreases from pre-planting values (mean of = .049 %). This similarity indicates that nutrient leaching from Free seedlings or from draining of containers following natural rainfall events did not differ between treatments.</w:t>
      </w:r>
    </w:p>
    <w:p>
      <w:pPr>
        <w:pStyle w:val="Heading2"/>
      </w:pPr>
      <w:bookmarkStart w:id="37" w:name="whole-plant-c-balance"/>
      <w:bookmarkEnd w:id="37"/>
      <w:r>
        <w:t xml:space="preserve">Whole-plant C balance</w:t>
      </w:r>
    </w:p>
    <w:p>
      <w:pPr>
        <w:pStyle w:val="FirstParagraph"/>
      </w:pPr>
      <w:r>
        <w:t xml:space="preserve">Modelled cumulative net leaf C gain over 120 days varied three-fold across containers sizes (Table 1). The Free seedling control had five-fold greater modelled total C gain than the average of container treatments (213.6 vs 42.7±8.2 g C). For seedlings in containers, an average of 67 ±0.01 % of modelled C gain was not allocated to observed biomass, compared to 59.2 % for the Free seedling control. Consequently, the estimated CUE of containerized seedlings was lower than the Free seedling control (Figure 5).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8" w:name="discussion"/>
      <w:bookmarkEnd w:id="38"/>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growth.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sat</w:t>
      </w:r>
      <w:r>
        <w:t xml:space="preserve"> </w:t>
      </w:r>
      <w:r>
        <w:t xml:space="preserve">was also reduced, but reductions in net leaf photosynthesis rates were insufficient to fully explain the reduction in growth, implying that components such as non-leaf respiratory losses were also likely affected.</w:t>
      </w:r>
    </w:p>
    <w:p>
      <w:pPr>
        <w:pStyle w:val="Heading2"/>
      </w:pPr>
      <w:bookmarkStart w:id="39" w:name="changes-in-growth-and-physiology-under-sink-limitation"/>
      <w:bookmarkEnd w:id="39"/>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height, diameter and leaf area of seedlings in containers throughout the duration of the experiment.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sat</w:t>
      </w:r>
      <w:r>
        <w:t xml:space="preserve"> </w:t>
      </w:r>
      <w:r>
        <w:t xml:space="preserve">in small containers including increased soil temperatures, reduced water availability or nutrient content, or reduced sink strength</w:t>
      </w:r>
      <w:r>
        <w:t xml:space="preserve"> </w:t>
      </w:r>
      <w:r>
        <w:t xml:space="preserve">(Poorter, Bühler, et al. 2012)</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t>Ψ</m:t>
        </m:r>
      </m:oMath>
      <w:r>
        <w:rPr>
          <w:vertAlign w:val="subscript"/>
        </w:rPr>
        <w:t xml:space="preserve">pd</w:t>
      </w:r>
      <w:r>
        <w:t xml:space="preserve">), and consistent leaf</w:t>
      </w:r>
      <w:r>
        <w:t xml:space="preserve"> </w:t>
      </w:r>
      <m:oMath>
        <m: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sat</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and Strain 1991)</w:t>
      </w:r>
      <w:r>
        <w:t xml:space="preserve">. Similarly, severe reductions in leaf photosynthesis 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 et al. 2006)</w:t>
      </w:r>
      <w:r>
        <w:t xml:space="preserve">. It is thus likely that reductions in</w:t>
      </w:r>
      <w:r>
        <w:t xml:space="preserve"> </w:t>
      </w:r>
      <w:r>
        <w:rPr>
          <w:i/>
        </w:rPr>
        <w:t xml:space="preserve">A</w:t>
      </w:r>
      <w:r>
        <w:rPr>
          <w:vertAlign w:val="subscript"/>
        </w:rPr>
        <w:t xml:space="preserve">sat</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mass</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Overall, root N in Free seedlings was ~15 % higher than containerized seedlings at the end of the experiment. Unrestricted mycorrhizal recruitment could have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sat</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 et al. 2011)</w:t>
      </w:r>
      <w:r>
        <w:t xml:space="preserve">. Here, declines in</w:t>
      </w:r>
      <w:r>
        <w:t xml:space="preserve"> </w:t>
      </w:r>
      <w:r>
        <w:rPr>
          <w:i/>
        </w:rPr>
        <w:t xml:space="preserve">A</w:t>
      </w:r>
      <w:r>
        <w:rPr>
          <w:vertAlign w:val="subscript"/>
        </w:rPr>
        <w:t xml:space="preserve">mass</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sat</w:t>
      </w:r>
      <w:r>
        <w:t xml:space="preserve"> </w:t>
      </w:r>
      <w:r>
        <w:t xml:space="preserve">to sink inhibition was regulated by this accumulation, as hypothesized. Overall, it is likely that both nutrient limitation and reduced sink strength played a role in observed photosynthetic down regulation, but future studies are needed to identify the specific mechanisms which prompted these feedbacks.</w:t>
      </w:r>
    </w:p>
    <w:p>
      <w:pPr>
        <w:pStyle w:val="Heading2"/>
      </w:pPr>
      <w:bookmarkStart w:id="40" w:name="biomass-partitioning-under-sink-limitation"/>
      <w:bookmarkEnd w:id="40"/>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once ontogenetic drift was taken into account (Figure 3a,b). A conserved ratio of fine root mass to leaf mass was observed across all treatments, suggesting that seedlings maintained homeostasis with biomass partitioning instead of a functional partitioning response to optimize limiting soil resources</w:t>
      </w:r>
      <w:r>
        <w:t xml:space="preserve"> </w:t>
      </w:r>
      <w:r>
        <w:t xml:space="preserve">(i.e. Davidson 1969, Shipley and Meziane 2002)</w:t>
      </w:r>
      <w:r>
        <w:t xml:space="preserve">.</w:t>
      </w:r>
    </w:p>
    <w:p>
      <w:pPr>
        <w:pStyle w:val="BodyText"/>
      </w:pPr>
      <w:r>
        <w:br w:type="textWrapping"/>
      </w:r>
      <w:r>
        <w:t xml:space="preserve">The lack of detected shifts in partitioning to fine roots provides evidence against an optimal foraging strategy for seedlings in containers.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 et al. 2008)</w:t>
      </w:r>
      <w:r>
        <w:t xml:space="preserve">. Here, we found that fine root length density was highest in smallest containers suggesting that root restriction likely occurred as simple function of available rooting space. Additionally, physical restriction of root proliferation could have impacted root development and morphology prior to shifts in mass partitioning. Although plants in containers have been shown to have different root morphology to field grown plants</w:t>
      </w:r>
      <w:r>
        <w:t xml:space="preserve"> </w:t>
      </w:r>
      <w:r>
        <w:t xml:space="preserve">(NeSmith and Duval 1998)</w:t>
      </w:r>
      <w:r>
        <w:t xml:space="preserve">, increases in specific root length were detected in only one of the the soil volume treatments.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pPr>
        <w:pStyle w:val="FirstParagraph"/>
      </w:pPr>
      <w:r>
        <w:t xml:space="preserve">We use a simple approach to estimate cumulative seedling C gain with measured reductions in leaf photosynthetic parameters, via soil volume effects. Although reductions in both</w:t>
      </w:r>
      <w:r>
        <w:t xml:space="preserve"> </w:t>
      </w:r>
      <w:r>
        <w:rPr>
          <w:i/>
        </w:rPr>
        <w:t xml:space="preserve">A</w:t>
      </w:r>
      <w:r>
        <w:rPr>
          <w:vertAlign w:val="subscript"/>
        </w:rPr>
        <w:t xml:space="preserve">max</w:t>
      </w:r>
      <w:r>
        <w:t xml:space="preserve"> </w:t>
      </w:r>
      <w:r>
        <w:t xml:space="preserve">and biomass were correlated among treatments, as hypothesized by Poorter</w:t>
      </w:r>
      <w:r>
        <w:t xml:space="preserve"> </w:t>
      </w:r>
      <w:r>
        <w:rPr>
          <w:i/>
        </w:rPr>
        <w:t xml:space="preserve">et al.</w:t>
      </w:r>
      <w:r>
        <w:t xml:space="preserve"> </w:t>
      </w:r>
      <w:r>
        <w:t xml:space="preserve">(2012)</w:t>
      </w:r>
      <w:r>
        <w:t xml:space="preserve">, we provide evidence that the negative effects of sink limitation on</w:t>
      </w:r>
      <w:r>
        <w:t xml:space="preserve"> </w:t>
      </w:r>
      <w:r>
        <w:rPr>
          <w:i/>
        </w:rPr>
        <w:t xml:space="preserve">P</w:t>
      </w:r>
      <w:r>
        <w:rPr>
          <w:vertAlign w:val="subscript"/>
        </w:rPr>
        <w:t xml:space="preserve">day</w:t>
      </w:r>
      <w:r>
        <w:t xml:space="preserve"> </w:t>
      </w:r>
      <w:r>
        <w:t xml:space="preserve">do not fully explain reduced seedling growth. As estimated whole-plant C use efficiency was decreased in containerized seedlings,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 et al. 2001)</w:t>
      </w:r>
      <w:r>
        <w:t xml:space="preserve"> </w:t>
      </w:r>
      <w:r>
        <w:t xml:space="preserve">or growth rate</w:t>
      </w:r>
      <w:r>
        <w:t xml:space="preserve"> </w:t>
      </w:r>
      <w:r>
        <w:t xml:space="preserve">(Tjoelker et al.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suggests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 et al. 2000)</w:t>
      </w:r>
      <w:r>
        <w:t xml:space="preserve">. For example, the fraction of photosynthate used in respiration is known to vary depending on species and local environmental conditions</w:t>
      </w:r>
      <w:r>
        <w:t xml:space="preserve"> </w:t>
      </w:r>
      <w:r>
        <w:t xml:space="preserve">(Lambers et al.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that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at the whole plant level to growth, respiration, exudation and C storage. The degree to which these mechanisms regulate the C available for growth will undoubtedly shift across different species and environmental conditions.</w:t>
      </w:r>
    </w:p>
    <w:p>
      <w:pPr>
        <w:pStyle w:val="Heading2"/>
      </w:pPr>
      <w:bookmarkStart w:id="42" w:name="conclusions"/>
      <w:bookmarkEnd w:id="42"/>
      <w:r>
        <w:t xml:space="preserve">Conclusions</w:t>
      </w:r>
    </w:p>
    <w:p>
      <w:pPr>
        <w:pStyle w:val="FirstParagraph"/>
      </w:pPr>
      <w:r>
        <w:t xml:space="preserve">With a unique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3" w:name="acknowledgements"/>
      <w:bookmarkEnd w:id="43"/>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4" w:name="tables"/>
      <w:bookmarkEnd w:id="44"/>
      <w:r>
        <w:t xml:space="preserve">Tables</w:t>
      </w:r>
    </w:p>
    <w:p>
      <w:pPr>
        <w:pStyle w:val="FirstParagraph"/>
      </w:pPr>
      <w:r>
        <w:rPr>
          <w:b/>
        </w:rPr>
        <w:t xml:space="preserve">Table 1</w:t>
      </w:r>
      <w:r>
        <w:t xml:space="preserve">. Responses of plant characteristics of</w:t>
      </w:r>
      <w:r>
        <w:t xml:space="preserve"> </w:t>
      </w:r>
      <w:r>
        <w:rPr>
          <w:i/>
        </w:rPr>
        <w:t xml:space="preserve">Eucalyptus tereticornis</w:t>
      </w:r>
      <w:r>
        <w:t xml:space="preserve"> </w:t>
      </w:r>
      <w:r>
        <w:t xml:space="preserve">seedlings to soil volume treatments, including modelled cumulative net leaf carbon gain. Empirical values reflect the mean (± 1 standard error) for each treatment. Seedling mass, leaf area, SRL, and fine root length density (FRLD)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Values for FRLD were only calculated for seedlings in containers as Free seedlings had potentially unlimited soil volume to exploit. For empirical values,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 except for FRLD which represents only differences between seedlings in containers.</w:t>
      </w:r>
    </w:p>
    <w:tbl>
      <w:tblPr>
        <w:tblStyle w:val="TableNormal"/>
        <w:tblW w:type="pct" w:w="5000.0"/>
        <w:tblLook w:firstRow="1"/>
      </w:tblPr>
      <w:tblGrid>
        <w:gridCol w:w="1222"/>
        <w:gridCol w:w="1124"/>
        <w:gridCol w:w="1075"/>
        <w:gridCol w:w="1271"/>
        <w:gridCol w:w="928"/>
        <w:gridCol w:w="1026"/>
        <w:gridCol w:w="1271"/>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Leaf area (m</w:t>
            </w:r>
            <w:r>
              <w:rPr>
                <w:vertAlign w:val="superscript"/>
                <w:b/>
              </w:rPr>
              <w:t xml:space="preserve">2</w:t>
            </w:r>
            <w:r>
              <w:rPr>
                <w:b/>
              </w:rPr>
              <w:t xml:space="preserve">)</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c>
          <w:tcPr>
            <w:tcBorders>
              <w:bottom w:val="single"/>
            </w:tcBorders>
            <w:vAlign w:val="bottom"/>
          </w:tcPr>
          <w:p>
            <w:pPr>
              <w:pStyle w:val="Compact"/>
              <w:jc w:val="right"/>
            </w:pPr>
            <w:r>
              <w:rPr>
                <w:b/>
              </w:rPr>
              <w:t xml:space="preserve">Total Net C Gain (g)</w:t>
            </w:r>
          </w:p>
        </w:tc>
      </w:tr>
      <w:tr>
        <w:tc>
          <w:p>
            <w:pPr>
              <w:pStyle w:val="Compact"/>
              <w:jc w:val="left"/>
            </w:pPr>
            <w:r>
              <w:t xml:space="preserve">5</w:t>
            </w:r>
          </w:p>
        </w:tc>
        <w:tc>
          <w:p>
            <w:pPr>
              <w:pStyle w:val="Compact"/>
              <w:jc w:val="left"/>
            </w:pPr>
            <w:r>
              <w:t xml:space="preserve">14.8 (1.82) a</w:t>
            </w:r>
          </w:p>
        </w:tc>
        <w:tc>
          <w:p>
            <w:pPr>
              <w:pStyle w:val="Compact"/>
              <w:jc w:val="left"/>
            </w:pPr>
            <w:r>
              <w:t xml:space="preserve">0.02 (0.004) a</w:t>
            </w:r>
          </w:p>
        </w:tc>
        <w:tc>
          <w:p>
            <w:pPr>
              <w:pStyle w:val="Compact"/>
              <w:jc w:val="left"/>
            </w:pPr>
            <w:r>
              <w:t xml:space="preserve">11.8 (0.32) a</w:t>
            </w:r>
          </w:p>
        </w:tc>
        <w:tc>
          <w:p>
            <w:pPr>
              <w:pStyle w:val="Compact"/>
              <w:jc w:val="left"/>
            </w:pPr>
            <w:r>
              <w:t xml:space="preserve">73.0 (6.73) ab</w:t>
            </w:r>
          </w:p>
        </w:tc>
        <w:tc>
          <w:p>
            <w:pPr>
              <w:pStyle w:val="Compact"/>
              <w:jc w:val="left"/>
            </w:pPr>
            <w:r>
              <w:t xml:space="preserve">36.4 (5.68) bc</w:t>
            </w:r>
          </w:p>
        </w:tc>
        <w:tc>
          <w:p>
            <w:pPr>
              <w:pStyle w:val="Compact"/>
              <w:jc w:val="right"/>
            </w:pPr>
            <w:r>
              <w:t xml:space="preserve">23.1</w:t>
            </w:r>
          </w:p>
        </w:tc>
      </w:tr>
      <w:tr>
        <w:tc>
          <w:p>
            <w:pPr>
              <w:pStyle w:val="Compact"/>
              <w:jc w:val="left"/>
            </w:pPr>
            <w:r>
              <w:t xml:space="preserve">10</w:t>
            </w:r>
          </w:p>
        </w:tc>
        <w:tc>
          <w:p>
            <w:pPr>
              <w:pStyle w:val="Compact"/>
              <w:jc w:val="left"/>
            </w:pPr>
            <w:r>
              <w:t xml:space="preserve">20.0 (2.38) ab</w:t>
            </w:r>
          </w:p>
        </w:tc>
        <w:tc>
          <w:p>
            <w:pPr>
              <w:pStyle w:val="Compact"/>
              <w:jc w:val="left"/>
            </w:pPr>
            <w:r>
              <w:t xml:space="preserve">0.03 (0.003) a</w:t>
            </w:r>
          </w:p>
        </w:tc>
        <w:tc>
          <w:p>
            <w:pPr>
              <w:pStyle w:val="Compact"/>
              <w:jc w:val="left"/>
            </w:pPr>
            <w:r>
              <w:t xml:space="preserve">11.7 (0.31) a</w:t>
            </w:r>
          </w:p>
        </w:tc>
        <w:tc>
          <w:p>
            <w:pPr>
              <w:pStyle w:val="Compact"/>
              <w:jc w:val="left"/>
            </w:pPr>
            <w:r>
              <w:t xml:space="preserve">99.6 (8.70) b</w:t>
            </w:r>
          </w:p>
        </w:tc>
        <w:tc>
          <w:p>
            <w:pPr>
              <w:pStyle w:val="Compact"/>
              <w:jc w:val="left"/>
            </w:pPr>
            <w:r>
              <w:t xml:space="preserve">45.9 (8.68) c</w:t>
            </w:r>
          </w:p>
        </w:tc>
        <w:tc>
          <w:p>
            <w:pPr>
              <w:pStyle w:val="Compact"/>
              <w:jc w:val="right"/>
            </w:pPr>
            <w:r>
              <w:t xml:space="preserve">28.8</w:t>
            </w:r>
          </w:p>
        </w:tc>
      </w:tr>
      <w:tr>
        <w:tc>
          <w:p>
            <w:pPr>
              <w:pStyle w:val="Compact"/>
              <w:jc w:val="left"/>
            </w:pPr>
            <w:r>
              <w:t xml:space="preserve">15</w:t>
            </w:r>
          </w:p>
        </w:tc>
        <w:tc>
          <w:p>
            <w:pPr>
              <w:pStyle w:val="Compact"/>
              <w:jc w:val="left"/>
            </w:pPr>
            <w:r>
              <w:t xml:space="preserve">25.4 (2.49) ab</w:t>
            </w:r>
          </w:p>
        </w:tc>
        <w:tc>
          <w:p>
            <w:pPr>
              <w:pStyle w:val="Compact"/>
              <w:jc w:val="left"/>
            </w:pPr>
            <w:r>
              <w:t xml:space="preserve">0.05 (0.006) a</w:t>
            </w:r>
          </w:p>
        </w:tc>
        <w:tc>
          <w:p>
            <w:pPr>
              <w:pStyle w:val="Compact"/>
              <w:jc w:val="left"/>
            </w:pPr>
            <w:r>
              <w:t xml:space="preserve">12.7 (0.48) a</w:t>
            </w:r>
          </w:p>
        </w:tc>
        <w:tc>
          <w:p>
            <w:pPr>
              <w:pStyle w:val="Compact"/>
              <w:jc w:val="left"/>
            </w:pPr>
            <w:r>
              <w:t xml:space="preserve">74.6 (6.98) ab</w:t>
            </w:r>
          </w:p>
        </w:tc>
        <w:tc>
          <w:p>
            <w:pPr>
              <w:pStyle w:val="Compact"/>
              <w:jc w:val="left"/>
            </w:pPr>
            <w:r>
              <w:t xml:space="preserve">20.9 (1.51) ab</w:t>
            </w:r>
          </w:p>
        </w:tc>
        <w:tc>
          <w:p>
            <w:pPr>
              <w:pStyle w:val="Compact"/>
              <w:jc w:val="right"/>
            </w:pPr>
            <w:r>
              <w:t xml:space="preserve">43.2</w:t>
            </w:r>
          </w:p>
        </w:tc>
      </w:tr>
      <w:tr>
        <w:tc>
          <w:p>
            <w:pPr>
              <w:pStyle w:val="Compact"/>
              <w:jc w:val="left"/>
            </w:pPr>
            <w:r>
              <w:t xml:space="preserve">20</w:t>
            </w:r>
          </w:p>
        </w:tc>
        <w:tc>
          <w:p>
            <w:pPr>
              <w:pStyle w:val="Compact"/>
              <w:jc w:val="left"/>
            </w:pPr>
            <w:r>
              <w:t xml:space="preserve">23.4 (1.63) ab</w:t>
            </w:r>
          </w:p>
        </w:tc>
        <w:tc>
          <w:p>
            <w:pPr>
              <w:pStyle w:val="Compact"/>
              <w:jc w:val="left"/>
            </w:pPr>
            <w:r>
              <w:t xml:space="preserve">0.04 (0.004) a</w:t>
            </w:r>
          </w:p>
        </w:tc>
        <w:tc>
          <w:p>
            <w:pPr>
              <w:pStyle w:val="Compact"/>
              <w:jc w:val="left"/>
            </w:pPr>
            <w:r>
              <w:t xml:space="preserve">11.8 (0.37) a</w:t>
            </w:r>
          </w:p>
        </w:tc>
        <w:tc>
          <w:p>
            <w:pPr>
              <w:pStyle w:val="Compact"/>
              <w:jc w:val="left"/>
            </w:pPr>
            <w:r>
              <w:t xml:space="preserve">85.8 (7.37) ab</w:t>
            </w:r>
          </w:p>
        </w:tc>
        <w:tc>
          <w:p>
            <w:pPr>
              <w:pStyle w:val="Compact"/>
              <w:jc w:val="left"/>
            </w:pPr>
            <w:r>
              <w:t xml:space="preserve">23.0 (3.09) ab</w:t>
            </w:r>
          </w:p>
        </w:tc>
        <w:tc>
          <w:p>
            <w:pPr>
              <w:pStyle w:val="Compact"/>
              <w:jc w:val="right"/>
            </w:pPr>
            <w:r>
              <w:t xml:space="preserve">34.8</w:t>
            </w:r>
          </w:p>
        </w:tc>
      </w:tr>
      <w:tr>
        <w:tc>
          <w:p>
            <w:pPr>
              <w:pStyle w:val="Compact"/>
              <w:jc w:val="left"/>
            </w:pPr>
            <w:r>
              <w:t xml:space="preserve">25</w:t>
            </w:r>
          </w:p>
        </w:tc>
        <w:tc>
          <w:p>
            <w:pPr>
              <w:pStyle w:val="Compact"/>
              <w:jc w:val="left"/>
            </w:pPr>
            <w:r>
              <w:t xml:space="preserve">30.4 (5.49) ab</w:t>
            </w:r>
          </w:p>
        </w:tc>
        <w:tc>
          <w:p>
            <w:pPr>
              <w:pStyle w:val="Compact"/>
              <w:jc w:val="left"/>
            </w:pPr>
            <w:r>
              <w:t xml:space="preserve">0.06 (0.010) a</w:t>
            </w:r>
          </w:p>
        </w:tc>
        <w:tc>
          <w:p>
            <w:pPr>
              <w:pStyle w:val="Compact"/>
              <w:jc w:val="left"/>
            </w:pPr>
            <w:r>
              <w:t xml:space="preserve">12.4 (0.40) a</w:t>
            </w:r>
          </w:p>
        </w:tc>
        <w:tc>
          <w:p>
            <w:pPr>
              <w:pStyle w:val="Compact"/>
              <w:jc w:val="left"/>
            </w:pPr>
            <w:r>
              <w:t xml:space="preserve">82.5 (15.02) ab</w:t>
            </w:r>
          </w:p>
        </w:tc>
        <w:tc>
          <w:p>
            <w:pPr>
              <w:pStyle w:val="Compact"/>
              <w:jc w:val="left"/>
            </w:pPr>
            <w:r>
              <w:t xml:space="preserve">24.7 (7.58) ab</w:t>
            </w:r>
          </w:p>
        </w:tc>
        <w:tc>
          <w:p>
            <w:pPr>
              <w:pStyle w:val="Compact"/>
              <w:jc w:val="right"/>
            </w:pPr>
            <w:r>
              <w:t xml:space="preserve">46.2</w:t>
            </w:r>
          </w:p>
        </w:tc>
      </w:tr>
      <w:tr>
        <w:tc>
          <w:p>
            <w:pPr>
              <w:pStyle w:val="Compact"/>
              <w:jc w:val="left"/>
            </w:pPr>
            <w:r>
              <w:t xml:space="preserve">35</w:t>
            </w:r>
          </w:p>
        </w:tc>
        <w:tc>
          <w:p>
            <w:pPr>
              <w:pStyle w:val="Compact"/>
              <w:jc w:val="left"/>
            </w:pPr>
            <w:r>
              <w:t xml:space="preserve">52.2 (9.55) b</w:t>
            </w:r>
          </w:p>
        </w:tc>
        <w:tc>
          <w:p>
            <w:pPr>
              <w:pStyle w:val="Compact"/>
              <w:jc w:val="left"/>
            </w:pPr>
            <w:r>
              <w:t xml:space="preserve">0.11 (0.024) a</w:t>
            </w:r>
          </w:p>
        </w:tc>
        <w:tc>
          <w:p>
            <w:pPr>
              <w:pStyle w:val="Compact"/>
              <w:jc w:val="left"/>
            </w:pPr>
            <w:r>
              <w:t xml:space="preserve">13.5 (0.46) ab</w:t>
            </w:r>
          </w:p>
        </w:tc>
        <w:tc>
          <w:p>
            <w:pPr>
              <w:pStyle w:val="Compact"/>
              <w:jc w:val="left"/>
            </w:pPr>
            <w:r>
              <w:t xml:space="preserve">63.1 (6.47) a</w:t>
            </w:r>
          </w:p>
        </w:tc>
        <w:tc>
          <w:p>
            <w:pPr>
              <w:pStyle w:val="Compact"/>
              <w:jc w:val="left"/>
            </w:pPr>
            <w:r>
              <w:t xml:space="preserve">13.3 (1.98) a</w:t>
            </w:r>
          </w:p>
        </w:tc>
        <w:tc>
          <w:p>
            <w:pPr>
              <w:pStyle w:val="Compact"/>
              <w:jc w:val="right"/>
            </w:pPr>
            <w:r>
              <w:t xml:space="preserve">79.9</w:t>
            </w:r>
          </w:p>
        </w:tc>
      </w:tr>
      <w:tr>
        <w:tc>
          <w:p>
            <w:pPr>
              <w:pStyle w:val="Compact"/>
              <w:jc w:val="left"/>
            </w:pPr>
            <w:r>
              <w:t xml:space="preserve">Free</w:t>
            </w:r>
          </w:p>
        </w:tc>
        <w:tc>
          <w:p>
            <w:pPr>
              <w:pStyle w:val="Compact"/>
              <w:jc w:val="left"/>
            </w:pPr>
            <w:r>
              <w:t xml:space="preserve">174.5 (18.02) c</w:t>
            </w:r>
          </w:p>
        </w:tc>
        <w:tc>
          <w:p>
            <w:pPr>
              <w:pStyle w:val="Compact"/>
              <w:jc w:val="left"/>
            </w:pPr>
            <w:r>
              <w:t xml:space="preserve">0.47 (0.055) b</w:t>
            </w:r>
          </w:p>
        </w:tc>
        <w:tc>
          <w:p>
            <w:pPr>
              <w:pStyle w:val="Compact"/>
              <w:jc w:val="left"/>
            </w:pPr>
            <w:r>
              <w:t xml:space="preserve">15.1 (0.47) b</w:t>
            </w:r>
          </w:p>
        </w:tc>
        <w:tc>
          <w:p>
            <w:pPr>
              <w:pStyle w:val="Compact"/>
              <w:jc w:val="left"/>
            </w:pPr>
            <w:r>
              <w:t xml:space="preserve">50.9 (5.00) a</w:t>
            </w:r>
          </w:p>
        </w:tc>
        <w:tc>
          <w:p>
            <w:pStyle w:val="Compact"/>
          </w:p>
        </w:tc>
        <w:tc>
          <w:p>
            <w:pPr>
              <w:pStyle w:val="Compact"/>
              <w:jc w:val="right"/>
            </w:pPr>
            <w:r>
              <w:t xml:space="preserve">213.6</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0.009</w:t>
            </w:r>
          </w:p>
        </w:tc>
        <w:tc>
          <w:p>
            <w:pPr>
              <w:pStyle w:val="Compact"/>
              <w:jc w:val="left"/>
            </w:pPr>
            <w:r>
              <w:t xml:space="preserve">0.001</w:t>
            </w:r>
          </w:p>
        </w:tc>
        <w:tc>
          <w:p>
            <w:pPr>
              <w:pStyle w:val="Compact"/>
              <w:jc w:val="right"/>
            </w:pPr>
            <w:r>
              <w:t xml:space="preserve">NA</w:t>
            </w:r>
          </w:p>
        </w:tc>
      </w:tr>
    </w:tbl>
    <w:p>
      <w:pPr>
        <w:pStyle w:val="BodyText"/>
      </w:pPr>
      <w:r>
        <w:br w:type="textWrapping"/>
      </w:r>
      <w:r>
        <w:rPr>
          <w:b/>
        </w:rPr>
        <w:t xml:space="preserve">Table 2</w:t>
      </w:r>
      <w:r>
        <w:t xml:space="preserve">. Responses of leaf and root chemistry of</w:t>
      </w:r>
      <w:r>
        <w:t xml:space="preserve"> </w:t>
      </w:r>
      <w:r>
        <w:rPr>
          <w:i/>
        </w:rPr>
        <w:t xml:space="preserve">Eucalyptus tereticornis</w:t>
      </w:r>
      <w:r>
        <w:t xml:space="preserve"> </w:t>
      </w:r>
      <w:r>
        <w:t xml:space="preserve">seedlings to soil volume treatments. Each value reflects the mean (± 1 standard error) for each treatment. Values of leaf starch, leaf sugars and leaf N</w:t>
      </w:r>
      <w:r>
        <w:rPr>
          <w:vertAlign w:val="subscript"/>
        </w:rPr>
        <w:t xml:space="preserve">f</w:t>
      </w:r>
      <w:r>
        <w:t xml:space="preserve"> </w:t>
      </w:r>
      <w:r>
        <w:t xml:space="preserve">represent overall means across measurement campaigns (n=6). Leaf</w:t>
      </w:r>
      <w:r>
        <w:t xml:space="preserve"> </w:t>
      </w:r>
      <m:oMath>
        <m:r>
          <m:t>δ</m:t>
        </m:r>
      </m:oMath>
      <w:r>
        <w:rPr>
          <w:vertAlign w:val="superscript"/>
        </w:rPr>
        <w:t xml:space="preserve">13</w:t>
      </w:r>
      <w:r>
        <w:t xml:space="preserve">C and root N values are from final harvest. Different letters represent significant differences between treatments. The volume effect P value represents the overall difference between seedlings with soil volume restriction and the control seedlings.</w:t>
      </w:r>
    </w:p>
    <w:tbl>
      <w:tblPr>
        <w:tblStyle w:val="TableNormal"/>
        <w:tblW w:type="pct" w:w="5000.000000000001"/>
        <w:tblLook w:firstRow="1"/>
      </w:tblPr>
      <w:tblGrid>
        <w:gridCol w:w="1523"/>
        <w:gridCol w:w="1279"/>
        <w:gridCol w:w="1279"/>
        <w:gridCol w:w="1157"/>
        <w:gridCol w:w="1705"/>
        <w:gridCol w:w="974"/>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t>δ</m:t>
              </m:r>
            </m:oMath>
            <w:r>
              <w:rPr>
                <w:vertAlign w:val="superscript"/>
                <w:b/>
              </w:rPr>
              <w:t xml:space="preserve">13</w:t>
            </w:r>
            <w:r>
              <w:rPr>
                <w:b/>
              </w:rPr>
              <w:t xml:space="preserve">C (‰)</w:t>
            </w:r>
          </w:p>
        </w:tc>
        <w:tc>
          <w:tcPr>
            <w:tcBorders>
              <w:bottom w:val="single"/>
            </w:tcBorders>
            <w:vAlign w:val="bottom"/>
          </w:tcPr>
          <w:p>
            <w:pPr>
              <w:pStyle w:val="Compact"/>
              <w:jc w:val="left"/>
            </w:pPr>
            <w:r>
              <w:rPr>
                <w:b/>
              </w:rPr>
              <w:t xml:space="preserve">Root N (%)</w:t>
            </w:r>
          </w:p>
        </w:tc>
      </w:tr>
      <w:tr>
        <w:tc>
          <w:p>
            <w:pPr>
              <w:pStyle w:val="Compact"/>
              <w:jc w:val="left"/>
            </w:pPr>
            <w:r>
              <w:t xml:space="preserve">5</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c>
          <w:p>
            <w:pPr>
              <w:pStyle w:val="Compact"/>
              <w:jc w:val="left"/>
            </w:pPr>
            <w:r>
              <w:t xml:space="preserve">0.78 (0.04) ab</w:t>
            </w:r>
          </w:p>
        </w:tc>
      </w:tr>
      <w:tr>
        <w:tc>
          <w:p>
            <w:pPr>
              <w:pStyle w:val="Compact"/>
              <w:jc w:val="left"/>
            </w:pPr>
            <w:r>
              <w:t xml:space="preserve">10</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c>
          <w:p>
            <w:pPr>
              <w:pStyle w:val="Compact"/>
              <w:jc w:val="left"/>
            </w:pPr>
            <w:r>
              <w:t xml:space="preserve">0.75 (0.02) a</w:t>
            </w:r>
          </w:p>
        </w:tc>
      </w:tr>
      <w:tr>
        <w:tc>
          <w:p>
            <w:pPr>
              <w:pStyle w:val="Compact"/>
              <w:jc w:val="left"/>
            </w:pPr>
            <w:r>
              <w:t xml:space="preserve">15</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c>
          <w:p>
            <w:pPr>
              <w:pStyle w:val="Compact"/>
              <w:jc w:val="left"/>
            </w:pPr>
            <w:r>
              <w:t xml:space="preserve">0.71 (0.02) a</w:t>
            </w:r>
          </w:p>
        </w:tc>
      </w:tr>
      <w:tr>
        <w:tc>
          <w:p>
            <w:pPr>
              <w:pStyle w:val="Compact"/>
              <w:jc w:val="left"/>
            </w:pPr>
            <w:r>
              <w:t xml:space="preserve">20</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c>
          <w:p>
            <w:pPr>
              <w:pStyle w:val="Compact"/>
              <w:jc w:val="left"/>
            </w:pPr>
            <w:r>
              <w:t xml:space="preserve">0.76 (0.04) a</w:t>
            </w:r>
          </w:p>
        </w:tc>
      </w:tr>
      <w:tr>
        <w:tc>
          <w:p>
            <w:pPr>
              <w:pStyle w:val="Compact"/>
              <w:jc w:val="left"/>
            </w:pPr>
            <w:r>
              <w:t xml:space="preserve">25</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c>
          <w:p>
            <w:pPr>
              <w:pStyle w:val="Compact"/>
              <w:jc w:val="left"/>
            </w:pPr>
            <w:r>
              <w:t xml:space="preserve">0.74 (0.02) a</w:t>
            </w:r>
          </w:p>
        </w:tc>
      </w:tr>
      <w:tr>
        <w:tc>
          <w:p>
            <w:pPr>
              <w:pStyle w:val="Compact"/>
              <w:jc w:val="left"/>
            </w:pPr>
            <w:r>
              <w:t xml:space="preserve">35</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c>
          <w:p>
            <w:pPr>
              <w:pStyle w:val="Compact"/>
              <w:jc w:val="left"/>
            </w:pPr>
            <w:r>
              <w:t xml:space="preserve">0.77 (0.03) ab</w:t>
            </w:r>
          </w:p>
        </w:tc>
      </w:tr>
      <w:tr>
        <w:tc>
          <w:p>
            <w:pPr>
              <w:pStyle w:val="Compact"/>
              <w:jc w:val="left"/>
            </w:pPr>
            <w:r>
              <w:t xml:space="preserve">Free</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c>
          <w:p>
            <w:pPr>
              <w:pStyle w:val="Compact"/>
              <w:jc w:val="left"/>
            </w:pPr>
            <w:r>
              <w:t xml:space="preserve">0.90 (0.03) b</w:t>
            </w:r>
          </w:p>
        </w:tc>
      </w:tr>
      <w:tr>
        <w:tc>
          <w:p>
            <w:pPr>
              <w:pStyle w:val="Compact"/>
              <w:jc w:val="left"/>
            </w:pPr>
            <w:r>
              <w:t xml:space="preserve">Volume Effect (P value)</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c>
          <w:p>
            <w:pPr>
              <w:pStyle w:val="Compact"/>
              <w:jc w:val="left"/>
            </w:pPr>
            <w:r>
              <w:t xml:space="preserve">0.017</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A</w:t>
      </w:r>
      <w:r>
        <w:rPr>
          <w:vertAlign w:val="subscript"/>
        </w:rPr>
        <w:t xml:space="preserve">sat</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A</w:t>
      </w:r>
      <w:r>
        <w:rPr>
          <w:vertAlign w:val="subscript"/>
        </w:rPr>
        <w:t xml:space="preserve">sat</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5000.0"/>
        <w:tblLook w:firstRow="1"/>
      </w:tblPr>
      <w:tblGrid>
        <w:gridCol w:w="770"/>
        <w:gridCol w:w="1140"/>
        <w:gridCol w:w="1140"/>
        <w:gridCol w:w="1171"/>
        <w:gridCol w:w="1140"/>
        <w:gridCol w:w="1171"/>
        <w:gridCol w:w="924"/>
        <w:gridCol w:w="462"/>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A</w:t>
            </w:r>
            <w:r>
              <w:rPr>
                <w:vertAlign w:val="subscript"/>
                <w:b/>
              </w:rPr>
              <w:t xml:space="preserve">sat</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14.0 (0.8)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15.4 (1.0)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16.9 (0.9) 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17.4 (0.5)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15.6 (0.5)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16.0 (0.6)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21.4 (0.3)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5" w:name="figures"/>
      <w:bookmarkEnd w:id="45"/>
      <w:r>
        <w:t xml:space="preserve">Figures</w:t>
      </w:r>
    </w:p>
    <w:p>
      <w:pPr>
        <w:pStyle w:val="FirstParagraph"/>
      </w:pPr>
      <w:r>
        <w:rPr>
          <w:b/>
        </w:rPr>
        <w:t xml:space="preserve">Figure 1</w:t>
      </w:r>
      <w:r>
        <w:t xml:space="preserve">. Seedling growth over the duration of the experiment was strongly reduced in containerized seedlings compared to freely rooted seedlings. Height growth (a), diameter growth (b), and seedling leaf area estimated from leaf counts (c) measured weekly on</w:t>
      </w:r>
      <w:r>
        <w:t xml:space="preserve"> </w:t>
      </w:r>
      <w:r>
        <w:rPr>
          <w:i/>
        </w:rPr>
        <w:t xml:space="preserve">Eucalyptus tereticornis</w:t>
      </w:r>
      <w:r>
        <w:t xml:space="preserve"> </w:t>
      </w:r>
      <w:r>
        <w:t xml:space="preserve">seedlings across the experiment duration in 2013. Shown are soil volume treatment means ± standard error.</w:t>
      </w:r>
      <w:r>
        <w:br w:type="textWrapping"/>
      </w:r>
      <w:r>
        <w:rPr>
          <w:b/>
        </w:rPr>
        <w:t xml:space="preserve">Figure 2</w:t>
      </w:r>
      <w:r>
        <w:t xml:space="preserve">. Environmental drivers over the course of the experiment. Daily maximum and minimum temperature (a), total daily PPFD (b), and daily maximum vapour pressure deficit (c) in 2013.</w:t>
      </w:r>
      <w:r>
        <w:br w:type="textWrapping"/>
      </w:r>
      <w:r>
        <w:rPr>
          <w:b/>
        </w:rPr>
        <w:t xml:space="preserve">Figure 3</w:t>
      </w:r>
      <w:r>
        <w:t xml:space="preserve">. Biomass partitioning at final harvest did not respond strongly to soil volume treatment. (a) Relative partitioning to leaves, stems, and roots at the final harvest, shown as treatment means (standard errors omitted for clarity). (b) Bi-variate relationships between mass partitioning to leaves and stems + roots. Each symbol is a plant. Lines represent standardized major axis fitting of the log-transformed allometric relationships of leaf mass fraction by treatment. (c) Total leaf mass as a function of fine root biomass with ± standard error. The dashed line is a 1:1 line and the solid line represents the significant log-log model fit (</w:t>
      </w:r>
      <w:r>
        <w:rPr>
          <w:i/>
        </w:rPr>
        <w:t xml:space="preserve">R</w:t>
      </w:r>
      <w:r>
        <w:rPr>
          <w:vertAlign w:val="superscript"/>
        </w:rPr>
        <w:t xml:space="preserve">2</w:t>
      </w:r>
      <w:r>
        <w:t xml:space="preserve"> </w:t>
      </w:r>
      <w:r>
        <w:t xml:space="preserve">= 0.82) with equation: log(x) = -0.36 + 0.983 * log(y).</w:t>
      </w:r>
      <w:r>
        <w:br w:type="textWrapping"/>
      </w:r>
      <w:r>
        <w:rPr>
          <w:b/>
        </w:rPr>
        <w:t xml:space="preserve">Figure 4</w:t>
      </w:r>
      <w:r>
        <w:t xml:space="preserve">. Photosynthetic capacity on a leaf mass basis (A</w:t>
      </w:r>
      <w:r>
        <w:rPr>
          <w:vertAlign w:val="subscript"/>
        </w:rPr>
        <w:t xml:space="preserve">mass</w:t>
      </w:r>
      <w:r>
        <w:t xml:space="preserve">, measured at saturating light and [CO</w:t>
      </w:r>
      <w:r>
        <w:rPr>
          <w:vertAlign w:val="subscript"/>
        </w:rPr>
        <w:t xml:space="preserve">2</w:t>
      </w:r>
      <w:r>
        <w:t xml:space="preserve">]) was correlated to both leaf starch and nitrogen content. (a) A</w:t>
      </w:r>
      <w:r>
        <w:rPr>
          <w:vertAlign w:val="subscript"/>
        </w:rPr>
        <w:t xml:space="preserve">mass</w:t>
      </w:r>
      <w:r>
        <w:t xml:space="preserve"> </w:t>
      </w:r>
      <w:r>
        <w:t xml:space="preserve">was negatively related to leaf starch (shown as percentage of dry mass), in particular for leaves with higher nitrogen content (N</w:t>
      </w:r>
      <w:r>
        <w:rPr>
          <w:vertAlign w:val="subscript"/>
        </w:rPr>
        <w:t xml:space="preserve">mass</w:t>
      </w:r>
      <w:r>
        <w:t xml:space="preserve">). (b) A</w:t>
      </w:r>
      <w:r>
        <w:rPr>
          <w:vertAlign w:val="subscript"/>
        </w:rPr>
        <w:t xml:space="preserve">mass</w:t>
      </w:r>
      <w:r>
        <w:t xml:space="preserve"> </w:t>
      </w:r>
      <w:r>
        <w:t xml:space="preserve">was positively related to N</w:t>
      </w:r>
      <w:r>
        <w:rPr>
          <w:vertAlign w:val="subscript"/>
        </w:rPr>
        <w:t xml:space="preserve">mass</w:t>
      </w:r>
      <w:r>
        <w:t xml:space="preserve"> </w:t>
      </w:r>
      <w:r>
        <w:t xml:space="preserve">(expressed as N per unit mass after subtracting TNC content). In both panels, each symbol is an individual measurement of A</w:t>
      </w:r>
      <w:r>
        <w:rPr>
          <w:vertAlign w:val="subscript"/>
        </w:rPr>
        <w:t xml:space="preserve">mass</w:t>
      </w:r>
      <w:r>
        <w:t xml:space="preserve"> </w:t>
      </w:r>
      <w:r>
        <w:t xml:space="preserve">(data across all campaigns are shown).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- 221.96 + 28.58(N) - 3.31(Starch) - 0.87(N*Starch).</w:t>
      </w:r>
      <w:r>
        <w:br w:type="textWrapping"/>
      </w:r>
      <w:r>
        <w:rPr>
          <w:b/>
        </w:rPr>
        <w:t xml:space="preserve">Figure 5</w:t>
      </w:r>
      <w:r>
        <w:t xml:space="preserve">. The final biomass attained per unit total photosynthesis over the duration of the experiment. Note the higher ratio for the freely rooted seedlings compared to the containerized seedlings, indicating a higher carbon-use efficiency. Shown are treatment means, as the model scaling instantaneous leaf photosynthesis to total plant photosynthesis was run once for every treatment.</w:t>
      </w:r>
    </w:p>
    <w:p>
      <w:pPr>
        <w:pStyle w:val="Heading1"/>
      </w:pPr>
      <w:bookmarkStart w:id="46" w:name="references"/>
      <w:bookmarkEnd w:id="46"/>
      <w:r>
        <w:t xml:space="preserve">References</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Ainsworth EA, Rogers A, Nelson R, Long SP (2004) Testing the ‘source–sink’ hypothesis of down-regulation of photosynthesis in elevated [CO</w:t>
      </w:r>
      <w:r>
        <w:rPr>
          <w:vertAlign w:val="subscript"/>
        </w:rPr>
        <w:t xml:space="preserve">2</w:t>
      </w:r>
      <w:r>
        <w:t xml:space="preserve">] in the field with single gene substitutions in Glycine max. Agricultural and Forest Meteorology 122:85–94.</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Davidson RL (1969) Effect of root/leaf temperature differentials on root/shoot ratios in some pasture grasses and clover. Annals of Botany 33:561–569.</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 21:459–472.</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YplantQMC: Plant architectural analysis with Yplant and QuasiMC.</w:t>
      </w:r>
      <w:r>
        <w:t xml:space="preserve"> </w:t>
      </w:r>
      <w:hyperlink r:id="rId47">
        <w:r>
          <w:rPr>
            <w:rStyle w:val="Hyperlink"/>
          </w:rPr>
          <w:t xml:space="preserve">http://www.remkoduursma.com/yplantqmc, https://www.bitbucket.org/remkoduursma/yplantqmc/</w:t>
        </w:r>
      </w:hyperlink>
    </w:p>
    <w:p>
      <w:pPr>
        <w:pStyle w:val="Bibliography"/>
      </w:pPr>
      <w:r>
        <w:t xml:space="preserve">Duursma RA (2015) Plantecophys - An R Package for Analysing and Modelling Leaf Gas Exchange Data. PLoS ONE 10:e0143346.</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Biological Reviews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Hamilton JG, DeLucia EH, George K, Naidu SL, Finzi AC, Schlesinger WH (2002) Forest carbon balance under elevated CO</w:t>
      </w:r>
      <w:r>
        <w:rPr>
          <w:vertAlign w:val="subscript"/>
        </w:rPr>
        <w:t xml:space="preserve">2</w:t>
      </w:r>
      <w:r>
        <w:t xml:space="preserve">. Oecologia 131:250–260.</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Körner C (2013) Growth controls photosynthesis–mostly. Nova Acta Leopoldina 114:273–283.</w:t>
      </w:r>
    </w:p>
    <w:p>
      <w:pPr>
        <w:pStyle w:val="Bibliography"/>
      </w:pPr>
      <w:r>
        <w:t xml:space="preserve">Körner C (2015) Paradigm shift in plant growth control. Current Opinion in Plant Biology 25:107–114.</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 X, Lacointe A, Escobar-Gutiérrez A, Le Dizès S (2001) Carbon-based models of individual tree growth: a critical appraisal. Annals of Forest Science 58:469–506.</w:t>
      </w:r>
    </w:p>
    <w:p>
      <w:pPr>
        <w:pStyle w:val="Bibliography"/>
      </w:pPr>
      <w:r>
        <w:t xml:space="preserve">Leuzinger S, Manusch C, Bugmann H, Wolf A (2013) A sink-limited growth model improves biomass estimation along boreal and alpine tree lines. Global Ecology and Biogeography 22:924–932.</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w:t>
      </w:r>
      <w:r>
        <w:t xml:space="preserve"> </w:t>
      </w:r>
      <w:r>
        <w:rPr>
          <w:i/>
        </w:rPr>
        <w:t xml:space="preserve">Betula pubescens</w:t>
      </w:r>
      <w:r>
        <w:t xml:space="preserve">. Oecologia 140:234–240.</w:t>
      </w:r>
    </w:p>
    <w:p>
      <w:pPr>
        <w:pStyle w:val="Bibliography"/>
      </w:pPr>
      <w:r>
        <w:t xml:space="preserve">McCleary BV, Gibson TS, Mugford DC (1997) Measurement of total starch in cereal products by amyloglucosidase-</w:t>
      </w:r>
      <m:oMath>
        <m:r>
          <m:t>α</m:t>
        </m:r>
      </m:oMath>
      <w:r>
        <w:t xml:space="preserve">-amylase method: Collaborative study. Journal of AOAC International 80:571–579.</w:t>
      </w:r>
    </w:p>
    <w:p>
      <w:pPr>
        <w:pStyle w:val="Bibliography"/>
      </w:pPr>
      <w:r>
        <w:t xml:space="preserve">McConnaughay KDM, Bazzaz FA (1991) Is physical space a soil resource? Ecology 72:94–103.</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Muller B, Pantin F, Génard M, Turc O, Freixes S, Piques M, Gibon Y (2011) Water deficits uncouple growth from photosynthesis, increase C content, and modify the relationships between C and growth in sink organs. Journal of Experimental Botany 62:1715–1729.</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(2015) {nlme}: Linear and nonlinear mixed effects models.</w:t>
      </w:r>
      <w:r>
        <w:t xml:space="preserve"> </w:t>
      </w:r>
      <w:hyperlink r:id="rId48">
        <w:r>
          <w:rPr>
            <w:rStyle w:val="Hyper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Pinkard EA, Eyles A, O’Grady AP (2011) Are gas exchange responses to resource limitation and defoliation linked to source: sink relationships? Plant, Cell &amp; Environment 34:1652–1665.</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R Development Core Team R (2016) R: A language and environment for statistical computing Team RDC (ed). 1:409.</w:t>
      </w:r>
      <w:r>
        <w:t xml:space="preserve"> </w:t>
      </w:r>
      <w:hyperlink r:id="rId49">
        <w:r>
          <w:rPr>
            <w:rStyle w:val="Hyperlink"/>
          </w:rPr>
          <w:t xml:space="preserve">http://www.r-project.org</w:t>
        </w:r>
      </w:hyperlink>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Schäfer KVR, Oren R, Ellsworth DS, Lai C-T, Herrick JD, Finzi AC, Richter DD, Katul GG (2003) Exposure to an enriched CO</w:t>
      </w:r>
      <w:r>
        <w:rPr>
          <w:vertAlign w:val="subscript"/>
        </w:rPr>
        <w:t xml:space="preserve">2</w:t>
      </w:r>
      <w:r>
        <w:t xml:space="preserve"> </w:t>
      </w:r>
      <w:r>
        <w:t xml:space="preserve">atmosphere alters carbon assimilation and allocation in a pine forest ecosystem. Global Change Biology 9:1378–1400.</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Shipley B, Meziane D (2002) The balanced-growth hypothesis and the allometry of leaf and root biomass allocation. Functional Ecology 16:326–331.</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Wang YP, Rey A, Jarvis PG (1998) Carbon balance of young birch trees grown in ambient and elevated atmospheric CO</w:t>
      </w:r>
      <w:r>
        <w:rPr>
          <w:vertAlign w:val="subscript"/>
        </w:rPr>
        <w:t xml:space="preserve">2</w:t>
      </w:r>
      <w:r>
        <w:t xml:space="preserve"> </w:t>
      </w:r>
      <w:r>
        <w:t xml:space="preserve">concentrations. Global Change Biology 4:797–807.</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42881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8" Target="http://cran.r-project.org/package=nlme" TargetMode="External" /><Relationship Type="http://schemas.openxmlformats.org/officeDocument/2006/relationships/hyperlink" Id="rId49" Target="http://www.r-project.org" TargetMode="External" /><Relationship Type="http://schemas.openxmlformats.org/officeDocument/2006/relationships/hyperlink" Id="rId47"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48" Target="http://cran.r-project.org/package=nlme" TargetMode="External" /><Relationship Type="http://schemas.openxmlformats.org/officeDocument/2006/relationships/hyperlink" Id="rId49" Target="http://www.r-project.org" TargetMode="External" /><Relationship Type="http://schemas.openxmlformats.org/officeDocument/2006/relationships/hyperlink" Id="rId47"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dcterms:created xsi:type="dcterms:W3CDTF">2017-03-05T21:35:00Z</dcterms:created>
  <dcterms:modified xsi:type="dcterms:W3CDTF">2017-03-05T21:35:00Z</dcterms:modified>
</cp:coreProperties>
</file>