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4.png" ContentType="image/png"/>
  <Override PartName="/word/media/rId35.png" ContentType="image/png"/>
  <Override PartName="/word/media/rId33.png" ContentType="image/png"/>
  <Override PartName="/word/media/rId38.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Heading1"/>
      </w:pPr>
      <w:bookmarkStart w:id="21" w:name="abstract"/>
      <w:bookmarkEnd w:id="21"/>
      <w:r>
        <w:t xml:space="preserve">2.1 Abstract</w:t>
      </w:r>
    </w:p>
    <w:p>
      <w:pPr>
        <w:pStyle w:val="FirstParagraph"/>
      </w:pPr>
      <w:r>
        <w:t xml:space="preserve">Interpreting limitations to plant growth requires understanding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1"/>
      </w:pPr>
      <w:bookmarkStart w:id="22" w:name="introduction"/>
      <w:bookmarkEnd w:id="22"/>
      <w:r>
        <w:t xml:space="preserve">2.2 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i/>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proportional responses in growth.</w:t>
      </w:r>
    </w:p>
    <w:p>
      <w:pPr>
        <w:pStyle w:val="BodyText"/>
      </w:pPr>
      <w:r>
        <w:br w:type="textWrapping"/>
      </w:r>
      <w:r>
        <w:t xml:space="preserve">Alternatively, manipulating plant tissue C sinks is often used to investigate the correlation between</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rPr>
          <w:vertAlign w:val="subscript"/>
          <w:i/>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i/>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3" w:name="materials-and-methods"/>
      <w:bookmarkEnd w:id="23"/>
      <w:r>
        <w:t xml:space="preserve">2.3 Materials and Methods</w:t>
      </w:r>
    </w:p>
    <w:p>
      <w:pPr>
        <w:pStyle w:val="Heading2"/>
      </w:pPr>
      <w:bookmarkStart w:id="24" w:name="experimental-design"/>
      <w:bookmarkEnd w:id="24"/>
      <w:r>
        <w:t xml:space="preserve">2.3.1 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5" w:name="growth-and-morphology-metrics"/>
      <w:bookmarkEnd w:id="25"/>
      <w:r>
        <w:t xml:space="preserve">2.3.2 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6" w:name="photosynthetic-parameters"/>
      <w:bookmarkEnd w:id="26"/>
      <w:r>
        <w:t xml:space="preserve">2.3.3 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7" w:name="leaf-water-potential"/>
      <w:bookmarkEnd w:id="27"/>
      <w:r>
        <w:t xml:space="preserve">2.3.4 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28" w:name="leaf-root-and-soil-chemistry"/>
      <w:bookmarkEnd w:id="28"/>
      <w:r>
        <w:t xml:space="preserve">2.3.5 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29" w:name="seedling-growth-model"/>
      <w:bookmarkEnd w:id="29"/>
      <w:r>
        <w:t xml:space="preserve">2.3.6 Seedling growth model</w:t>
      </w:r>
    </w:p>
    <w:p>
      <w:pPr>
        <w:pStyle w:val="FirstParagraph"/>
      </w:pPr>
      <w:r>
        <w:t xml:space="preserve">We developed a simple seedling growth model that utilized leaf</w:t>
      </w:r>
      <w:r>
        <w:t xml:space="preserve"> </w:t>
      </w:r>
      <w:r>
        <w:rPr>
          <w:i/>
        </w:rPr>
        <w:t xml:space="preserve">A</w:t>
      </w:r>
      <w:r>
        <w:rPr>
          <w:vertAlign w:val="subscript"/>
          <w:i/>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Leaf respiration is represented in the calculation of C</w:t>
      </w:r>
      <w:r>
        <w:rPr>
          <w:vertAlign w:val="subscript"/>
        </w:rPr>
        <w:t xml:space="preserve">day</w:t>
      </w:r>
      <w:r>
        <w:t xml:space="preserve">.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(J</w:t>
      </w:r>
      <w:r>
        <w:rPr>
          <w:vertAlign w:val="subscript"/>
        </w:rPr>
        <w:t xml:space="preserve">max</w:t>
      </w:r>
      <w:r>
        <w:t xml:space="preserve">, Vc</w:t>
      </w:r>
      <w:r>
        <w:rPr>
          <w:vertAlign w:val="subscript"/>
        </w:rPr>
        <w:t xml:space="preserve">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i/>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i/>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i/>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i/>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rPr>
          <w:vertAlign w:val="subscript"/>
          <w:i/>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i/>
        </w:rPr>
        <w:t xml:space="preserve">n</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i/>
        </w:rPr>
        <w:t xml:space="preserve">n</w:t>
      </w:r>
      <w:r>
        <w:t xml:space="preserve"> </w:t>
      </w:r>
      <w:r>
        <w:t xml:space="preserve">alone could predict biomass of seedlings in containers (M</w:t>
      </w:r>
      <w:r>
        <w:rPr>
          <w:vertAlign w:val="subscript"/>
        </w:rPr>
        <w:t xml:space="preserve">pots</w:t>
      </w:r>
      <w:r>
        <w:t xml:space="preserve">). Next, model sensitivity to different C allocation scenarios, including observed treatment specific LMF and up-regulation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test for improvement of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0" w:name="data-analysis"/>
      <w:bookmarkEnd w:id="30"/>
      <w:r>
        <w:t xml:space="preserve">2.3.7 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1" w:name="results"/>
      <w:bookmarkEnd w:id="31"/>
      <w:r>
        <w:t xml:space="preserve">2.4 Results</w:t>
      </w:r>
    </w:p>
    <w:p>
      <w:pPr>
        <w:pStyle w:val="Heading2"/>
      </w:pPr>
      <w:bookmarkStart w:id="32" w:name="growth-and-morphology"/>
      <w:bookmarkEnd w:id="32"/>
      <w:r>
        <w:t xml:space="preserve">2.4.1 Growth and morphology</w:t>
      </w:r>
    </w:p>
    <w:p>
      <w:pPr>
        <w:pStyle w:val="FirstParagraph"/>
      </w:pPr>
      <w:r>
        <w:t xml:space="preserve">Plant height, diameter and leaf area diverged between container volumes soon after start of the experiment (Figure 2.1a-c).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6879049"/>
            <wp:effectExtent b="0" l="0" r="0" t="0"/>
            <wp:docPr descr="" id="1" name="Picture"/>
            <a:graphic>
              <a:graphicData uri="http://schemas.openxmlformats.org/drawingml/2006/picture">
                <pic:pic>
                  <pic:nvPicPr>
                    <pic:cNvPr descr="thesis_pve_files/figure-docx/allometry-1.png" id="0" name="Picture"/>
                    <pic:cNvPicPr>
                      <a:picLocks noChangeArrowheads="1" noChangeAspect="1"/>
                    </pic:cNvPicPr>
                  </pic:nvPicPr>
                  <pic:blipFill>
                    <a:blip r:embed="rId33"/>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6879049"/>
            <wp:effectExtent b="0" l="0" r="0" t="0"/>
            <wp:docPr descr="" id="1" name="Picture"/>
            <a:graphic>
              <a:graphicData uri="http://schemas.openxmlformats.org/drawingml/2006/picture">
                <pic:pic>
                  <pic:nvPicPr>
                    <pic:cNvPr descr="thesis_pve_files/figure-docx/airvars-1.png" id="0" name="Picture"/>
                    <pic:cNvPicPr>
                      <a:picLocks noChangeArrowheads="1" noChangeAspect="1"/>
                    </pic:cNvPicPr>
                  </pic:nvPicPr>
                  <pic:blipFill>
                    <a:blip r:embed="rId34"/>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3055.555555555558"/>
        <w:tblLook w:firstRow="1"/>
      </w:tblPr>
      <w:tblGrid>
        <w:gridCol w:w="2750"/>
        <w:gridCol w:w="2530"/>
        <w:gridCol w:w="3630"/>
        <w:gridCol w:w="2310"/>
        <w:gridCol w:w="2310"/>
        <w:gridCol w:w="3630"/>
        <w:gridCol w:w="352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thesis_pve_files/figure-docx/allocation-1.png" id="0" name="Picture"/>
                    <pic:cNvPicPr>
                      <a:picLocks noChangeArrowheads="1" noChangeAspect="1"/>
                    </pic:cNvPicPr>
                  </pic:nvPicPr>
                  <pic:blipFill>
                    <a:blip r:embed="rId35"/>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6" w:name="leaf-and-root-chemistry"/>
      <w:bookmarkEnd w:id="36"/>
      <w:r>
        <w:t xml:space="preserve">2.4.2 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7" w:name="gas-exchange-and-photosynthetic-parameters"/>
      <w:bookmarkEnd w:id="37"/>
      <w:r>
        <w:t xml:space="preserve">2.4.3 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thesis_pve_files/figure-docx/asat-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p>
    <w:p>
      <w:pPr>
        <w:pStyle w:val="BodyText"/>
      </w:pPr>
      <w:r>
        <w:br w:type="textWrapping"/>
      </w:r>
      <w:r>
        <w:rPr>
          <w:b/>
        </w:rPr>
        <w:t xml:space="preserve">Table 2.3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11388.88888888889"/>
        <w:tblLook w:firstRow="1"/>
      </w:tblPr>
      <w:tblGrid>
        <w:gridCol w:w="2750"/>
        <w:gridCol w:w="3850"/>
        <w:gridCol w:w="3300"/>
        <w:gridCol w:w="1760"/>
        <w:gridCol w:w="1650"/>
        <w:gridCol w:w="308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BodyText"/>
      </w:pPr>
      <w:r>
        <w:br w:type="textWrapping"/>
      </w:r>
      <w:r>
        <w:drawing>
          <wp:inline>
            <wp:extent cx="5422900" cy="4067175"/>
            <wp:effectExtent b="0" l="0" r="0" t="0"/>
            <wp:docPr descr="" id="1" name="Picture"/>
            <a:graphic>
              <a:graphicData uri="http://schemas.openxmlformats.org/drawingml/2006/picture">
                <pic:pic>
                  <pic:nvPicPr>
                    <pic:cNvPr descr="thesis_pve_files/figure-docx/A_tncnitro-1.png" id="0" name="Picture"/>
                    <pic:cNvPicPr>
                      <a:picLocks noChangeArrowheads="1" noChangeAspect="1"/>
                    </pic:cNvPicPr>
                  </pic:nvPicPr>
                  <pic:blipFill>
                    <a:blip r:embed="rId39"/>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0" w:name="modelling-seedling-biomass"/>
      <w:bookmarkEnd w:id="40"/>
      <w:r>
        <w:t xml:space="preserve">2.4.4 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thesis_pve_files/figure-docx/massmodel-1.png" id="0" name="Picture"/>
                    <pic:cNvPicPr>
                      <a:picLocks noChangeArrowheads="1" noChangeAspect="1"/>
                    </pic:cNvPicPr>
                  </pic:nvPicPr>
                  <pic:blipFill>
                    <a:blip r:embed="rId41"/>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2" w:name="discussion"/>
      <w:bookmarkEnd w:id="42"/>
      <w:r>
        <w:t xml:space="preserve">2.5 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3" w:name="reductions-in-growth-and-physiology-under-sink-limitation"/>
      <w:bookmarkEnd w:id="43"/>
      <w:r>
        <w:t xml:space="preserve">2.5.1 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4" w:name="biomass-partitioning-under-sink-limitation"/>
      <w:bookmarkEnd w:id="44"/>
      <w:r>
        <w:t xml:space="preserve">2.5.2 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5" w:name="do-reductions-in-photosynthesis-explain-reductions-in-seedling-growth"/>
      <w:bookmarkEnd w:id="45"/>
      <w:r>
        <w:t xml:space="preserve">2.5.3 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Vc</w:t>
      </w:r>
      <w:r>
        <w:rPr>
          <w:vertAlign w:val="subscript"/>
        </w:rPr>
        <w:t xml:space="preserve">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6" w:name="conclusions"/>
      <w:bookmarkEnd w:id="46"/>
      <w:r>
        <w:t xml:space="preserve">2.5.4 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7" w:name="supporting-information"/>
      <w:bookmarkEnd w:id="47"/>
      <w:r>
        <w:t xml:space="preserve">2.6 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thesis_pve_files/figure-docx/model_scenarios-1.png" id="0" name="Picture"/>
                    <pic:cNvPicPr>
                      <a:picLocks noChangeArrowheads="1" noChangeAspect="1"/>
                    </pic:cNvPicPr>
                  </pic:nvPicPr>
                  <pic:blipFill>
                    <a:blip r:embed="rId48"/>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9" w:name="references"/>
      <w:bookmarkEnd w:id="49"/>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0">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1">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b8ae2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_rels/footnotes.xml.rels><?xml version="1.0" encoding="UTF-8"?>
<Relationships xmlns="http://schemas.openxmlformats.org/package/2006/relationships"><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