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34.png" ContentType="image/png"/>
  <Override PartName="/word/media/rId35.png" ContentType="image/png"/>
  <Override PartName="/word/media/rId33.png" ContentType="image/png"/>
  <Override PartName="/word/media/rId38.png" ContentType="image/png"/>
  <Override PartName="/word/media/rId41.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r>
        <w:br w:type="textWrapping"/>
      </w: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Heading1"/>
      </w:pPr>
      <w:bookmarkStart w:id="21" w:name="abstract"/>
      <w:bookmarkEnd w:id="21"/>
      <w:r>
        <w:t xml:space="preserve">2.1 Abstract</w:t>
      </w:r>
    </w:p>
    <w:p>
      <w:pPr>
        <w:pStyle w:val="FirstParagraph"/>
      </w:pPr>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rPr>
          <w:vertAlign w:val="subscript"/>
          <w:i/>
        </w:rPr>
        <w:t xml:space="preserve">n</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rPr>
          <w:vertAlign w:val="subscript"/>
          <w:i/>
        </w:rPr>
        <w:t xml:space="preserve">n</w:t>
      </w:r>
      <w:r>
        <w:t xml:space="preserve"> </w:t>
      </w:r>
      <w:r>
        <w:t xml:space="preserve">explained the observed differences in seedling biomass. We found that although belowground sink limitation resulted in down regulation of</w:t>
      </w:r>
      <w:r>
        <w:t xml:space="preserve"> </w:t>
      </w:r>
      <w:r>
        <w:rPr>
          <w:i/>
        </w:rPr>
        <w:t xml:space="preserve">A</w:t>
      </w:r>
      <w:r>
        <w:rPr>
          <w:vertAlign w:val="subscript"/>
          <w:i/>
        </w:rPr>
        <w:t xml:space="preserve">n</w:t>
      </w:r>
      <w:r>
        <w:t xml:space="preserve">, these reductions were not large enough to explain observed growth responses. Thus, as</w:t>
      </w:r>
      <w:r>
        <w:t xml:space="preserve"> </w:t>
      </w:r>
      <w:r>
        <w:rPr>
          <w:i/>
        </w:rPr>
        <w:t xml:space="preserve">A</w:t>
      </w:r>
      <w:r>
        <w:rPr>
          <w:vertAlign w:val="subscript"/>
          <w:i/>
        </w:rPr>
        <w:t xml:space="preserve">n</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 that important feedbacks exist between belowground sink strength and leaf C uptake.</w:t>
      </w:r>
    </w:p>
    <w:p>
      <w:pPr>
        <w:pStyle w:val="Heading1"/>
      </w:pPr>
      <w:bookmarkStart w:id="22" w:name="introduction"/>
      <w:bookmarkEnd w:id="22"/>
      <w:r>
        <w:t xml:space="preserve">2.2 Introduction</w:t>
      </w:r>
    </w:p>
    <w:p>
      <w:pPr>
        <w:pStyle w:val="FirstParagraph"/>
      </w:pPr>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i/>
        </w:rPr>
        <w:t xml:space="preserve">n</w:t>
      </w:r>
      <w:r>
        <w:t xml:space="preserve">) and respiratory losses together determine net C balance and will correlate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i/>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pPr>
        <w:pStyle w:val="BodyText"/>
      </w:pPr>
      <w:r>
        <w:br w:type="textWrapping"/>
      </w:r>
      <w:r>
        <w:t xml:space="preserve">In woody species, the coordination of</w:t>
      </w:r>
      <w:r>
        <w:t xml:space="preserve"> </w:t>
      </w:r>
      <w:r>
        <w:rPr>
          <w:i/>
        </w:rPr>
        <w:t xml:space="preserve">A</w:t>
      </w:r>
      <w:r>
        <w:rPr>
          <w:vertAlign w:val="subscript"/>
          <w:i/>
        </w:rPr>
        <w:t xml:space="preserve">n</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i/>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i/>
        </w:rPr>
        <w:t xml:space="preserve">n</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rPr>
          <w:vertAlign w:val="subscript"/>
          <w:i/>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i/>
        </w:rPr>
        <w:t xml:space="preserve">n</w:t>
      </w:r>
      <w:r>
        <w:t xml:space="preserve"> </w:t>
      </w:r>
      <w:r>
        <w:t xml:space="preserve">do not always infer similar responses in growth.</w:t>
      </w:r>
    </w:p>
    <w:p>
      <w:pPr>
        <w:pStyle w:val="BodyText"/>
      </w:pPr>
      <w:r>
        <w:br w:type="textWrapping"/>
      </w:r>
      <w:r>
        <w:t xml:space="preserve">Alternatively, manipulating plant tissue C sinks is often used to investigate the correlation of</w:t>
      </w:r>
      <w:r>
        <w:t xml:space="preserve"> </w:t>
      </w:r>
      <w:r>
        <w:rPr>
          <w:i/>
        </w:rPr>
        <w:t xml:space="preserve">A</w:t>
      </w:r>
      <w:r>
        <w:rPr>
          <w:vertAlign w:val="subscript"/>
          <w:i/>
        </w:rPr>
        <w:t xml:space="preserve">n</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i/>
        </w:rPr>
        <w:t xml:space="preserve">n</w:t>
      </w:r>
      <w:r>
        <w:t xml:space="preserve"> </w:t>
      </w:r>
      <w:r>
        <w:t xml:space="preserve">occurs, a close coordination between declines in</w:t>
      </w:r>
      <w:r>
        <w:t xml:space="preserve"> </w:t>
      </w:r>
      <w:r>
        <w:rPr>
          <w:i/>
        </w:rPr>
        <w:t xml:space="preserve">A</w:t>
      </w:r>
      <w:r>
        <w:rPr>
          <w:vertAlign w:val="subscript"/>
          <w:i/>
        </w:rPr>
        <w:t xml:space="preserve">n</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rPr>
          <w:vertAlign w:val="subscript"/>
          <w:i/>
        </w:rPr>
        <w:t xml:space="preserve">n</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rPr>
          <w:vertAlign w:val="subscript"/>
          <w:i/>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i/>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i/>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i/>
        </w:rPr>
        <w:t xml:space="preserve">n</w:t>
      </w:r>
      <w:r>
        <w:t xml:space="preserve"> </w:t>
      </w:r>
      <w:r>
        <w:t xml:space="preserve">are coordinated.</w:t>
      </w:r>
    </w:p>
    <w:p>
      <w:pPr>
        <w:pStyle w:val="BodyText"/>
      </w:pPr>
      <w:r>
        <w:br w:type="textWrapping"/>
      </w:r>
      <w:r>
        <w:t xml:space="preserve">This study utilizes a novel field design to investigate the coordination between growth and</w:t>
      </w:r>
      <w:r>
        <w:t xml:space="preserve"> </w:t>
      </w:r>
      <w:r>
        <w:rPr>
          <w:i/>
        </w:rPr>
        <w:t xml:space="preserve">A</w:t>
      </w:r>
      <w:r>
        <w:rPr>
          <w:vertAlign w:val="subscript"/>
          <w:i/>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rPr>
          <w:vertAlign w:val="subscript"/>
          <w:i/>
        </w:rPr>
        <w:t xml:space="preserve">n</w:t>
      </w:r>
      <w:r>
        <w:t xml:space="preserve">, to quantify seedling dry mass production over the 120 day experiment.</w:t>
      </w:r>
    </w:p>
    <w:p>
      <w:pPr>
        <w:pStyle w:val="BodyText"/>
      </w:pPr>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 C balance model taking into account measured rates of photosynthesis.</w:t>
      </w:r>
    </w:p>
    <w:p>
      <w:pPr>
        <w:pStyle w:val="Heading1"/>
      </w:pPr>
      <w:bookmarkStart w:id="23" w:name="materials-and-methods"/>
      <w:bookmarkEnd w:id="23"/>
      <w:r>
        <w:t xml:space="preserve">2.3 Materials and Methods</w:t>
      </w:r>
    </w:p>
    <w:p>
      <w:pPr>
        <w:pStyle w:val="Heading2"/>
      </w:pPr>
      <w:bookmarkStart w:id="24" w:name="experimental-design"/>
      <w:bookmarkEnd w:id="24"/>
      <w:r>
        <w:t xml:space="preserve">2.3.1 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5" w:name="growth-and-morphology-metrics"/>
      <w:bookmarkEnd w:id="25"/>
      <w:r>
        <w:t xml:space="preserve">2.3.2 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6" w:name="photosynthetic-parameters"/>
      <w:bookmarkEnd w:id="26"/>
      <w:r>
        <w:t xml:space="preserve">2.3.3 Photosynthetic parameters</w:t>
      </w:r>
    </w:p>
    <w:p>
      <w:pPr>
        <w:pStyle w:val="FirstParagraph"/>
      </w:pPr>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7" w:name="leaf-water-potential"/>
      <w:bookmarkEnd w:id="27"/>
      <w:r>
        <w:t xml:space="preserve">2.3.4 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28" w:name="leaf-root-and-soil-chemistry"/>
      <w:bookmarkEnd w:id="28"/>
      <w:r>
        <w:t xml:space="preserve">2.3.5 Leaf, root and soil chemistry</w:t>
      </w:r>
    </w:p>
    <w:p>
      <w:pPr>
        <w:pStyle w:val="FirstParagraph"/>
      </w:pPr>
      <w:r>
        <w:t xml:space="preserve">Leaves used in each gas exchange measurements and subsamples of harvested roots were dried to a constant mass and milled for analysis of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29" w:name="seedling-growth-model"/>
      <w:bookmarkEnd w:id="29"/>
      <w:r>
        <w:t xml:space="preserve">2.3.6 Seedling growth model</w:t>
      </w:r>
    </w:p>
    <w:p>
      <w:pPr>
        <w:pStyle w:val="FirstParagraph"/>
      </w:pPr>
      <w:r>
        <w:t xml:space="preserve">We developed a simple seedling growth model that utilized leaf</w:t>
      </w:r>
      <w:r>
        <w:t xml:space="preserve"> </w:t>
      </w:r>
      <w:r>
        <w:rPr>
          <w:i/>
        </w:rPr>
        <w:t xml:space="preserve">A</w:t>
      </w:r>
      <w:r>
        <w:rPr>
          <w:vertAlign w:val="subscript"/>
          <w:i/>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t>d</m:t>
                      </m:r>
                      <m:r>
                        <m:rPr/>
                        <m:t>a</m:t>
                      </m:r>
                      <m:r>
                        <m:rPr/>
                        <m:t>y</m:t>
                      </m:r>
                      <m:r>
                        <m:rPr/>
                        <m:t>′</m:t>
                      </m:r>
                      <m:r>
                        <m:rPr/>
                        <m:t>i</m:t>
                      </m:r>
                    </m:sub>
                  </m:sSub>
                  <m:r>
                    <m:rPr/>
                    <m:t> </m:t>
                  </m:r>
                  <m:sSub>
                    <m:e>
                      <m:r>
                        <m:rPr/>
                        <m:t>σ</m:t>
                      </m:r>
                    </m:e>
                    <m:sub>
                      <m:r>
                        <m:rPr/>
                        <m:t>s</m:t>
                      </m:r>
                    </m:sub>
                  </m:sSub>
                </m:num>
                <m:den>
                  <m:sSub>
                    <m:e>
                      <m:r>
                        <m:rPr/>
                        <m:t>ϵ</m:t>
                      </m:r>
                    </m:e>
                    <m:sub>
                      <m:r>
                        <m:rPr/>
                        <m:t>c</m:t>
                      </m:r>
                    </m:sub>
                  </m:sSub>
                </m:den>
              </m:f>
            </m:e>
          </m:d>
          <m:r>
            <m:rPr/>
            <m:t>−</m:t>
          </m:r>
          <m:r>
            <m:rPr/>
            <m:t>R</m:t>
          </m:r>
        </m:oMath>
      </m:oMathPara>
    </w:p>
    <w:p>
      <w:pPr>
        <w:pStyle w:val="BodyText"/>
      </w:pPr>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t>σ</m:t>
        </m:r>
      </m:oMath>
      <w:r>
        <w:rPr>
          <w:vertAlign w:val="subscript"/>
        </w:rPr>
        <w:t xml:space="preserve">s</w:t>
      </w:r>
      <w:r>
        <w:t xml:space="preserve"> </w:t>
      </w:r>
      <w:r>
        <w:t xml:space="preserve">is a self 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t>c</m:t>
              </m:r>
            </m:sub>
          </m:sSub>
          <m:r>
            <m:rPr/>
            <m:t> </m:t>
          </m:r>
          <m:sSub>
            <m:e>
              <m:r>
                <m:rPr/>
                <m:t>M</m:t>
              </m:r>
            </m:e>
            <m:sub>
              <m:r>
                <m:rPr/>
                <m:t>c</m:t>
              </m:r>
            </m:sub>
          </m:sSub>
          <m:r>
            <m:rPr/>
            <m:t>)</m:t>
          </m:r>
        </m:oMath>
      </m:oMathPara>
    </w:p>
    <w:p>
      <w:pPr>
        <w:pStyle w:val="BodyText"/>
      </w:pPr>
      <w:r>
        <w:t xml:space="preserve">where R</w:t>
      </w:r>
      <w:r>
        <w:rPr>
          <w:vertAlign w:val="subscript"/>
        </w:rPr>
        <w:t xml:space="preserve">c</w:t>
      </w:r>
      <w:r>
        <w:t xml:space="preserve"> </w:t>
      </w:r>
      <w:r>
        <w:t xml:space="preserve">is published or local tissue respiration rates of fine roots, coarse roots or stems (Table 2.S3,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 </m:t>
          </m:r>
          <m:sSub>
            <m:e>
              <m:r>
                <m:rPr/>
                <m:t>P</m:t>
              </m:r>
            </m:e>
            <m:sub>
              <m:r>
                <m:rPr/>
                <m:t>i</m:t>
              </m:r>
            </m:sub>
          </m:sSub>
          <m:r>
            <m:rPr/>
            <m:t> </m:t>
          </m:r>
          <m:r>
            <m:rPr/>
            <m:t>−</m:t>
          </m:r>
          <m:r>
            <m:rPr/>
            <m:t> </m:t>
          </m:r>
          <m:r>
            <m:rPr/>
            <m:t>(</m:t>
          </m:r>
          <m:sSub>
            <m:e>
              <m:r>
                <m:rPr/>
                <m:t>Λ</m:t>
              </m:r>
            </m:e>
            <m:sub>
              <m:r>
                <m:rPr/>
                <m:t>c</m:t>
              </m:r>
            </m:sub>
          </m:sSub>
          <m:r>
            <m:rPr/>
            <m:t> </m:t>
          </m:r>
          <m:sSub>
            <m:e>
              <m:r>
                <m:rPr/>
                <m:t>M</m:t>
              </m:r>
            </m:e>
            <m:sub>
              <m:r>
                <m:rPr/>
                <m:t>c</m:t>
              </m:r>
            </m:sub>
          </m:sSub>
          <m:r>
            <m:rPr/>
            <m:t>)</m:t>
          </m:r>
        </m:oMath>
      </m:oMathPara>
    </w:p>
    <w:p>
      <w:pPr>
        <w:pStyle w:val="BodyText"/>
      </w:pPr>
      <w:r>
        <w:t xml:space="preserve">where 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Vc</w:t>
      </w:r>
      <w:r>
        <w:rPr>
          <w:vertAlign w:val="subscript"/>
        </w:rPr>
        <w:t xml:space="preserve">max</w:t>
      </w:r>
      <w:r>
        <w:t xml:space="preserve">, R 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 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i/>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rPr>
          <w:vertAlign w:val="subscript"/>
          <w:i/>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i/>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2.S3.</w:t>
      </w:r>
    </w:p>
    <w:p>
      <w:pPr>
        <w:pStyle w:val="BodyText"/>
      </w:pPr>
      <w:r>
        <w:br w:type="textWrapping"/>
      </w:r>
      <w:r>
        <w:t xml:space="preserve">We then utilized this model to test the hypothesis that the effects of belowground sink limitation on rates of leaf</w:t>
      </w:r>
      <w:r>
        <w:t xml:space="preserve"> </w:t>
      </w:r>
      <w:r>
        <w:rPr>
          <w:i/>
        </w:rPr>
        <w:t xml:space="preserve">A</w:t>
      </w:r>
      <w:r>
        <w:rPr>
          <w:vertAlign w:val="subscript"/>
          <w:i/>
        </w:rPr>
        <w:t xml:space="preserve">n</w:t>
      </w:r>
      <w:r>
        <w:t xml:space="preserve"> </w:t>
      </w:r>
      <w:r>
        <w:t xml:space="preserve">where sufficient to accurately predict overall seedling biomass production after 120 days. Each model run utilized changes in</w:t>
      </w:r>
      <w:r>
        <w:t xml:space="preserve"> </w:t>
      </w:r>
      <w:r>
        <w:rPr>
          <w:i/>
        </w:rPr>
        <w:t xml:space="preserve">A</w:t>
      </w:r>
      <w:r>
        <w:rPr>
          <w:vertAlign w:val="subscript"/>
          <w:i/>
        </w:rPr>
        <w:t xml:space="preserve">n</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pPr>
        <w:pStyle w:val="BodyText"/>
      </w:pPr>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i/>
        </w:rPr>
        <w:t xml:space="preserve">n</w:t>
      </w:r>
      <w:r>
        <w:t xml:space="preserve"> </w:t>
      </w:r>
      <w:r>
        <w:t xml:space="preserve">alone could predict biomass of seedlings in containers (M</w:t>
      </w:r>
      <w:r>
        <w:rPr>
          <w:vertAlign w:val="subscript"/>
        </w:rPr>
        <w:t xml:space="preserve">pots</w:t>
      </w:r>
      <w:r>
        <w:t xml:space="preserve">). Next, model sensitivity to different C allocation scenarios, including observed treatment specific LMF and up-regulation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0" w:name="data-analysis"/>
      <w:bookmarkEnd w:id="30"/>
      <w:r>
        <w:t xml:space="preserve">2.3.7 Data analysis</w:t>
      </w:r>
    </w:p>
    <w:p>
      <w:pPr>
        <w:pStyle w:val="FirstParagraph"/>
      </w:pPr>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2015)</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level of 0.05.</w:t>
      </w:r>
    </w:p>
    <w:p>
      <w:pPr>
        <w:pStyle w:val="Heading1"/>
      </w:pPr>
      <w:bookmarkStart w:id="31" w:name="results"/>
      <w:bookmarkEnd w:id="31"/>
      <w:r>
        <w:t xml:space="preserve">2.4 Results</w:t>
      </w:r>
    </w:p>
    <w:p>
      <w:pPr>
        <w:pStyle w:val="Heading2"/>
      </w:pPr>
      <w:bookmarkStart w:id="32" w:name="growth-and-morphology"/>
      <w:bookmarkEnd w:id="32"/>
      <w:r>
        <w:t xml:space="preserve">2.4.1 Growth and morphology</w:t>
      </w:r>
    </w:p>
    <w:p>
      <w:pPr>
        <w:pStyle w:val="FirstParagraph"/>
      </w:pPr>
      <w:r>
        <w:t xml:space="preserve">Plant height, diameter and leaf area diverged between container volumes soon after start of the experiment (Figure 2.1a-c).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2.2) likely slowed the growth of seedlings in the final weeks of the experiment.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r>
        <w:br w:type="textWrapping"/>
      </w:r>
      <w:r>
        <w:drawing>
          <wp:inline>
            <wp:extent cx="5422900" cy="6879049"/>
            <wp:effectExtent b="0" l="0" r="0" t="0"/>
            <wp:docPr descr="" id="1" name="Picture"/>
            <a:graphic>
              <a:graphicData uri="http://schemas.openxmlformats.org/drawingml/2006/picture">
                <pic:pic>
                  <pic:nvPicPr>
                    <pic:cNvPr descr="thesis_pve_files/figure-docx/allometry-1.png" id="0" name="Picture"/>
                    <pic:cNvPicPr>
                      <a:picLocks noChangeArrowheads="1" noChangeAspect="1"/>
                    </pic:cNvPicPr>
                  </pic:nvPicPr>
                  <pic:blipFill>
                    <a:blip r:embed="rId33"/>
                    <a:stretch>
                      <a:fillRect/>
                    </a:stretch>
                  </pic:blipFill>
                  <pic:spPr bwMode="auto">
                    <a:xfrm>
                      <a:off x="0" y="0"/>
                      <a:ext cx="5422900" cy="6879049"/>
                    </a:xfrm>
                    <a:prstGeom prst="rect">
                      <a:avLst/>
                    </a:prstGeom>
                    <a:noFill/>
                    <a:ln w="9525">
                      <a:noFill/>
                      <a:headEnd/>
                      <a:tailEnd/>
                    </a:ln>
                  </pic:spPr>
                </pic:pic>
              </a:graphicData>
            </a:graphic>
          </wp:inline>
        </w:drawing>
      </w:r>
      <w:r>
        <w:br w:type="textWrapping"/>
      </w:r>
      <w:r>
        <w:rPr>
          <w:b/>
        </w:rPr>
        <w:t xml:space="preserve">Figure 2.1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r>
        <w:br w:type="textWrapping"/>
      </w:r>
      <w:r>
        <w:drawing>
          <wp:inline>
            <wp:extent cx="5422900" cy="6879049"/>
            <wp:effectExtent b="0" l="0" r="0" t="0"/>
            <wp:docPr descr="" id="1" name="Picture"/>
            <a:graphic>
              <a:graphicData uri="http://schemas.openxmlformats.org/drawingml/2006/picture">
                <pic:pic>
                  <pic:nvPicPr>
                    <pic:cNvPr descr="thesis_pve_files/figure-docx/airvars-1.png" id="0" name="Picture"/>
                    <pic:cNvPicPr>
                      <a:picLocks noChangeArrowheads="1" noChangeAspect="1"/>
                    </pic:cNvPicPr>
                  </pic:nvPicPr>
                  <pic:blipFill>
                    <a:blip r:embed="rId34"/>
                    <a:stretch>
                      <a:fillRect/>
                    </a:stretch>
                  </pic:blipFill>
                  <pic:spPr bwMode="auto">
                    <a:xfrm>
                      <a:off x="0" y="0"/>
                      <a:ext cx="5422900" cy="6879049"/>
                    </a:xfrm>
                    <a:prstGeom prst="rect">
                      <a:avLst/>
                    </a:prstGeom>
                    <a:noFill/>
                    <a:ln w="9525">
                      <a:noFill/>
                      <a:headEnd/>
                      <a:tailEnd/>
                    </a:ln>
                  </pic:spPr>
                </pic:pic>
              </a:graphicData>
            </a:graphic>
          </wp:inline>
        </w:drawing>
      </w:r>
      <w:r>
        <w:br w:type="textWrapping"/>
      </w:r>
      <w:r>
        <w:rPr>
          <w:b/>
        </w:rPr>
        <w:t xml:space="preserve">Figure 2.2</w:t>
      </w:r>
      <w:r>
        <w:t xml:space="preserve">. Daily maximum and minimum temperature (a), total daily PPFD (b), and daily maximum vapour pressure deficit (c) across the experiment duration in 2013.</w:t>
      </w:r>
    </w:p>
    <w:p>
      <w:pPr>
        <w:pStyle w:val="BodyText"/>
      </w:pPr>
      <w:r>
        <w:br w:type="textWrapping"/>
      </w:r>
      <w:r>
        <w:t xml:space="preserve">Total seedling biomass at harvest was significantly different across container volumes (P &lt; 0.001) and between container treatments and free seedlings (P &lt; 0.001, Table 2.1).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2.3a,b).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a near identical ratio of leaf to fine root mass (Figure 2.3c).</w:t>
      </w:r>
    </w:p>
    <w:p>
      <w:pPr>
        <w:pStyle w:val="BodyText"/>
      </w:pPr>
      <w:r>
        <w:br w:type="textWrapping"/>
      </w:r>
      <w:r>
        <w:rPr>
          <w:b/>
        </w:rPr>
        <w:t xml:space="preserve">Table 2.1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12291.666666666668"/>
        <w:tblLook w:firstRow="1"/>
      </w:tblPr>
      <w:tblGrid>
        <w:gridCol w:w="2750"/>
        <w:gridCol w:w="2530"/>
        <w:gridCol w:w="3630"/>
        <w:gridCol w:w="2310"/>
        <w:gridCol w:w="2310"/>
        <w:gridCol w:w="363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drawing>
          <wp:inline>
            <wp:extent cx="5422900" cy="7230533"/>
            <wp:effectExtent b="0" l="0" r="0" t="0"/>
            <wp:docPr descr="" id="1" name="Picture"/>
            <a:graphic>
              <a:graphicData uri="http://schemas.openxmlformats.org/drawingml/2006/picture">
                <pic:pic>
                  <pic:nvPicPr>
                    <pic:cNvPr descr="thesis_pve_files/figure-docx/allocation-1.png" id="0" name="Picture"/>
                    <pic:cNvPicPr>
                      <a:picLocks noChangeArrowheads="1" noChangeAspect="1"/>
                    </pic:cNvPicPr>
                  </pic:nvPicPr>
                  <pic:blipFill>
                    <a:blip r:embed="rId35"/>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rPr>
          <w:b/>
        </w:rPr>
        <w:t xml:space="preserve">Figure 2.3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pPr>
        <w:pStyle w:val="BodyText"/>
      </w:pPr>
      <w:r>
        <w:br w:type="textWrapping"/>
      </w:r>
      <w:r>
        <w:t xml:space="preserve">Overall, SRL was higher in seedlings in containers compared to free seedlings but only in some of the container size treatments (Table 2.2, P = 0.009). Fine root length density was significantly higher in the two smallest container sizes and was the lowest in the largest container size (Table 2.2, P &lt; 0.001). Over the duration of the experiment SLA</w:t>
      </w:r>
      <w:r>
        <w:rPr>
          <w:vertAlign w:val="subscript"/>
        </w:rPr>
        <w:t xml:space="preserve">f</w:t>
      </w:r>
      <w:r>
        <w:t xml:space="preserve"> </w:t>
      </w:r>
      <w:r>
        <w:t xml:space="preserve">was higher in free seedlings, but was not different across containers sizes (Table 2.1, P &lt; 0.001) and this pattern was evident beginning in the first gas exchange measurement campaign (P &lt; 0.001).</w:t>
      </w:r>
    </w:p>
    <w:p>
      <w:pPr>
        <w:pStyle w:val="BodyText"/>
      </w:pPr>
      <w:r>
        <w:br w:type="textWrapping"/>
      </w:r>
      <w:r>
        <w:rPr>
          <w:b/>
        </w:rPr>
        <w:t xml:space="preserve">Table 2.2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Heading2"/>
      </w:pPr>
      <w:bookmarkStart w:id="36" w:name="leaf-and-root-chemistry"/>
      <w:bookmarkEnd w:id="36"/>
      <w:r>
        <w:t xml:space="preserve">2.4.2 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2.1, P &lt; 0.001). Leaf starch content in the smallest container was ca. double that of free seedlings (P = 0.039), while leaf soluble sugars did not differ across treatments throughout the experiment (Table 2.1). Differences in leaf starch between the free seedling and the smallest container were evident during the first gas exchange campaign (P = 0.001). Root N was higher in free seedlings compared to seedlings in containers but only for some of the container size treatments (Table 2.2).</w:t>
      </w:r>
    </w:p>
    <w:p>
      <w:pPr>
        <w:pStyle w:val="Heading2"/>
      </w:pPr>
      <w:bookmarkStart w:id="37" w:name="gas-exchange-and-photosynthetic-parameters"/>
      <w:bookmarkEnd w:id="37"/>
      <w:r>
        <w:t xml:space="preserve">2.4.3 Gas exchange and photosynthetic parameters</w:t>
      </w:r>
    </w:p>
    <w:p>
      <w:pPr>
        <w:pStyle w:val="FirstParagraph"/>
      </w:pPr>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2.4) and A</w:t>
      </w:r>
      <w:r>
        <w:rPr>
          <w:vertAlign w:val="subscript"/>
        </w:rPr>
        <w:t xml:space="preserve">max</w:t>
      </w:r>
      <w:r>
        <w:t xml:space="preserve"> </w:t>
      </w:r>
      <w:r>
        <w:t xml:space="preserve">(Table 2.3)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2.5). Across all measurement campaigns and treatments A</w:t>
      </w:r>
      <w:r>
        <w:rPr>
          <w:vertAlign w:val="subscript"/>
        </w:rPr>
        <w:t xml:space="preserve">max</w:t>
      </w:r>
      <w:r>
        <w:t xml:space="preserve"> </w:t>
      </w:r>
      <w:r>
        <w:t xml:space="preserve">was higher when leaf N was also higher, usually associated with low levels of leaf starch (Figure 2.5a). A</w:t>
      </w:r>
      <w:r>
        <w:rPr>
          <w:vertAlign w:val="subscript"/>
        </w:rPr>
        <w:t xml:space="preserve">max</w:t>
      </w:r>
      <w:r>
        <w:t xml:space="preserve"> </w:t>
      </w:r>
      <w:r>
        <w:t xml:space="preserve">was also lower when leaf starch was high as higher leaf N often did not coincide with high leaf starch (Figure 2.5b). Overall, A</w:t>
      </w:r>
      <w:r>
        <w:rPr>
          <w:vertAlign w:val="subscript"/>
        </w:rPr>
        <w:t xml:space="preserve">max</w:t>
      </w:r>
      <w:r>
        <w:t xml:space="preserve"> </w:t>
      </w:r>
      <w:r>
        <w:t xml:space="preserve">was positively correlated with final harvest biomass across all seedlings (P &lt; 0.001).</w:t>
      </w:r>
      <w:r>
        <w:br w:type="textWrapping"/>
      </w:r>
      <w:r>
        <w:drawing>
          <wp:inline>
            <wp:extent cx="5422900" cy="5422900"/>
            <wp:effectExtent b="0" l="0" r="0" t="0"/>
            <wp:docPr descr="" id="1" name="Picture"/>
            <a:graphic>
              <a:graphicData uri="http://schemas.openxmlformats.org/drawingml/2006/picture">
                <pic:pic>
                  <pic:nvPicPr>
                    <pic:cNvPr descr="thesis_pve_files/figure-docx/asat-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2.4</w:t>
      </w:r>
      <w:r>
        <w:t xml:space="preserve">. Soil volume treatment means ± standard error, across all measurement campaigns (n = 6), of light saturated rates of photosynthesis at 25°C. Different letters represent significant differences between treatments.</w:t>
      </w:r>
    </w:p>
    <w:p>
      <w:pPr>
        <w:pStyle w:val="BodyText"/>
      </w:pPr>
      <w:r>
        <w:br w:type="textWrapping"/>
      </w:r>
      <w:r>
        <w:rPr>
          <w:b/>
        </w:rPr>
        <w:t xml:space="preserve">Table 2.3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tbl>
      <w:tblPr>
        <w:tblStyle w:val="TableNormal"/>
        <w:tblW w:type="pct" w:w="11388.88888888889"/>
        <w:tblLook w:firstRow="1"/>
      </w:tblPr>
      <w:tblGrid>
        <w:gridCol w:w="2750"/>
        <w:gridCol w:w="3850"/>
        <w:gridCol w:w="3300"/>
        <w:gridCol w:w="1760"/>
        <w:gridCol w:w="1650"/>
        <w:gridCol w:w="308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BodyText"/>
      </w:pPr>
      <w:r>
        <w:br w:type="textWrapping"/>
      </w:r>
      <w:r>
        <w:drawing>
          <wp:inline>
            <wp:extent cx="5422900" cy="4067175"/>
            <wp:effectExtent b="0" l="0" r="0" t="0"/>
            <wp:docPr descr="" id="1" name="Picture"/>
            <a:graphic>
              <a:graphicData uri="http://schemas.openxmlformats.org/drawingml/2006/picture">
                <pic:pic>
                  <pic:nvPicPr>
                    <pic:cNvPr descr="thesis_pve_files/figure-docx/A_tncnitro-1.png" id="0" name="Picture"/>
                    <pic:cNvPicPr>
                      <a:picLocks noChangeArrowheads="1" noChangeAspect="1"/>
                    </pic:cNvPicPr>
                  </pic:nvPicPr>
                  <pic:blipFill>
                    <a:blip r:embed="rId39"/>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2.5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pPr>
        <w:pStyle w:val="BodyText"/>
      </w:pPr>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2.2). Leaf dark respiration rates were not significantly different across soil volumes (Table 2.2).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2.2).</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2.2,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2.1).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40" w:name="modelling-seedling-biomass"/>
      <w:bookmarkEnd w:id="40"/>
      <w:r>
        <w:t xml:space="preserve">2.4.4 Modelling seedling biomass</w:t>
      </w:r>
    </w:p>
    <w:p>
      <w:pPr>
        <w:pStyle w:val="FirstParagraph"/>
      </w:pPr>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2.6a). Thus, seedling C mass was overestimated by an average of 50±8.7 % in modeled seedlings across the soil volume treatments (Figure 2.6b).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r>
        <w:br w:type="textWrapping"/>
      </w:r>
      <w:r>
        <w:br w:type="textWrapping"/>
      </w:r>
      <w:r>
        <w:drawing>
          <wp:inline>
            <wp:extent cx="5422900" cy="7230533"/>
            <wp:effectExtent b="0" l="0" r="0" t="0"/>
            <wp:docPr descr="" id="1" name="Picture"/>
            <a:graphic>
              <a:graphicData uri="http://schemas.openxmlformats.org/drawingml/2006/picture">
                <pic:pic>
                  <pic:nvPicPr>
                    <pic:cNvPr descr="thesis_pve_files/figure-docx/massmodel-1.png" id="0" name="Picture"/>
                    <pic:cNvPicPr>
                      <a:picLocks noChangeArrowheads="1" noChangeAspect="1"/>
                    </pic:cNvPicPr>
                  </pic:nvPicPr>
                  <pic:blipFill>
                    <a:blip r:embed="rId41"/>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BodyText"/>
      </w:pPr>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2.3a), improved model predictions of seedling C mass but still overestimated seedling total C by 32±11.1 % (Figure 2.S1a). Using harvest values of LMF, however, does not capture the observed increase in leaf turnover of seedlings in small containers (Figure 2.1c).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2.S1b). With M</w:t>
      </w:r>
      <w:r>
        <w:rPr>
          <w:vertAlign w:val="subscript"/>
        </w:rPr>
        <w:t xml:space="preserve">S2</w:t>
      </w:r>
      <w:r>
        <w:t xml:space="preserve">, non-tissue respiration rates would need to be increased by ca. 250% in order for mass balance to be achieved.</w:t>
      </w:r>
    </w:p>
    <w:p>
      <w:pPr>
        <w:pStyle w:val="Heading1"/>
      </w:pPr>
      <w:bookmarkStart w:id="42" w:name="discussion"/>
      <w:bookmarkEnd w:id="42"/>
      <w:r>
        <w:t xml:space="preserve">2.5 Discussion</w:t>
      </w:r>
    </w:p>
    <w:p>
      <w:pPr>
        <w:pStyle w:val="FirstParagraph"/>
      </w:pPr>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i/>
        </w:rPr>
        <w:t xml:space="preserve">n</w:t>
      </w:r>
      <w:r>
        <w:t xml:space="preserve"> </w:t>
      </w:r>
      <w:r>
        <w:t xml:space="preserve">and growth by complementing empirical results with a C mass balance model. We found that reductions in leaf</w:t>
      </w:r>
      <w:r>
        <w:t xml:space="preserve"> </w:t>
      </w:r>
      <w:r>
        <w:rPr>
          <w:i/>
        </w:rPr>
        <w:t xml:space="preserve">A</w:t>
      </w:r>
      <w:r>
        <w:rPr>
          <w:vertAlign w:val="subscript"/>
          <w:i/>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43" w:name="reductions-in-growth-and-physiology-under-sink-limitation"/>
      <w:bookmarkEnd w:id="43"/>
      <w:r>
        <w:t xml:space="preserve">2.5.1 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i/>
        </w:rPr>
        <w:t xml:space="preserve">n</w:t>
      </w:r>
      <w:r>
        <w:t xml:space="preserve">. However, there are several possible mechanisms that can explain reduced</w:t>
      </w:r>
      <w:r>
        <w:t xml:space="preserve"> </w:t>
      </w:r>
      <w:r>
        <w:rPr>
          <w:i/>
        </w:rPr>
        <w:t xml:space="preserve">A</w:t>
      </w:r>
      <w:r>
        <w:rPr>
          <w:vertAlign w:val="subscript"/>
          <w:i/>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With high rates of g</w:t>
      </w:r>
      <w:r>
        <w:rPr>
          <w:vertAlign w:val="subscript"/>
        </w:rPr>
        <w:t xml:space="preserve">s</w:t>
      </w:r>
      <w:r>
        <w:t xml:space="preserve">, non-limiting leaf water potential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i/>
        </w:rPr>
        <w:t xml:space="preserve">n</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i/>
        </w:rPr>
        <w:t xml:space="preserve">n</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i/>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Here, reductions in</w:t>
      </w:r>
      <w:r>
        <w:t xml:space="preserve"> </w:t>
      </w:r>
      <w:r>
        <w:rPr>
          <w:i/>
        </w:rPr>
        <w:t xml:space="preserve">A</w:t>
      </w:r>
      <w:r>
        <w:rPr>
          <w:vertAlign w:val="subscript"/>
          <w:i/>
        </w:rPr>
        <w:t xml:space="preserve">n</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effects of belowground sink limitation on</w:t>
      </w:r>
      <w:r>
        <w:t xml:space="preserve"> </w:t>
      </w:r>
      <w:r>
        <w:rPr>
          <w:i/>
        </w:rPr>
        <w:t xml:space="preserve">A</w:t>
      </w:r>
      <w:r>
        <w:rPr>
          <w:vertAlign w:val="subscript"/>
          <w:i/>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i/>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i/>
        </w:rPr>
        <w:t xml:space="preserve">n</w:t>
      </w:r>
      <w:r>
        <w:t xml:space="preserve"> </w:t>
      </w:r>
      <w:r>
        <w:t xml:space="preserve">to sink inhibition was regulated by this accumulation, as hypothesized.</w:t>
      </w:r>
    </w:p>
    <w:p>
      <w:pPr>
        <w:pStyle w:val="Heading2"/>
      </w:pPr>
      <w:bookmarkStart w:id="44" w:name="biomass-partitioning-under-sink-limitation"/>
      <w:bookmarkEnd w:id="44"/>
      <w:r>
        <w:t xml:space="preserve">2.5.2 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2.3a,b).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5" w:name="do-reductions-in-photosynthesis-explain-reductions-in-seedling-growth"/>
      <w:bookmarkEnd w:id="45"/>
      <w:r>
        <w:t xml:space="preserve">2.5.3 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i/>
        </w:rPr>
        <w:t xml:space="preserve">n</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i/>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i/>
        </w:rPr>
        <w:t xml:space="preserve">n</w:t>
      </w:r>
      <w:r>
        <w:t xml:space="preserve">, however, the robust empirical based methods used to generate photosynthetic parameters (J</w:t>
      </w:r>
      <w:r>
        <w:rPr>
          <w:vertAlign w:val="subscript"/>
        </w:rPr>
        <w:t xml:space="preserve">max</w:t>
      </w:r>
      <w:r>
        <w:t xml:space="preserve">, Vc</w:t>
      </w:r>
      <w:r>
        <w:rPr>
          <w:vertAlign w:val="subscript"/>
        </w:rPr>
        <w:t xml:space="preserve">max</w:t>
      </w:r>
      <w:r>
        <w:t xml:space="preserve">, R 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i/>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pPr>
        <w:pStyle w:val="BodyText"/>
      </w:pPr>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rPr>
          <w:vertAlign w:val="subscript"/>
          <w:i/>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i/>
        </w:rPr>
        <w:t xml:space="preserve">n</w:t>
      </w:r>
      <w:r>
        <w:t xml:space="preserve"> </w:t>
      </w:r>
      <w:r>
        <w:t xml:space="preserve">and the fate of C allocated to growth, respiration and C storage in leaves. It will be the interactions between these two components that will determine the total C gain available for plant growth.</w:t>
      </w:r>
    </w:p>
    <w:p>
      <w:pPr>
        <w:pStyle w:val="BodyText"/>
      </w:pPr>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rPr>
          <w:vertAlign w:val="subscript"/>
          <w:i/>
        </w:rPr>
        <w:t xml:space="preserve">n</w:t>
      </w:r>
      <w:r>
        <w:t xml:space="preserve"> </w:t>
      </w:r>
      <w:r>
        <w:t xml:space="preserve">and respiration, partial accounting of C dynamics can easily lead to erroneous conclusions</w:t>
      </w:r>
      <w:r>
        <w:t xml:space="preserve"> </w:t>
      </w:r>
      <w:r>
        <w:t xml:space="preserve">(Valentini et al. 2000)</w:t>
      </w:r>
      <w:r>
        <w:t xml:space="preserve">.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i/>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6" w:name="conclusions"/>
      <w:bookmarkEnd w:id="46"/>
      <w:r>
        <w:t xml:space="preserve">2.5.4 Conclusions</w:t>
      </w:r>
    </w:p>
    <w:p>
      <w:pPr>
        <w:pStyle w:val="FirstParagraph"/>
      </w:pPr>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rPr>
          <w:vertAlign w:val="subscript"/>
          <w:i/>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i/>
        </w:rPr>
        <w:t xml:space="preserve">n</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7" w:name="supporting-information"/>
      <w:bookmarkEnd w:id="47"/>
      <w:r>
        <w:t xml:space="preserve">2.6 Supporting Information</w:t>
      </w:r>
    </w:p>
    <w:p>
      <w:pPr>
        <w:pStyle w:val="FirstParagraph"/>
      </w:pPr>
      <w:r>
        <w:rPr>
          <w:b/>
        </w:rPr>
        <w:t xml:space="preserve">Table 2.S1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22900" cy="7230533"/>
            <wp:effectExtent b="0" l="0" r="0" t="0"/>
            <wp:docPr descr="" id="1" name="Picture"/>
            <a:graphic>
              <a:graphicData uri="http://schemas.openxmlformats.org/drawingml/2006/picture">
                <pic:pic>
                  <pic:nvPicPr>
                    <pic:cNvPr descr="thesis_pve_files/figure-docx/model_scenarios-1.png" id="0" name="Picture"/>
                    <pic:cNvPicPr>
                      <a:picLocks noChangeArrowheads="1" noChangeAspect="1"/>
                    </pic:cNvPicPr>
                  </pic:nvPicPr>
                  <pic:blipFill>
                    <a:blip r:embed="rId48"/>
                    <a:stretch>
                      <a:fillRect/>
                    </a:stretch>
                  </pic:blipFill>
                  <pic:spPr bwMode="auto">
                    <a:xfrm>
                      <a:off x="0" y="0"/>
                      <a:ext cx="5422900" cy="7230533"/>
                    </a:xfrm>
                    <a:prstGeom prst="rect">
                      <a:avLst/>
                    </a:prstGeom>
                    <a:noFill/>
                    <a:ln w="9525">
                      <a:noFill/>
                      <a:headEnd/>
                      <a:tailEnd/>
                    </a:ln>
                  </pic:spPr>
                </pic:pic>
              </a:graphicData>
            </a:graphic>
          </wp:inline>
        </w:drawing>
      </w:r>
      <w:r>
        <w:br w:type="textWrapping"/>
      </w:r>
      <w:r>
        <w:br w:type="textWrapping"/>
      </w:r>
      <w:r>
        <w:br w:type="textWrapping"/>
      </w:r>
      <w:r>
        <w:rPr>
          <w:b/>
        </w:rPr>
        <w:t xml:space="preserve">Figure 2.S1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9" w:name="references"/>
      <w:bookmarkEnd w:id="49"/>
      <w:r>
        <w:t xml:space="preserve">References</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[CO_2]: mechanisms and environmental interactions. Plant, cell &amp; environment 30:258–270.</w:t>
      </w:r>
    </w:p>
    <w:p>
      <w:pPr>
        <w:pStyle w:val="Bibliography"/>
      </w:pPr>
      <w:r>
        <w:t xml:space="preserve">Arp WJ (1991) Effects of source-sink relations on photosynthetic acclimation to elevated CO_2.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w:r>
        <w:rPr>
          <w:i/>
        </w:rPr>
        <w:t xml:space="preserve">Eucalyptus globulus</w:t>
      </w:r>
      <w:r>
        <w:t xml:space="preserve"> </w:t>
      </w:r>
      <w:r>
        <w:t xml:space="preserve">trees outside their native range has limited adjustment to elevated CO_2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w:r>
        <w:rPr>
          <w:i/>
        </w:rPr>
        <w:t xml:space="preserve">Eucalyptus</w:t>
      </w:r>
      <w:r>
        <w:t xml:space="preserve"> </w:t>
      </w:r>
      <w:r>
        <w:t xml:space="preserve">species. Global change biology 21:459–472.</w:t>
      </w:r>
    </w:p>
    <w:p>
      <w:pPr>
        <w:pStyle w:val="Bibliography"/>
      </w:pPr>
      <w:r>
        <w:t xml:space="preserve">Drake BG, Gonzàlez-Meler MA, Long SP (1997) More efficient plants: a consequence of rising atmospheric CO_2?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w:t>
      </w:r>
    </w:p>
    <w:p>
      <w:pPr>
        <w:pStyle w:val="Bibliography"/>
      </w:pPr>
      <w:r>
        <w:t xml:space="preserve">Duursma R YplantQMC: Plant architectural analysis with Yplant and QuasiMC.</w:t>
      </w:r>
      <w:r>
        <w:t xml:space="preserve"> </w:t>
      </w:r>
      <w:hyperlink r:id="rId50">
        <w:r>
          <w:rPr>
            <w:rStyle w:val="Hyperlink"/>
          </w:rPr>
          <w:t xml:space="preserve">http://www.remkoduursma.com/yplantqmc, https://www.bitbucket.org/remkoduursma/yplantqmc/</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w:t>
      </w:r>
      <w:r>
        <w:t xml:space="preserve"> </w:t>
      </w:r>
      <w:r>
        <w:rPr>
          <w:i/>
        </w:rPr>
        <w:t xml:space="preserve">Eucalyptus globulus</w:t>
      </w:r>
      <w:r>
        <w:t xml:space="preserve"> </w:t>
      </w:r>
      <w:r>
        <w:t xml:space="preserve">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CO_2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CO_2: a broader perspective. Photosynthesis research 39:369–388.</w:t>
      </w:r>
    </w:p>
    <w:p>
      <w:pPr>
        <w:pStyle w:val="Bibliography"/>
      </w:pPr>
      <w:r>
        <w:t xml:space="preserve">Handa IT, Körner C, Hättenschwiler S (2005) A test of the treeline carbon limitation hypothesis by in situ CO_2 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w:t>
      </w:r>
      <w:r>
        <w:t xml:space="preserve"> </w:t>
      </w:r>
      <w:r>
        <w:rPr>
          <w:i/>
        </w:rPr>
        <w:t xml:space="preserve">Pinus cembra</w:t>
      </w:r>
      <w:r>
        <w:t xml:space="preserve"> </w:t>
      </w:r>
      <w:r>
        <w:t xml:space="preserve">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w:r>
        <w:rPr>
          <w:i/>
        </w:rPr>
        <w:t xml:space="preserve">Eucalyptus grandis</w:t>
      </w:r>
      <w:r>
        <w:t xml:space="preserve"> </w:t>
      </w:r>
      <w:r>
        <w:t xml:space="preserve">for planting in the tropics. Forest Ecology and Management 95:53–61.</w:t>
      </w:r>
    </w:p>
    <w:p>
      <w:pPr>
        <w:pStyle w:val="Bibliography"/>
      </w:pPr>
      <w:r>
        <w:t xml:space="preserve">Kirschbaum MUF (2011) Does enhanced photosynthesis enhance growth? Lessons learned from CO_2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p>
    <w:p>
      <w:pPr>
        <w:pStyle w:val="Bibliography"/>
      </w:pPr>
      <w:r>
        <w:t xml:space="preserve">Layne DR, Flore JA (1995) End-product inhibition of photosynthesis in</w:t>
      </w:r>
      <w:r>
        <w:t xml:space="preserve"> </w:t>
      </w:r>
      <w:r>
        <w:rPr>
          <w:i/>
        </w:rPr>
        <w:t xml:space="preserve">Prunus cerasus</w:t>
      </w:r>
      <w:r>
        <w:t xml:space="preserve"> </w:t>
      </w:r>
      <w:r>
        <w:t xml:space="preserve">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CO_2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w:r>
        <w:rPr>
          <w:i/>
        </w:rPr>
        <w:t xml:space="preserve">Betula pendula</w:t>
      </w:r>
      <w:r>
        <w:t xml:space="preserve"> </w:t>
      </w:r>
      <w:r>
        <w:t xml:space="preserve">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 R package version 3.1-122.</w:t>
      </w:r>
      <w:r>
        <w:t xml:space="preserve"> </w:t>
      </w:r>
      <w:hyperlink r:id="rId51">
        <w:r>
          <w:rPr>
            <w:rStyle w:val="Hyperlink"/>
          </w:rPr>
          <w:t xml:space="preserve">http://cran.r-project.org/package=nlme</w:t>
        </w:r>
      </w:hyperlink>
    </w:p>
    <w:p>
      <w:pPr>
        <w:pStyle w:val="Bibliography"/>
      </w:pPr>
      <w:r>
        <w:t xml:space="preserve">Pinkard EA, Beadle CL, Davidson NJ, Battaglia M (1998) Photosynthetic responses of</w:t>
      </w:r>
      <w:r>
        <w:t xml:space="preserve"> </w:t>
      </w:r>
      <w:r>
        <w:rPr>
          <w:i/>
        </w:rPr>
        <w:t xml:space="preserve">Eucalyptus nitens</w:t>
      </w:r>
      <w:r>
        <w:t xml:space="preserve"> </w:t>
      </w:r>
      <w:r>
        <w:t xml:space="preserve">(Deane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2">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w:r>
        <w:rPr>
          <w:i/>
        </w:rPr>
        <w:t xml:space="preserve">Coffea arabica</w:t>
      </w:r>
      <w:r>
        <w:t xml:space="preserve"> </w:t>
      </w:r>
      <w:r>
        <w:t xml:space="preserve">in response to restricted root volume. Functional Plant Biology 33:1013–1023.</w:t>
      </w:r>
    </w:p>
    <w:p>
      <w:pPr>
        <w:pStyle w:val="Bibliography"/>
      </w:pPr>
      <w:r>
        <w:t xml:space="preserve">Sage RF (1994) Acclimation of photosynthesis to increasing atmospheric CO_2: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CO_2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w:r>
        <w:rPr>
          <w:i/>
        </w:rPr>
        <w:t xml:space="preserve">Eucalyptus globulus</w:t>
      </w:r>
      <w:r>
        <w:t xml:space="preserve"> </w:t>
      </w:r>
      <w:r>
        <w:t xml:space="preserve">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524899">
      <w:footerReference w:type="default" r:id="rId8"/>
      <w:type w:val="continuous"/>
      <w:pgSz w:w="12240" w:h="15840" w:code="1"/>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524899">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e197e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pPr>
        <w:spacing w:before="240" w:after="240" w:line="480"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rPr>
      <w:sz w:val="24"/>
    </w:rPr>
  </w:style>
  <w:style w:type="paragraph" w:styleId="Heading1">
    <w:name w:val="heading 1"/>
    <w:basedOn w:val="Normal"/>
    <w:next w:val="Normal"/>
    <w:link w:val="Heading1Char"/>
    <w:uiPriority w:val="9"/>
    <w:qFormat/>
    <w:rsid w:val="002B267E"/>
    <w:pPr>
      <w:keepNext/>
      <w:pageBreakBefore/>
      <w:spacing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after="60"/>
      <w:outlineLvl w:val="5"/>
    </w:pPr>
    <w:rPr>
      <w:b/>
      <w:bCs/>
    </w:rPr>
  </w:style>
  <w:style w:type="paragraph" w:styleId="Heading7">
    <w:name w:val="heading 7"/>
    <w:basedOn w:val="Normal"/>
    <w:next w:val="Normal"/>
    <w:link w:val="Heading7Char"/>
    <w:uiPriority w:val="9"/>
    <w:unhideWhenUsed/>
    <w:qFormat/>
    <w:rsid w:val="0071068C"/>
    <w:pPr>
      <w:spacing w:after="60"/>
      <w:outlineLvl w:val="6"/>
    </w:pPr>
  </w:style>
  <w:style w:type="paragraph" w:styleId="Heading8">
    <w:name w:val="heading 8"/>
    <w:basedOn w:val="Normal"/>
    <w:next w:val="Normal"/>
    <w:link w:val="Heading8Char"/>
    <w:uiPriority w:val="9"/>
    <w:unhideWhenUsed/>
    <w:qFormat/>
    <w:rsid w:val="0071068C"/>
    <w:pPr>
      <w:spacing w:after="60"/>
      <w:outlineLvl w:val="7"/>
    </w:pPr>
    <w:rPr>
      <w:i/>
      <w:iCs/>
    </w:rPr>
  </w:style>
  <w:style w:type="paragraph" w:styleId="Heading9">
    <w:name w:val="heading 9"/>
    <w:basedOn w:val="Normal"/>
    <w:next w:val="Normal"/>
    <w:link w:val="Heading9Char"/>
    <w:uiPriority w:val="9"/>
    <w:unhideWhenUsed/>
    <w:qFormat/>
    <w:rsid w:val="0071068C"/>
    <w:pPr>
      <w:spacing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_rels/footnotes.xml.rels><?xml version="1.0" encoding="UTF-8"?>
<Relationships xmlns="http://schemas.openxmlformats.org/package/2006/relationships"><Relationship Type="http://schemas.openxmlformats.org/officeDocument/2006/relationships/hyperlink" Id="rId51" Target="http://cran.r-project.org/package=nlme" TargetMode="External" /><Relationship Type="http://schemas.openxmlformats.org/officeDocument/2006/relationships/hyperlink" Id="rId52" Target="http://www.r-project.org" TargetMode="External" /><Relationship Type="http://schemas.openxmlformats.org/officeDocument/2006/relationships/hyperlink" Id="rId50" Target="http://www.remkoduursma.com/yplantqmc, https://www.bitbucket.org/remkoduursma/yplantqm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Belowground sink limitation alters growth and carbon balance of Eucalyptus seedlings</dc:title>
  <dc:creator/>
</cp:coreProperties>
</file>