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42.png" ContentType="image/png"/>
  <Override PartName="/word/media/rId45.png" ContentType="image/png"/>
  <Override PartName="/word/media/rId54.png" ContentType="image/png"/>
  <Override PartName="/word/media/rId35.png" ContentType="image/png"/>
  <Override PartName="/word/media/rId40.png" ContentType="image/png"/>
  <Override PartName="/word/media/rId39.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4</w:t>
      </w:r>
      <w:r>
        <w:br w:type="textWrapping"/>
      </w: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pPr>
        <w:pStyle w:val="Heading1"/>
      </w:pPr>
      <w:bookmarkStart w:id="21" w:name="abstract"/>
      <w:bookmarkEnd w:id="21"/>
      <w:r>
        <w:t xml:space="preserve">4.1 Abstract</w:t>
      </w:r>
    </w:p>
    <w:p>
      <w:pPr>
        <w:pStyle w:val="FirstParagraph"/>
      </w:pPr>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biomass and all belowground fluxes,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1"/>
      </w:pPr>
      <w:bookmarkStart w:id="22" w:name="introduction"/>
      <w:bookmarkEnd w:id="22"/>
      <w:r>
        <w:t xml:space="preserve">4.2 Introduction</w:t>
      </w:r>
    </w:p>
    <w:p>
      <w:pPr>
        <w:pStyle w:val="FirstParagraph"/>
      </w:pPr>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Plants should maximize growth by allocating resources to support leaf growth to increase C acquisition</w:t>
      </w:r>
      <w:r>
        <w:t xml:space="preserve"> </w:t>
      </w:r>
      <w:r>
        <w:t xml:space="preserve">(Monsi and Saeki 2005)</w:t>
      </w:r>
      <w:r>
        <w:t xml:space="preserve">, however, fluctuations in water, nutrient and light availability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pPr>
        <w:pStyle w:val="BodyText"/>
      </w:pPr>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Mäkelä 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(De Kauwe et al. 2014, Fatichi et al. 2014)</w:t>
      </w:r>
      <w:r>
        <w:t xml:space="preserve">. As a result, there is continued need to empirically measure patterns of tree C allocation under multi-factor global change manipulations to better understand shifts in future forest C balance.</w:t>
      </w:r>
    </w:p>
    <w:p>
      <w:pPr>
        <w:pStyle w:val="BodyText"/>
      </w:pPr>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CO</w:t>
      </w:r>
      <w:r>
        <w:rPr>
          <w:vertAlign w:val="subscript"/>
        </w:rPr>
        <w:t xml:space="preserve">2</w:t>
      </w:r>
      <w:r>
        <w:t xml:space="preserve"> </w:t>
      </w:r>
      <w:r>
        <w:t xml:space="preserve">enrichment (FACE) experiments the total flux of C belowground (TBCA), which includes biomass and all belowground fluxes, was found to be enhanced under elevated CO</w:t>
      </w:r>
      <w:r>
        <w:rPr>
          <w:vertAlign w:val="subscript"/>
        </w:rPr>
        <w:t xml:space="preserve">2</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pPr>
        <w:pStyle w:val="BodyText"/>
      </w:pPr>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inhibited by the availability of a limited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pPr>
        <w:pStyle w:val="BodyText"/>
      </w:pPr>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TBCA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TBCA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pPr>
        <w:pStyle w:val="BodyText"/>
      </w:pPr>
      <w:r>
        <w:br w:type="textWrapping"/>
      </w:r>
      <w:r>
        <w:t xml:space="preserve">The whole-tree chambers (WTC), located at the Hawkesbury Forest Experiment, were designed to allow continuous measurement of net tree CO</w:t>
      </w:r>
      <w:r>
        <w:rPr>
          <w:vertAlign w:val="subscript"/>
        </w:rPr>
        <w:t xml:space="preserve">2</w:t>
      </w:r>
      <w:r>
        <w:t xml:space="preserve"> </w:t>
      </w:r>
      <w:r>
        <w:t xml:space="preserve">fluxes, allowing canopy</w:t>
      </w:r>
      <w:r>
        <w:t xml:space="preserve"> </w:t>
      </w:r>
      <w:r>
        <w:rPr>
          <w:i/>
        </w:rPr>
        <w:t xml:space="preserve">A</w:t>
      </w:r>
      <w:r>
        <w:rPr>
          <w:vertAlign w:val="subscript"/>
          <w:i/>
        </w:rPr>
        <w:t xml:space="preserve">n</w:t>
      </w:r>
      <w:r>
        <w:t xml:space="preserve"> </w:t>
      </w:r>
      <w:r>
        <w:t xml:space="preserve">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net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which grows throughout the year, enables tree C allocation to be tracked over long periods of time.</w:t>
      </w:r>
    </w:p>
    <w:p>
      <w:pPr>
        <w:pStyle w:val="BodyText"/>
      </w:pPr>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smaller final tree sizes in eC</w:t>
      </w:r>
      <w:r>
        <w:rPr>
          <w:vertAlign w:val="subscript"/>
        </w:rPr>
        <w:t xml:space="preserve">a</w:t>
      </w:r>
      <w:r>
        <w:t xml:space="preserve"> </w:t>
      </w:r>
      <w:r>
        <w:t xml:space="preserve">trees were attributed to an early setback in growth, which may or may not have resulted from effects of the eC</w:t>
      </w:r>
      <w:r>
        <w:rPr>
          <w:vertAlign w:val="subscript"/>
        </w:rPr>
        <w:t xml:space="preserve">a</w:t>
      </w:r>
      <w:r>
        <w:t xml:space="preserve"> </w:t>
      </w:r>
      <w:r>
        <w:t xml:space="preserve">treatment. The specific objectives of this study were to determine the response of biomass partitioning among foliage, aboveground woody components and roots of a native Australian tree species to changes in CO</w:t>
      </w:r>
      <w:r>
        <w:rPr>
          <w:vertAlign w:val="subscript"/>
        </w:rPr>
        <w:t xml:space="preserve">2</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pPr>
        <w:pStyle w:val="BodyText"/>
      </w:pPr>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pPr>
        <w:pStyle w:val="BodyText"/>
      </w:pPr>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pPr>
        <w:pStyle w:val="BodyText"/>
      </w:pPr>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3" w:name="methods"/>
      <w:bookmarkEnd w:id="23"/>
      <w:r>
        <w:t xml:space="preserve">4.3 Methods</w:t>
      </w:r>
    </w:p>
    <w:p>
      <w:pPr>
        <w:pStyle w:val="Heading2"/>
      </w:pPr>
      <w:bookmarkStart w:id="24" w:name="terminology"/>
      <w:bookmarkEnd w:id="24"/>
      <w:r>
        <w:t xml:space="preserve">4.3.1 Terminology</w:t>
      </w:r>
    </w:p>
    <w:p>
      <w:pPr>
        <w:pStyle w:val="FirstParagraph"/>
      </w:pPr>
      <w:r>
        <w:t xml:space="preserve">Carbon allocation terminology commonly employed in ecosystem literature is inconsistent</w:t>
      </w:r>
      <w:r>
        <w:t xml:space="preserve"> </w:t>
      </w:r>
      <w:r>
        <w:t xml:space="preserve">(Litton et al. 2007)</w:t>
      </w:r>
      <w:r>
        <w:t xml:space="preserve">. Here, important distinctions are made between patterns in live tree biomass and the distribution of photosynthate to all tree components. Clarification of these two terms is essential in accurately quantifying and representing C allocation in this work and in future studies.</w:t>
      </w:r>
      <w:r>
        <w:br w:type="textWrapping"/>
      </w:r>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components such as tissue biomass pools, respiratory C fluxes, non-structural carbohydrate storage pools or root C exudation.</w:t>
      </w:r>
    </w:p>
    <w:p>
      <w:pPr>
        <w:pStyle w:val="Heading2"/>
      </w:pPr>
      <w:bookmarkStart w:id="25" w:name="whole-tree-chamber-experiment"/>
      <w:bookmarkEnd w:id="25"/>
      <w:r>
        <w:t xml:space="preserve">4.3.2 Whole tree chamber experiment</w:t>
      </w:r>
    </w:p>
    <w:p>
      <w:pPr>
        <w:pStyle w:val="FirstParagraph"/>
      </w:pPr>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Neutron probe soil water measurements were utilized to show that trees in this experiment were able extract water deeper than the soil hard layer</w:t>
      </w:r>
      <w:r>
        <w:t xml:space="preserve"> </w:t>
      </w:r>
      <w:r>
        <w:t xml:space="preserve">(Duursma et al. 2011)</w:t>
      </w:r>
      <w:r>
        <w:t xml:space="preserve">. Soils at the WTC facility are an alluvial formation of low-fertility sandy loam, with clay deposits at a depth of about 1 m. Full descriptions of the chamber design and operation are provided in Barton et al.</w:t>
      </w:r>
      <w:r>
        <w:t xml:space="preserve"> </w:t>
      </w:r>
      <w:r>
        <w:t xml:space="preserve">(2010)</w:t>
      </w:r>
      <w:r>
        <w:t xml:space="preserve">. This multi-factor experimental design included CO</w:t>
      </w:r>
      <w:r>
        <w:rPr>
          <w:vertAlign w:val="subscript"/>
        </w:rPr>
        <w:t xml:space="preserve">2</w:t>
      </w:r>
      <w:r>
        <w:t xml:space="preserve"> </w:t>
      </w:r>
      <w:r>
        <w:t xml:space="preserve">× drought treatments with three WTC replicates in each of four treatments. Six chambers were kept at ambient CO</w:t>
      </w:r>
      <w:r>
        <w:rPr>
          <w:vertAlign w:val="subscript"/>
        </w:rPr>
        <w:t xml:space="preserve">2</w:t>
      </w:r>
      <w:r>
        <w:t xml:space="preserve"> </w:t>
      </w:r>
      <w:r>
        <w:t xml:space="preserve">of 380 ppm (aC</w:t>
      </w:r>
      <w:r>
        <w:rPr>
          <w:vertAlign w:val="subscript"/>
        </w:rPr>
        <w:t xml:space="preserve">a</w:t>
      </w:r>
      <w:r>
        <w:t xml:space="preserve">) and six were maintained at elevated CO</w:t>
      </w:r>
      <w:r>
        <w:rPr>
          <w:vertAlign w:val="subscript"/>
        </w:rPr>
        <w:t xml:space="preserve">2</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CO</w:t>
      </w:r>
      <w:r>
        <w:rPr>
          <w:vertAlign w:val="subscript"/>
        </w:rPr>
        <w:t xml:space="preserve">2</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6" w:name="aboveground-chamber-co2-flux"/>
      <w:bookmarkEnd w:id="26"/>
      <w:r>
        <w:t xml:space="preserve">4.3.3 Aboveground chamber CO</w:t>
      </w:r>
      <w:r>
        <w:rPr>
          <w:vertAlign w:val="subscript"/>
        </w:rPr>
        <w:t xml:space="preserve">2</w:t>
      </w:r>
      <w:r>
        <w:t xml:space="preserve"> </w:t>
      </w:r>
      <w:r>
        <w:t xml:space="preserve">flux</w:t>
      </w:r>
    </w:p>
    <w:p>
      <w:pPr>
        <w:pStyle w:val="FirstParagraph"/>
      </w:pPr>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aboveground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The raw data were averaged over an hourly time-step and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In total, 27% of the observations were gap filled. This gap filling included a 5-6 week gap in late winter 2008 when WTC height was extended, as well as shorter periods in which chamber access doors were open during regular use. For each WTC, cumulative 24 hour net aboveground C uptake (</w:t>
      </w:r>
      <m:oMath>
        <m:sSub>
          <m:e>
            <m:r>
              <m:rPr>
                <m:sty m:val="p"/>
              </m:rPr>
              <m:t>F</m:t>
            </m:r>
          </m:e>
          <m:sub>
            <m:r>
              <m:rPr/>
              <m:t>c</m:t>
            </m:r>
            <m:r>
              <m:rPr/>
              <m:t>,</m:t>
            </m:r>
            <m:r>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t>c</m:t>
            </m:r>
            <m:r>
              <m:rPr/>
              <m:t>,</m:t>
            </m:r>
            <m:r>
              <m:rPr/>
              <m:t>d</m:t>
            </m:r>
          </m:sub>
        </m:sSub>
      </m:oMath>
      <w:r>
        <w:t xml:space="preserve"> </w:t>
      </w:r>
      <w:r>
        <w:t xml:space="preserve">was summed over the flux monitoring period (</w:t>
      </w:r>
      <m:oMath>
        <m:sSub>
          <m:e>
            <m:r>
              <m:rPr>
                <m:sty m:val="p"/>
              </m:rPr>
              <m:t>F</m:t>
            </m:r>
          </m:e>
          <m:sub>
            <m:r>
              <m:rPr/>
              <m:t>c</m:t>
            </m:r>
            <m:r>
              <m:rPr/>
              <m:t>,</m:t>
            </m:r>
            <m:r>
              <m:rPr/>
              <m:t>T</m:t>
            </m:r>
          </m:sub>
        </m:sSub>
      </m:oMath>
      <w:r>
        <w:t xml:space="preserve">) to compare to tree C mass, leaf area and C allocation above and belowground.</w:t>
      </w:r>
    </w:p>
    <w:p>
      <w:pPr>
        <w:pStyle w:val="Heading2"/>
      </w:pPr>
      <w:bookmarkStart w:id="27" w:name="harvested-tree-carbon-mass"/>
      <w:bookmarkEnd w:id="27"/>
      <w:r>
        <w:t xml:space="preserve">4.3.4 Harvested tree carbon mass</w:t>
      </w:r>
    </w:p>
    <w:p>
      <w:pPr>
        <w:pStyle w:val="FirstParagraph"/>
      </w:pPr>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Fine root biomass (&lt;2 mm diameter) was first estimated by scaling-up dry root biomass collected from cores to total chamber area, but highly variable root biomass across cores resulted in unreliable estimates. As a result, root biomass from cores was added back to the standing crop total instead of scaling-up fine root biomass. Consequently, the fine root biomass pool is likely underestimated.</w:t>
      </w:r>
    </w:p>
    <w:p>
      <w:pPr>
        <w:pStyle w:val="BodyText"/>
      </w:pPr>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pPr>
        <w:pStyle w:val="BodyText"/>
      </w:pPr>
      <w:r>
        <w:br w:type="textWrapping"/>
      </w:r>
      <w:r>
        <w:t xml:space="preserve">Prior to the initiation of the experiment potted</w:t>
      </w:r>
      <w:r>
        <w:t xml:space="preserve"> </w:t>
      </w:r>
      <w:r>
        <w:rPr>
          <w:i/>
        </w:rPr>
        <w:t xml:space="preserve">Eucalyptus saligna</w:t>
      </w:r>
      <w:r>
        <w:t xml:space="preserve"> </w:t>
      </w:r>
      <w:r>
        <w:t xml:space="preserve">seedlings were harvested to develop relationships between above and belowground biomass (n=17, mean height of 217±17 cm).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28" w:name="tree-allometry-surveys"/>
      <w:bookmarkEnd w:id="28"/>
      <w:r>
        <w:t xml:space="preserve">4.3.5 Tree allometry surveys</w:t>
      </w:r>
    </w:p>
    <w:p>
      <w:pPr>
        <w:pStyle w:val="FirstParagraph"/>
      </w:pPr>
      <w:r>
        <w:t xml:space="preserve">Tree height was measured every 14 days and diameters were recorded monthly at regular height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29" w:name="bole-carbon-mass"/>
      <w:bookmarkEnd w:id="29"/>
      <w:r>
        <w:t xml:space="preserve">4.3.6 Bole carbon mass</w:t>
      </w:r>
    </w:p>
    <w:p>
      <w:pPr>
        <w:pStyle w:val="FirstParagraph"/>
      </w:pPr>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t>ρ</m:t>
            </m:r>
          </m:e>
          <m:sub>
            <m:r>
              <m:rPr/>
              <m:t>b</m:t>
            </m:r>
            <m:r>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t>ρ</m:t>
            </m:r>
          </m:e>
          <m:sub>
            <m:r>
              <m:rPr/>
              <m:t>b</m:t>
            </m:r>
            <m:r>
              <m:rPr/>
              <m:t>o</m:t>
            </m:r>
          </m:sub>
        </m:sSub>
      </m:oMath>
      <w:r>
        <w:t xml:space="preserve"> </w:t>
      </w:r>
      <w:r>
        <w:t xml:space="preserve">did not change through time.</w:t>
      </w:r>
    </w:p>
    <w:p>
      <w:pPr>
        <w:pStyle w:val="BodyText"/>
      </w:pPr>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tree-specific</w:t>
      </w:r>
      <w:r>
        <w:t xml:space="preserve"> </w:t>
      </w:r>
      <m:oMath>
        <m:sSub>
          <m:e>
            <m:r>
              <m:rPr/>
              <m:t>ρ</m:t>
            </m:r>
          </m:e>
          <m:sub>
            <m:r>
              <m:rPr/>
              <m:t>b</m:t>
            </m:r>
            <m:r>
              <m:rPr/>
              <m:t>o</m:t>
            </m:r>
          </m:sub>
        </m:sSub>
      </m:oMath>
      <w:r>
        <w:t xml:space="preserve">.</w:t>
      </w:r>
    </w:p>
    <w:p>
      <w:pPr>
        <w:pStyle w:val="Heading2"/>
      </w:pPr>
      <w:bookmarkStart w:id="30" w:name="branch-carbon-mass"/>
      <w:bookmarkEnd w:id="30"/>
      <w:r>
        <w:t xml:space="preserve">4.3.7 Branch carbon mass</w:t>
      </w:r>
    </w:p>
    <w:p>
      <w:pPr>
        <w:pStyle w:val="FirstParagraph"/>
      </w:pPr>
      <w:r>
        <w:t xml:space="preserve">Measured dry mass, length and basal area of all harvested branches was used to determine the branch wood density (</w:t>
      </w:r>
      <m:oMath>
        <m:sSub>
          <m:e>
            <m:r>
              <m:rPr/>
              <m:t>ρ</m:t>
            </m:r>
          </m:e>
          <m:sub>
            <m:r>
              <m:rPr/>
              <m:t>b</m:t>
            </m:r>
            <m:r>
              <m:rPr/>
              <m:t>r</m:t>
            </m:r>
          </m:sub>
        </m:sSub>
      </m:oMath>
      <w:r>
        <w:t xml:space="preserve">) as well as a geometric shape factor</w:t>
      </w:r>
      <w:r>
        <w:t xml:space="preserve"> </w:t>
      </w:r>
      <w:r>
        <w:t xml:space="preserve">(</w:t>
      </w:r>
      <m:oMath>
        <m:r>
          <m:rPr/>
          <m:t>ϕ</m:t>
        </m:r>
      </m:oMath>
      <w:r>
        <w:t xml:space="preserve">, see Mäkelä 1997)</w:t>
      </w:r>
      <w:r>
        <w:t xml:space="preserve"> </w:t>
      </w:r>
      <w:r>
        <w:t xml:space="preserve">for each WTC tree by rearranging the equation:</w:t>
      </w:r>
    </w:p>
    <w:p>
      <w:pPr>
        <w:pStyle w:val="BodyText"/>
      </w:pPr>
      <w:r>
        <w:br w:type="textWrapping"/>
      </w:r>
      <w:r>
        <w:t xml:space="preserve">(1)</w:t>
      </w:r>
    </w:p>
    <w:p>
      <w:pPr>
        <w:pStyle w:val="BodyText"/>
      </w:pPr>
      <m:oMathPara>
        <m:oMathParaPr>
          <m:jc m:val="center"/>
        </m:oMathParaPr>
        <m:oMath>
          <m:sSub>
            <m:e>
              <m:r>
                <m:rPr/>
                <m:t>M</m:t>
              </m:r>
            </m:e>
            <m:sub>
              <m:r>
                <m:rPr/>
                <m:t>b</m:t>
              </m:r>
              <m:r>
                <m:rPr/>
                <m:t>r</m:t>
              </m:r>
            </m:sub>
          </m:sSub>
          <m:r>
            <m:rPr/>
            <m:t>=</m:t>
          </m:r>
          <m:sSub>
            <m:e>
              <m:r>
                <m:rPr/>
                <m:t>L</m:t>
              </m:r>
            </m:e>
            <m:sub>
              <m:r>
                <m:rPr/>
                <m:t>b</m:t>
              </m:r>
              <m:r>
                <m:rPr/>
                <m:t>r</m:t>
              </m:r>
            </m:sub>
          </m:sSub>
          <m:sSub>
            <m:e>
              <m:r>
                <m:rPr/>
                <m:t>A</m:t>
              </m:r>
            </m:e>
            <m:sub>
              <m:r>
                <m:rPr/>
                <m:t>b</m:t>
              </m:r>
              <m:r>
                <m:rPr/>
                <m:t>r</m:t>
              </m:r>
            </m:sub>
          </m:sSub>
          <m:sSub>
            <m:e>
              <m:r>
                <m:rPr/>
                <m:t>ρ</m:t>
              </m:r>
            </m:e>
            <m:sub>
              <m:r>
                <m:rPr/>
                <m:t>b</m:t>
              </m:r>
              <m:r>
                <m:rPr/>
                <m:t>r</m:t>
              </m:r>
            </m:sub>
          </m:sSub>
          <m:sSub>
            <m:e>
              <m:r>
                <m:rPr/>
                <m:t>ϕ</m:t>
              </m:r>
            </m:e>
            <m:sub>
              <m:r>
                <m:rPr/>
                <m:t>b</m:t>
              </m:r>
              <m:r>
                <m:rPr/>
                <m:t>r</m:t>
              </m:r>
            </m:sub>
          </m:sSub>
        </m:oMath>
      </m:oMathPara>
    </w:p>
    <w:p>
      <w:pPr>
        <w:pStyle w:val="BodyText"/>
      </w:pPr>
      <w:r>
        <w:t xml:space="preserve">where</w:t>
      </w:r>
      <w:r>
        <w:t xml:space="preserve"> </w:t>
      </w:r>
      <m:oMath>
        <m:sSub>
          <m:e>
            <m:r>
              <m:rPr>
                <m:sty m:val="p"/>
              </m:rPr>
              <m:t>M</m:t>
            </m:r>
          </m:e>
          <m:sub>
            <m:r>
              <m:rPr/>
              <m:t>b</m:t>
            </m:r>
            <m:r>
              <m:rPr/>
              <m:t>r</m:t>
            </m:r>
          </m:sub>
        </m:sSub>
      </m:oMath>
      <w:r>
        <w:t xml:space="preserve"> </w:t>
      </w:r>
      <w:r>
        <w:t xml:space="preserve">is summed dry mass of all harvested branches,</w:t>
      </w:r>
      <w:r>
        <w:t xml:space="preserve"> </w:t>
      </w:r>
      <m:oMath>
        <m:sSub>
          <m:e>
            <m:r>
              <m:rPr>
                <m:sty m:val="p"/>
              </m:rPr>
              <m:t>L</m:t>
            </m:r>
          </m:e>
          <m:sub>
            <m:r>
              <m:rPr/>
              <m:t>b</m:t>
            </m:r>
            <m:r>
              <m:rPr/>
              <m:t>r</m:t>
            </m:r>
          </m:sub>
        </m:sSub>
      </m:oMath>
      <w:r>
        <w:t xml:space="preserve"> </w:t>
      </w:r>
      <w:r>
        <w:t xml:space="preserve">is summed branch length (cm),</w:t>
      </w:r>
      <w:r>
        <w:t xml:space="preserve"> </w:t>
      </w:r>
      <m:oMath>
        <m:sSub>
          <m:e>
            <m:r>
              <m:rPr>
                <m:sty m:val="p"/>
              </m:rPr>
              <m:t>A</m:t>
            </m:r>
          </m:e>
          <m:sub>
            <m:r>
              <m:rPr/>
              <m:t>b</m:t>
            </m:r>
            <m:r>
              <m:rPr/>
              <m:t>r</m:t>
            </m:r>
          </m:sub>
        </m:sSub>
      </m:oMath>
      <w:r>
        <w:t xml:space="preserve"> </w:t>
      </w:r>
      <w:r>
        <w:t xml:space="preserve">is summed branch basal area (cm</w:t>
      </w:r>
      <w:r>
        <w:rPr>
          <w:vertAlign w:val="superscript"/>
        </w:rPr>
        <w:t xml:space="preserve">2</w:t>
      </w:r>
      <w:r>
        <w:t xml:space="preserve">),</w:t>
      </w:r>
      <w:r>
        <w:t xml:space="preserve"> </w:t>
      </w:r>
      <m:oMath>
        <m:sSub>
          <m:e>
            <m:r>
              <m:rPr/>
              <m:t>ρ</m:t>
            </m:r>
          </m:e>
          <m:sub>
            <m:r>
              <m:rPr/>
              <m:t>b</m:t>
            </m:r>
            <m:r>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t>ϕ</m:t>
        </m:r>
      </m:oMath>
      <w:r>
        <w:t xml:space="preserve"> </w:t>
      </w:r>
      <w:r>
        <w:t xml:space="preserve">corrects branch volume estimates to an intermediate shape between a cone and a cylinder</w:t>
      </w:r>
      <w:r>
        <w:t xml:space="preserve"> </w:t>
      </w:r>
      <w:r>
        <w:t xml:space="preserve">(Mäkelä 1997)</w:t>
      </w:r>
      <w:r>
        <w:t xml:space="preserve">. The ratio of measured</w:t>
      </w:r>
      <w:r>
        <w:t xml:space="preserve"> </w:t>
      </w:r>
      <m:oMath>
        <m:sSub>
          <m:e>
            <m:r>
              <m:rPr>
                <m:sty m:val="p"/>
              </m:rPr>
              <m:t>M</m:t>
            </m:r>
          </m:e>
          <m:sub>
            <m:r>
              <m:rPr/>
              <m:t>b</m:t>
            </m:r>
            <m:r>
              <m:rPr/>
              <m:t>r</m:t>
            </m:r>
          </m:sub>
        </m:sSub>
      </m:oMath>
      <w:r>
        <w:t xml:space="preserve"> </w:t>
      </w:r>
      <w:r>
        <w:t xml:space="preserve">to</w:t>
      </w:r>
      <w:r>
        <w:t xml:space="preserve"> </w:t>
      </w:r>
      <m:oMath>
        <m:sSub>
          <m:e>
            <m:r>
              <m:rPr/>
              <m:t>L</m:t>
            </m:r>
          </m:e>
          <m:sub>
            <m:r>
              <m:rPr/>
              <m:t>b</m:t>
            </m:r>
            <m:r>
              <m:rPr/>
              <m:t>r</m:t>
            </m:r>
          </m:sub>
        </m:sSub>
        <m:sSub>
          <m:e>
            <m:r>
              <m:rPr/>
              <m:t>A</m:t>
            </m:r>
          </m:e>
          <m:sub>
            <m:r>
              <m:rPr/>
              <m:t>b</m:t>
            </m:r>
            <m:r>
              <m:rPr/>
              <m:t>r</m:t>
            </m:r>
          </m:sub>
        </m:sSub>
      </m:oMath>
      <w:r>
        <w:t xml:space="preserve"> </w:t>
      </w:r>
      <w:r>
        <w:t xml:space="preserve">was used to generate a WTC-specific</w:t>
      </w:r>
      <w:r>
        <w:t xml:space="preserve"> </w:t>
      </w:r>
      <m:oMath>
        <m:sSub>
          <m:e>
            <m:r>
              <m:rPr/>
              <m:t>ϕ</m:t>
            </m:r>
          </m:e>
          <m:sub>
            <m:r>
              <m:rPr/>
              <m:t>b</m:t>
            </m:r>
            <m:r>
              <m:rPr/>
              <m:t>r</m:t>
            </m:r>
          </m:sub>
        </m:sSub>
        <m:sSub>
          <m:e>
            <m:r>
              <m:rPr/>
              <m:t>ρ</m:t>
            </m:r>
          </m:e>
          <m:sub>
            <m:r>
              <m:rPr/>
              <m:t>b</m:t>
            </m:r>
            <m:r>
              <m:rPr/>
              <m:t>r</m:t>
            </m:r>
          </m:sub>
        </m:sSub>
      </m:oMath>
      <w:r>
        <w:t xml:space="preserve">.</w:t>
      </w:r>
    </w:p>
    <w:p>
      <w:pPr>
        <w:pStyle w:val="BodyText"/>
      </w:pPr>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t>b</m:t>
            </m:r>
            <m:r>
              <m:rPr/>
              <m:t>r</m:t>
            </m:r>
          </m:sub>
        </m:sSub>
      </m:oMath>
      <w:r>
        <w:t xml:space="preserve"> </w:t>
      </w:r>
      <w:r>
        <w:t xml:space="preserve">and</w:t>
      </w:r>
      <w:r>
        <w:t xml:space="preserve"> </w:t>
      </w:r>
      <m:oMath>
        <m:sSub>
          <m:e>
            <m:r>
              <m:rPr>
                <m:sty m:val="p"/>
              </m:rPr>
              <m:t>A</m:t>
            </m:r>
          </m:e>
          <m:sub>
            <m:r>
              <m:rPr/>
              <m:t>b</m:t>
            </m:r>
            <m:r>
              <m:rPr/>
              <m:t>r</m:t>
            </m:r>
          </m:sub>
        </m:sSub>
      </m:oMath>
      <w:r>
        <w:t xml:space="preserve"> </w:t>
      </w:r>
      <w:r>
        <w:t xml:space="preserve">for individual branches with</w:t>
      </w:r>
      <w:r>
        <w:t xml:space="preserve"> </w:t>
      </w:r>
      <m:oMath>
        <m:sSub>
          <m:e>
            <m:r>
              <m:rPr/>
              <m:t>ϕ</m:t>
            </m:r>
          </m:e>
          <m:sub>
            <m:r>
              <m:rPr/>
              <m:t>b</m:t>
            </m:r>
            <m:r>
              <m:rPr/>
              <m:t>r</m:t>
            </m:r>
          </m:sub>
        </m:sSub>
      </m:oMath>
      <m:oMath>
        <m:sSub>
          <m:e>
            <m:r>
              <m:rPr/>
              <m:t>ρ</m:t>
            </m:r>
          </m:e>
          <m:sub>
            <m:r>
              <m:rPr/>
              <m:t>b</m:t>
            </m:r>
            <m:r>
              <m:rPr/>
              <m:t>r</m:t>
            </m:r>
          </m:sub>
        </m:sSub>
      </m:oMath>
      <w:r>
        <w:t xml:space="preserve"> </w:t>
      </w:r>
      <w:r>
        <w:t xml:space="preserve">specific to each WTC. We assumed that</w:t>
      </w:r>
      <w:r>
        <w:t xml:space="preserve"> </w:t>
      </w:r>
      <m:oMath>
        <m:sSub>
          <m:e>
            <m:r>
              <m:rPr/>
              <m:t>ϕ</m:t>
            </m:r>
          </m:e>
          <m:sub>
            <m:r>
              <m:rPr/>
              <m:t>b</m:t>
            </m:r>
            <m:r>
              <m:rPr/>
              <m:t>r</m:t>
            </m:r>
          </m:sub>
        </m:sSub>
        <m:sSub>
          <m:e>
            <m:r>
              <m:rPr/>
              <m:t>ρ</m:t>
            </m:r>
          </m:e>
          <m:sub>
            <m:r>
              <m:rPr/>
              <m:t>b</m:t>
            </m:r>
            <m:r>
              <m:rPr/>
              <m:t>r</m:t>
            </m:r>
          </m:sub>
        </m:sSub>
      </m:oMath>
      <w:r>
        <w:t xml:space="preserve"> </w:t>
      </w:r>
      <w:r>
        <w:t xml:space="preserve">did not change through time. Total dry branch mass at each survey point was the total mass of all individual branches.</w:t>
      </w:r>
    </w:p>
    <w:p>
      <w:pPr>
        <w:pStyle w:val="Heading2"/>
      </w:pPr>
      <w:bookmarkStart w:id="31" w:name="leaf-area-and-carbon-mass"/>
      <w:bookmarkEnd w:id="31"/>
      <w:r>
        <w:t xml:space="preserve">4.3.8 Leaf area and carbon mass</w:t>
      </w:r>
    </w:p>
    <w:p>
      <w:pPr>
        <w:pStyle w:val="FirstParagraph"/>
      </w:pPr>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dry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pPr>
        <w:pStyle w:val="BodyText"/>
      </w:pPr>
      <w:r>
        <w:br w:type="textWrapping"/>
      </w:r>
      <w:r>
        <w:t xml:space="preserve">Canopy leaf area was modeled on daily time steps, between April 2008 and March 2009, using the leaf count census and harvest leaf area estimates, along with height growth and litter fall rates. This was the method applied by Barton et al.</w:t>
      </w:r>
      <w:r>
        <w:t xml:space="preserve"> </w:t>
      </w:r>
      <w:r>
        <w:t xml:space="preserve">(2012)</w:t>
      </w:r>
      <w:r>
        <w:t xml:space="preserve">. Briefly,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pPr>
        <w:pStyle w:val="BodyText"/>
      </w:pPr>
      <w:r>
        <w:br w:type="textWrapping"/>
      </w:r>
      <w:r>
        <w:t xml:space="preserve">(2)</w:t>
      </w:r>
    </w:p>
    <w:p>
      <w:pPr>
        <w:pStyle w:val="BodyText"/>
      </w:pPr>
      <m:oMathPara>
        <m:oMathParaPr>
          <m:jc m:val="center"/>
        </m:oMathParaPr>
        <m:oMath>
          <m:sSub>
            <m:e>
              <m:r>
                <m:rPr/>
                <m:t>A</m:t>
              </m:r>
            </m:e>
            <m:sub>
              <m:r>
                <m:rPr/>
                <m:t>L</m:t>
              </m:r>
              <m:r>
                <m:rPr/>
                <m:t>,</m:t>
              </m:r>
              <m:r>
                <m:rPr/>
                <m:t>T</m:t>
              </m:r>
            </m:sub>
          </m:sSub>
          <m:r>
            <m:rPr/>
            <m:t>=</m:t>
          </m:r>
          <m:r>
            <m:rPr/>
            <m:t>a</m:t>
          </m:r>
          <m:r>
            <m:rPr/>
            <m:t> </m:t>
          </m:r>
          <m:sSup>
            <m:e>
              <m:r>
                <m:rPr/>
                <m:t>H</m:t>
              </m:r>
            </m:e>
            <m:sup>
              <m:r>
                <m:rPr/>
                <m:t>b</m:t>
              </m:r>
            </m:sup>
          </m:sSup>
        </m:oMath>
      </m:oMathPara>
    </w:p>
    <w:p>
      <w:pPr>
        <w:pStyle w:val="BodyText"/>
      </w:pPr>
      <w:r>
        <w:t xml:space="preserve">where</w:t>
      </w:r>
      <w:r>
        <w:t xml:space="preserve"> </w:t>
      </w:r>
      <m:oMath>
        <m:sSub>
          <m:e>
            <m:r>
              <m:rPr>
                <m:sty m:val="p"/>
              </m:rPr>
              <m:t>A</m:t>
            </m:r>
          </m:e>
          <m:sub>
            <m:r>
              <m:rPr/>
              <m:t>L</m:t>
            </m:r>
            <m:r>
              <m:rPr/>
              <m:t>,</m:t>
            </m:r>
            <m:r>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pPr>
        <w:pStyle w:val="BodyText"/>
      </w:pPr>
      <w:r>
        <w:br w:type="textWrapping"/>
      </w:r>
      <w:r>
        <w:t xml:space="preserve">(3)</w:t>
      </w:r>
    </w:p>
    <w:p>
      <w:pPr>
        <w:pStyle w:val="BodyText"/>
      </w:pPr>
      <m:oMathPara>
        <m:oMathParaPr>
          <m:jc m:val="center"/>
        </m:oMathParaPr>
        <m:oMath>
          <m:sSub>
            <m:e>
              <m:r>
                <m:rPr/>
                <m:t>A</m:t>
              </m:r>
            </m:e>
            <m:sub>
              <m:r>
                <m:rPr/>
                <m:t>L</m:t>
              </m:r>
            </m:sub>
          </m:sSub>
          <m:r>
            <m:rPr/>
            <m:t>=</m:t>
          </m:r>
          <m:r>
            <m:rPr/>
            <m:t>a</m:t>
          </m:r>
          <m:r>
            <m:rPr/>
            <m:t> </m:t>
          </m:r>
          <m:r>
            <m:rPr/>
            <m:t>H</m:t>
          </m:r>
          <m:r>
            <m:rPr/>
            <m:t>(</m:t>
          </m:r>
          <m:r>
            <m:rPr/>
            <m:t>t</m:t>
          </m:r>
          <m:sSup>
            <m:e>
              <m:r>
                <m:rPr/>
                <m:t>)</m:t>
              </m:r>
            </m:e>
            <m:sup>
              <m:r>
                <m:rPr/>
                <m:t>b</m:t>
              </m:r>
            </m:sup>
          </m:sSup>
          <m:r>
            <m:rPr/>
            <m:t>−</m:t>
          </m:r>
          <m:nary>
            <m:naryPr>
              <m:chr m:val="∫"/>
              <m:limLoc m:val="subSup"/>
              <m:supHide m:val="off"/>
              <m:supHide m:val="off"/>
            </m:naryPr>
            <m:e>
              <m:r>
                <m:rPr/>
                <m:t>L</m:t>
              </m:r>
            </m:e>
            <m:sub>
              <m:r>
                <m:rPr/>
                <m:t>t</m:t>
              </m:r>
              <m:r>
                <m:rPr/>
                <m:t>=</m:t>
              </m:r>
              <m:r>
                <m:rPr/>
                <m:t>0</m:t>
              </m:r>
            </m:sub>
            <m:sup>
              <m:r>
                <m:rPr/>
                <m:t>t</m:t>
              </m:r>
            </m:sup>
          </m:nary>
          <m:r>
            <m:rPr/>
            <m:t>(</m:t>
          </m:r>
          <m:r>
            <m:rPr/>
            <m:t>t</m:t>
          </m:r>
          <m:r>
            <m:rPr/>
            <m:t>)</m:t>
          </m:r>
          <m:r>
            <m:rPr/>
            <m:t>d</m:t>
          </m:r>
          <m:r>
            <m:rPr/>
            <m:t>t</m:t>
          </m:r>
        </m:oMath>
      </m:oMathPara>
    </w:p>
    <w:p>
      <w:pPr>
        <w:pStyle w:val="BodyText"/>
      </w:pPr>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t>L</m:t>
            </m:r>
            <m:r>
              <m:rPr/>
              <m:t>,</m:t>
            </m:r>
            <m:r>
              <m:rPr/>
              <m:t>T</m:t>
            </m:r>
          </m:sub>
        </m:sSub>
      </m:oMath>
      <w:r>
        <w:t xml:space="preserve"> </w:t>
      </w:r>
      <w:r>
        <w:t xml:space="preserve">and</w:t>
      </w:r>
      <w:r>
        <w:t xml:space="preserve"> </w:t>
      </w:r>
      <m:oMath>
        <m:sSub>
          <m:e>
            <m:r>
              <m:rPr>
                <m:sty m:val="p"/>
              </m:rPr>
              <m:t>A</m:t>
            </m:r>
          </m:e>
          <m:sub>
            <m:r>
              <m:rPr/>
              <m:t>L</m:t>
            </m:r>
          </m:sub>
        </m:sSub>
      </m:oMath>
      <w:r>
        <w:t xml:space="preserve">. The mean SLA for each harvested tree was multiplied by daily estimates leaf and litterfall area to calculate biomass. SLA derived from the harvested trees was assumed to be constant over the entire flux measurement period.</w:t>
      </w:r>
    </w:p>
    <w:p>
      <w:pPr>
        <w:pStyle w:val="Heading2"/>
      </w:pPr>
      <w:bookmarkStart w:id="32" w:name="tissue-c-allocation"/>
      <w:bookmarkEnd w:id="32"/>
      <w:r>
        <w:t xml:space="preserve">4.3.9 Tissue C allocation</w:t>
      </w:r>
    </w:p>
    <w:p>
      <w:pPr>
        <w:pStyle w:val="FirstParagraph"/>
      </w:pPr>
      <w:r>
        <w:t xml:space="preserve">Tissue specific C allocation represents the fraction of net canopy C uptake distributed to a given tissue, which determines the change in biomass of that tissue through time such that:</w:t>
      </w:r>
    </w:p>
    <w:p>
      <w:pPr>
        <w:pStyle w:val="BodyText"/>
      </w:pPr>
      <w:r>
        <w:br w:type="textWrapping"/>
      </w:r>
      <w:r>
        <w:t xml:space="preserve">(4)</w:t>
      </w:r>
    </w:p>
    <w:p>
      <w:pPr>
        <w:pStyle w:val="BodyText"/>
      </w:pPr>
      <m:oMathPara>
        <m:oMathParaPr>
          <m:jc m:val="center"/>
        </m:oMathParaPr>
        <m:oMath>
          <m:f>
            <m:fPr>
              <m:type m:val="bar"/>
            </m:fPr>
            <m:num>
              <m:r>
                <m:rPr/>
                <m:t>d</m:t>
              </m:r>
              <m:sSub>
                <m:e>
                  <m:r>
                    <m:rPr/>
                    <m:t>M</m:t>
                  </m:r>
                </m:e>
                <m:sub>
                  <m:r>
                    <m:rPr/>
                    <m:t>c</m:t>
                  </m:r>
                </m:sub>
              </m:sSub>
            </m:num>
            <m:den>
              <m:r>
                <m:rPr/>
                <m:t>d</m:t>
              </m:r>
              <m:r>
                <m:rPr/>
                <m:t>t</m:t>
              </m:r>
            </m:den>
          </m:f>
          <m:r>
            <m:rPr/>
            <m:t>=</m:t>
          </m:r>
          <m:sSub>
            <m:e>
              <m:r>
                <m:rPr/>
                <m:t>a</m:t>
              </m:r>
            </m:e>
            <m:sub>
              <m:r>
                <m:rPr/>
                <m:t>c</m:t>
              </m:r>
            </m:sub>
          </m:sSub>
          <m:r>
            <m:rPr/>
            <m:t>N</m:t>
          </m:r>
          <m:r>
            <m:rPr/>
            <m:t>P</m:t>
          </m:r>
          <m:r>
            <m:rPr/>
            <m:t>P</m:t>
          </m:r>
          <m:r>
            <m:rPr/>
            <m:t>−</m:t>
          </m:r>
          <m:sSub>
            <m:e>
              <m:r>
                <m:rPr/>
                <m:t>λ</m:t>
              </m:r>
            </m:e>
            <m:sub>
              <m:r>
                <m:rPr/>
                <m:t>c</m:t>
              </m:r>
            </m:sub>
          </m:sSub>
          <m:sSub>
            <m:e>
              <m:r>
                <m:rPr/>
                <m:t>M</m:t>
              </m:r>
            </m:e>
            <m:sub>
              <m:r>
                <m:rPr/>
                <m:t>c</m:t>
              </m:r>
            </m:sub>
          </m:sSub>
        </m:oMath>
      </m:oMathPara>
    </w:p>
    <w:p>
      <w:pPr>
        <w:pStyle w:val="BodyText"/>
      </w:pPr>
      <w:r>
        <w:t xml:space="preserve">where</w:t>
      </w:r>
      <w:r>
        <w:t xml:space="preserve"> </w:t>
      </w:r>
      <m:oMath>
        <m:sSub>
          <m:e>
            <m:r>
              <m:rPr>
                <m:sty m:val="p"/>
              </m:rPr>
              <m:t>M</m:t>
            </m:r>
          </m:e>
          <m:sub>
            <m:r>
              <m:rPr/>
              <m:t>c</m:t>
            </m:r>
          </m:sub>
        </m:sSub>
      </m:oMath>
      <w:r>
        <w:t xml:space="preserve"> </w:t>
      </w:r>
      <w:r>
        <w:t xml:space="preserve">is the standing C mass of a component (g C),</w:t>
      </w:r>
      <w:r>
        <w:t xml:space="preserve"> </w:t>
      </w:r>
      <m:oMath>
        <m:sSub>
          <m:e>
            <m:r>
              <m:rPr>
                <m:sty m:val="p"/>
              </m:rPr>
              <m:t>a</m:t>
            </m:r>
          </m:e>
          <m:sub>
            <m:r>
              <m:rPr/>
              <m:t>c</m:t>
            </m:r>
          </m:sub>
        </m:sSub>
      </m:oMath>
      <w:r>
        <w:t xml:space="preserve"> </w:t>
      </w:r>
      <w:r>
        <w:t xml:space="preserve">is the allocation to that component (0-1) and</w:t>
      </w:r>
      <w:r>
        <w:t xml:space="preserve"> </w:t>
      </w:r>
      <m:oMath>
        <m:sSub>
          <m:e>
            <m:r>
              <m:rPr/>
              <m:t>λ</m:t>
            </m:r>
          </m:e>
          <m:sub>
            <m:r>
              <m:rPr/>
              <m:t>c</m:t>
            </m:r>
          </m:sub>
        </m:sSub>
      </m:oMath>
      <w:r>
        <w:t xml:space="preserve"> </w:t>
      </w:r>
      <w:r>
        <w:t xml:space="preserve">is the component specific turnover (d</w:t>
      </w:r>
      <w:r>
        <w:rPr>
          <w:vertAlign w:val="superscript"/>
        </w:rPr>
        <w:t xml:space="preserve">-1</w:t>
      </w:r>
      <w:r>
        <w:t xml:space="preserve">).</w:t>
      </w:r>
    </w:p>
    <w:p>
      <w:pPr>
        <w:pStyle w:val="BodyText"/>
      </w:pPr>
      <w:r>
        <w:br w:type="textWrapping"/>
      </w:r>
      <w:r>
        <w:t xml:space="preserve">Here, total C allocation to leaves and aboveground wood (branches + bole) could be estimated from the sums of tissue C mass, net aboveground C flux and tissue turnover for each day of the experiment such that:</w:t>
      </w:r>
    </w:p>
    <w:p>
      <w:pPr>
        <w:pStyle w:val="BodyText"/>
      </w:pPr>
      <w:r>
        <w:br w:type="textWrapping"/>
      </w:r>
      <w:r>
        <w:t xml:space="preserve">(5)</w:t>
      </w:r>
    </w:p>
    <w:p>
      <w:pPr>
        <w:pStyle w:val="BodyText"/>
      </w:pPr>
      <m:oMathPara>
        <m:oMathParaPr>
          <m:jc m:val="center"/>
        </m:oMathParaPr>
        <m:oMath>
          <m:sSub>
            <m:e>
              <m:r>
                <m:rPr/>
                <m:t>M</m:t>
              </m:r>
            </m:e>
            <m:sub>
              <m:r>
                <m:rPr/>
                <m:t>c</m:t>
              </m:r>
              <m:r>
                <m:rPr/>
                <m:t>,</m:t>
              </m:r>
              <m:r>
                <m:rPr/>
                <m:t>T</m:t>
              </m:r>
            </m:sub>
          </m:sSub>
          <m:r>
            <m:rPr/>
            <m:t>=</m:t>
          </m:r>
          <m:r>
            <m:rPr/>
            <m:t>∫</m:t>
          </m:r>
          <m:sSub>
            <m:e>
              <m:r>
                <m:rPr/>
                <m:t>a</m:t>
              </m:r>
            </m:e>
            <m:sub>
              <m:r>
                <m:rPr/>
                <m:t>c</m:t>
              </m:r>
            </m:sub>
          </m:sSub>
          <m:sSub>
            <m:e>
              <m:r>
                <m:rPr/>
                <m:t>F</m:t>
              </m:r>
            </m:e>
            <m:sub>
              <m:r>
                <m:rPr/>
                <m:t>c</m:t>
              </m:r>
              <m:r>
                <m:rPr/>
                <m:t>,</m:t>
              </m:r>
              <m:r>
                <m:rPr/>
                <m:t>d</m:t>
              </m:r>
            </m:sub>
          </m:sSub>
          <m:r>
            <m:rPr/>
            <m:t>d</m:t>
          </m:r>
          <m:r>
            <m:rPr/>
            <m:t>t</m:t>
          </m:r>
          <m:r>
            <m:rPr/>
            <m:t>−</m:t>
          </m:r>
          <m:r>
            <m:rPr/>
            <m:t>∫</m:t>
          </m:r>
          <m:r>
            <m:rPr/>
            <m:t>λ</m:t>
          </m:r>
          <m:sSub>
            <m:e>
              <m:r>
                <m:rPr/>
                <m:t>M</m:t>
              </m:r>
            </m:e>
            <m:sub>
              <m:r>
                <m:rPr/>
                <m:t>c</m:t>
              </m:r>
            </m:sub>
          </m:sSub>
          <m:r>
            <m:rPr/>
            <m:t>d</m:t>
          </m:r>
          <m:r>
            <m:rPr/>
            <m:t>t</m:t>
          </m:r>
        </m:oMath>
      </m:oMathPara>
    </w:p>
    <w:p>
      <w:pPr>
        <w:pStyle w:val="BodyText"/>
      </w:pPr>
      <w:r>
        <w:t xml:space="preserve">where</w:t>
      </w:r>
      <w:r>
        <w:t xml:space="preserve"> </w:t>
      </w:r>
      <m:oMath>
        <m:sSub>
          <m:e>
            <m:r>
              <m:rPr>
                <m:sty m:val="p"/>
              </m:rPr>
              <m:t>M</m:t>
            </m:r>
          </m:e>
          <m:sub>
            <m:r>
              <m:rPr/>
              <m:t>c</m:t>
            </m:r>
            <m:r>
              <m:rPr/>
              <m:t>,</m:t>
            </m:r>
            <m:r>
              <m:rPr/>
              <m:t>T</m:t>
            </m:r>
          </m:sub>
        </m:sSub>
      </m:oMath>
      <w:r>
        <w:t xml:space="preserve"> </w:t>
      </w:r>
      <w:r>
        <w:t xml:space="preserve">is the total dry C mass of either leaves or wood and</w:t>
      </w:r>
      <w:r>
        <w:t xml:space="preserve"> </w:t>
      </w:r>
      <m:oMath>
        <m:sSub>
          <m:e>
            <m:r>
              <m:rPr>
                <m:sty m:val="p"/>
              </m:rPr>
              <m:t>F</m:t>
            </m:r>
          </m:e>
          <m:sub>
            <m:r>
              <m:rPr/>
              <m:t>c</m:t>
            </m:r>
            <m:r>
              <m:rPr/>
              <m:t>,</m:t>
            </m:r>
            <m:r>
              <m:rPr/>
              <m:t>d</m:t>
            </m:r>
          </m:sub>
        </m:sSub>
      </m:oMath>
      <w:r>
        <w:t xml:space="preserve"> </w:t>
      </w:r>
      <w:r>
        <w:t xml:space="preserve">is the daily net aboveground C uptake (g C d</w:t>
      </w:r>
      <w:r>
        <w:rPr>
          <w:vertAlign w:val="superscript"/>
        </w:rPr>
        <w:t xml:space="preserve">-1</w:t>
      </w:r>
      <w:r>
        <w:t xml:space="preserve">). From equation 5, we estimated allocation by solving for</w:t>
      </w:r>
      <w:r>
        <w:t xml:space="preserve"> </w:t>
      </w:r>
      <m:oMath>
        <m:sSub>
          <m:e>
            <m:r>
              <m:rPr>
                <m:sty m:val="p"/>
              </m:rPr>
              <m:t>a</m:t>
            </m:r>
          </m:e>
          <m:sub>
            <m:r>
              <m:rPr/>
              <m:t>c</m:t>
            </m:r>
          </m:sub>
        </m:sSub>
      </m:oMath>
      <w:r>
        <w:t xml:space="preserve"> </w:t>
      </w:r>
      <w:r>
        <w:t xml:space="preserve">(as all other components were measured). For example, C allocation to leaves (</w:t>
      </w:r>
      <m:oMath>
        <m:sSub>
          <m:e>
            <m:r>
              <m:rPr>
                <m:sty m:val="p"/>
              </m:rPr>
              <m:t>a</m:t>
            </m:r>
          </m:e>
          <m:sub>
            <m:r>
              <m:rPr/>
              <m:t>l</m:t>
            </m:r>
          </m:sub>
        </m:sSub>
      </m:oMath>
      <w:r>
        <w:t xml:space="preserve">) was determined by combining measurements of harvested dry C mass of leaves (</w:t>
      </w:r>
      <m:oMath>
        <m:sSub>
          <m:e>
            <m:r>
              <m:rPr>
                <m:sty m:val="p"/>
              </m:rPr>
              <m:t>M</m:t>
            </m:r>
          </m:e>
          <m:sub>
            <m:r>
              <m:rPr/>
              <m:t>l</m:t>
            </m:r>
            <m:r>
              <m:rPr/>
              <m:t>,</m:t>
            </m:r>
            <m:r>
              <m:rPr/>
              <m:t>T</m:t>
            </m:r>
          </m:sub>
        </m:sSub>
      </m:oMath>
      <w:r>
        <w:t xml:space="preserve">) with</w:t>
      </w:r>
      <w:r>
        <w:t xml:space="preserve"> </w:t>
      </w:r>
      <m:oMath>
        <m:sSub>
          <m:e>
            <m:r>
              <m:rPr>
                <m:sty m:val="p"/>
              </m:rPr>
              <m:t>F</m:t>
            </m:r>
          </m:e>
          <m:sub>
            <m:r>
              <m:rPr/>
              <m:t>c</m:t>
            </m:r>
            <m:r>
              <m:rPr/>
              <m:t>,</m:t>
            </m:r>
            <m:r>
              <m:rPr/>
              <m:t>T</m:t>
            </m:r>
          </m:sub>
        </m:sSub>
      </m:oMath>
      <w:r>
        <w:t xml:space="preserve"> </w:t>
      </w:r>
      <w:r>
        <w:t xml:space="preserve">and total litterfall (</w:t>
      </w:r>
      <m:oMath>
        <m:sSub>
          <m:e>
            <m:r>
              <m:rPr>
                <m:sty m:val="p"/>
              </m:rPr>
              <m:t>L</m:t>
            </m:r>
          </m:e>
          <m:sub>
            <m:r>
              <m:rPr/>
              <m:t>l</m:t>
            </m:r>
            <m:r>
              <m:rPr/>
              <m:t>,</m:t>
            </m:r>
            <m:r>
              <m:rPr/>
              <m:t>T</m:t>
            </m:r>
          </m:sub>
        </m:sSub>
      </m:oMath>
      <w:r>
        <w:t xml:space="preserve">), giving:</w:t>
      </w:r>
    </w:p>
    <w:p>
      <w:pPr>
        <w:pStyle w:val="BodyText"/>
      </w:pPr>
      <w:r>
        <w:br w:type="textWrapping"/>
      </w:r>
      <w:r>
        <w:t xml:space="preserve">(6)</w:t>
      </w:r>
    </w:p>
    <w:p>
      <w:pPr>
        <w:pStyle w:val="BodyText"/>
      </w:pPr>
      <m:oMathPara>
        <m:oMathParaPr>
          <m:jc m:val="center"/>
        </m:oMathParaPr>
        <m:oMath>
          <m:sSub>
            <m:e>
              <m:r>
                <m:rPr/>
                <m:t>M</m:t>
              </m:r>
            </m:e>
            <m:sub>
              <m:r>
                <m:rPr/>
                <m:t>l</m:t>
              </m:r>
              <m:r>
                <m:rPr/>
                <m:t>,</m:t>
              </m:r>
              <m:r>
                <m:rPr/>
                <m:t>T</m:t>
              </m:r>
            </m:sub>
          </m:sSub>
          <m:r>
            <m:rPr/>
            <m:t>=</m:t>
          </m:r>
          <m:sSub>
            <m:e>
              <m:r>
                <m:rPr/>
                <m:t>a</m:t>
              </m:r>
            </m:e>
            <m:sub>
              <m:r>
                <m:rPr/>
                <m:t>l</m:t>
              </m:r>
            </m:sub>
          </m:sSub>
          <m:sSub>
            <m:e>
              <m:r>
                <m:rPr/>
                <m:t>F</m:t>
              </m:r>
            </m:e>
            <m:sub>
              <m:r>
                <m:rPr/>
                <m:t>c</m:t>
              </m:r>
              <m:r>
                <m:rPr/>
                <m:t>,</m:t>
              </m:r>
              <m:r>
                <m:rPr/>
                <m:t>T</m:t>
              </m:r>
            </m:sub>
          </m:sSub>
          <m:r>
            <m:rPr/>
            <m:t>−</m:t>
          </m:r>
          <m:sSub>
            <m:e>
              <m:r>
                <m:rPr/>
                <m:t>L</m:t>
              </m:r>
            </m:e>
            <m:sub>
              <m:r>
                <m:rPr/>
                <m:t>l</m:t>
              </m:r>
              <m:r>
                <m:rPr/>
                <m:t>,</m:t>
              </m:r>
              <m:r>
                <m:rPr/>
                <m:t>t</m:t>
              </m:r>
            </m:sub>
          </m:sSub>
        </m:oMath>
      </m:oMathPara>
    </w:p>
    <w:p>
      <w:pPr>
        <w:pStyle w:val="BodyText"/>
      </w:pPr>
      <w:r>
        <w:t xml:space="preserve">and then solving for leaf C allocation:</w:t>
      </w:r>
    </w:p>
    <w:p>
      <w:pPr>
        <w:pStyle w:val="BodyText"/>
      </w:pPr>
      <w:r>
        <w:br w:type="textWrapping"/>
      </w:r>
      <w:r>
        <w:t xml:space="preserve">(7)</w:t>
      </w:r>
    </w:p>
    <w:p>
      <w:pPr>
        <w:pStyle w:val="BodyText"/>
      </w:pPr>
      <m:oMathPara>
        <m:oMathParaPr>
          <m:jc m:val="center"/>
        </m:oMathParaPr>
        <m:oMath>
          <m:sSub>
            <m:e>
              <m:r>
                <m:rPr/>
                <m:t>a</m:t>
              </m:r>
            </m:e>
            <m:sub>
              <m:r>
                <m:rPr/>
                <m:t>l</m:t>
              </m:r>
            </m:sub>
          </m:sSub>
          <m:r>
            <m:rPr/>
            <m:t>=</m:t>
          </m:r>
          <m:r>
            <m:rPr/>
            <m:t>(</m:t>
          </m:r>
          <m:sSub>
            <m:e>
              <m:r>
                <m:rPr/>
                <m:t>M</m:t>
              </m:r>
            </m:e>
            <m:sub>
              <m:r>
                <m:rPr/>
                <m:t>l</m:t>
              </m:r>
              <m:r>
                <m:rPr/>
                <m:t>,</m:t>
              </m:r>
              <m:r>
                <m:rPr/>
                <m:t>t</m:t>
              </m:r>
            </m:sub>
          </m:sSub>
          <m:r>
            <m:rPr/>
            <m:t>−</m:t>
          </m:r>
          <m:sSub>
            <m:e>
              <m:r>
                <m:rPr/>
                <m:t>L</m:t>
              </m:r>
            </m:e>
            <m:sub>
              <m:r>
                <m:rPr/>
                <m:t>l</m:t>
              </m:r>
              <m:r>
                <m:rPr/>
                <m:t>,</m:t>
              </m:r>
              <m:r>
                <m:rPr/>
                <m:t>t</m:t>
              </m:r>
            </m:sub>
          </m:sSub>
          <m:r>
            <m:rPr/>
            <m:t>)</m:t>
          </m:r>
          <m:r>
            <m:rPr/>
            <m:t>/</m:t>
          </m:r>
          <m:sSub>
            <m:e>
              <m:r>
                <m:rPr/>
                <m:t>F</m:t>
              </m:r>
            </m:e>
            <m:sub>
              <m:r>
                <m:rPr/>
                <m:t>c</m:t>
              </m:r>
              <m:r>
                <m:rPr/>
                <m:t>,</m:t>
              </m:r>
              <m:r>
                <m:rPr/>
                <m:t>t</m:t>
              </m:r>
            </m:sub>
          </m:sSub>
        </m:oMath>
      </m:oMathPara>
    </w:p>
    <w:p>
      <w:pPr>
        <w:pStyle w:val="BodyText"/>
      </w:pPr>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3" w:name="total-belowground-carbon-allocation"/>
      <w:bookmarkEnd w:id="33"/>
      <w:r>
        <w:t xml:space="preserve">4.3.10 Total belowground carbon allocation</w:t>
      </w:r>
    </w:p>
    <w:p>
      <w:pPr>
        <w:pStyle w:val="FirstParagraph"/>
      </w:pPr>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pPr>
        <w:pStyle w:val="BodyText"/>
      </w:pPr>
      <w:r>
        <w:br w:type="textWrapping"/>
      </w:r>
      <w:r>
        <w:t xml:space="preserve">(8)</w:t>
      </w:r>
    </w:p>
    <w:p>
      <w:pPr>
        <w:pStyle w:val="BodyText"/>
      </w:pPr>
      <m:oMathPara>
        <m:oMathParaPr>
          <m:jc m:val="center"/>
        </m:oMathParaPr>
        <m:oMath>
          <m:r>
            <m:rPr/>
            <m:t>T</m:t>
          </m:r>
          <m:r>
            <m:rPr/>
            <m:t>B</m:t>
          </m:r>
          <m:r>
            <m:rPr/>
            <m:t>C</m:t>
          </m:r>
          <m:sSub>
            <m:e>
              <m:r>
                <m:rPr/>
                <m:t>A</m:t>
              </m:r>
            </m:e>
            <m:sub>
              <m:r>
                <m:rPr/>
                <m:t>t</m:t>
              </m:r>
            </m:sub>
          </m:sSub>
          <m:r>
            <m:rPr/>
            <m:t>=</m:t>
          </m:r>
          <m:nary>
            <m:naryPr>
              <m:chr m:val="∫"/>
              <m:limLoc m:val="subSup"/>
              <m:supHide m:val="off"/>
              <m:supHide m:val="off"/>
            </m:naryPr>
            <m:e>
              <m:sSub>
                <m:e>
                  <m:r>
                    <m:rPr/>
                    <m:t>F</m:t>
                  </m:r>
                </m:e>
                <m:sub>
                  <m:r>
                    <m:rPr/>
                    <m:t>c</m:t>
                  </m:r>
                  <m:r>
                    <m:rPr/>
                    <m:t>,</m:t>
                  </m:r>
                  <m:r>
                    <m:rPr/>
                    <m:t>d</m:t>
                  </m:r>
                </m:sub>
              </m:sSub>
            </m:e>
            <m:sub>
              <m:r>
                <m:rPr/>
                <m:t>0</m:t>
              </m:r>
            </m:sub>
            <m:sup>
              <m:r>
                <m:rPr/>
                <m:t>t</m:t>
              </m:r>
            </m:sup>
          </m:nary>
          <m:r>
            <m:rPr/>
            <m:t>d</m:t>
          </m:r>
          <m:r>
            <m:rPr/>
            <m:t>t</m:t>
          </m:r>
          <m:r>
            <m:rPr/>
            <m:t>−</m:t>
          </m:r>
          <m:sSub>
            <m:e>
              <m:r>
                <m:rPr/>
                <m:t>C</m:t>
              </m:r>
            </m:e>
            <m:sub>
              <m:r>
                <m:rPr/>
                <m:t>a</m:t>
              </m:r>
              <m:r>
                <m:rPr/>
                <m:t>b</m:t>
              </m:r>
            </m:sub>
          </m:sSub>
        </m:oMath>
      </m:oMathPara>
    </w:p>
    <w:p>
      <w:pPr>
        <w:pStyle w:val="BodyText"/>
      </w:pPr>
      <w:r>
        <w:t xml:space="preserve">where</w:t>
      </w:r>
      <w:r>
        <w:t xml:space="preserve"> </w:t>
      </w:r>
      <m:oMath>
        <m:sSub>
          <m:e>
            <m:r>
              <m:rPr>
                <m:sty m:val="p"/>
              </m:rPr>
              <m:t>C</m:t>
            </m:r>
          </m:e>
          <m:sub>
            <m:r>
              <m:rPr/>
              <m:t>a</m:t>
            </m:r>
            <m:r>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t>r</m:t>
            </m:r>
            <m:r>
              <m:rPr/>
              <m:t>,</m:t>
            </m:r>
            <m:r>
              <m:rPr/>
              <m:t>T</m:t>
            </m:r>
          </m:sub>
        </m:sSub>
      </m:oMath>
      <w:r>
        <w:t xml:space="preserve">) and the residual belowground C flux (</w:t>
      </w:r>
      <m:oMath>
        <m:sSub>
          <m:e>
            <m:r>
              <m:rPr>
                <m:sty m:val="p"/>
              </m:rPr>
              <m:t>F</m:t>
            </m:r>
          </m:e>
          <m:sub>
            <m:r>
              <m:rPr/>
              <m:t>c</m:t>
            </m:r>
            <m:r>
              <m:rPr/>
              <m:t>,</m:t>
            </m:r>
            <m:r>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t>a</m:t>
            </m:r>
            <m:r>
              <m:rPr/>
              <m:t>b</m:t>
            </m:r>
          </m:sub>
        </m:sSub>
      </m:oMath>
      <w:r>
        <w:t xml:space="preserve"> </w:t>
      </w:r>
      <w:r>
        <w:t xml:space="preserve">through time combined with measured daily</w:t>
      </w:r>
      <w:r>
        <w:t xml:space="preserve"> </w:t>
      </w:r>
      <m:oMath>
        <m:sSub>
          <m:e>
            <m:r>
              <m:rPr>
                <m:sty m:val="p"/>
              </m:rPr>
              <m:t>F</m:t>
            </m:r>
          </m:e>
          <m:sub>
            <m:r>
              <m:rPr/>
              <m:t>c</m:t>
            </m:r>
            <m:r>
              <m:rPr/>
              <m:t>,</m:t>
            </m:r>
            <m:r>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t>c</m:t>
            </m:r>
            <m:r>
              <m:rPr/>
              <m:t>,</m:t>
            </m:r>
            <m:r>
              <m:rPr/>
              <m:t>r</m:t>
            </m:r>
          </m:sub>
        </m:sSub>
      </m:oMath>
      <w:r>
        <w:t xml:space="preserve"> </w:t>
      </w:r>
      <w:r>
        <w:t xml:space="preserve">was calculated at the final harvest.</w:t>
      </w:r>
    </w:p>
    <w:p>
      <w:pPr>
        <w:pStyle w:val="Heading2"/>
      </w:pPr>
      <w:bookmarkStart w:id="34" w:name="mass-balance-relationships-between-textf_cd-and-carbon-allocation."/>
      <w:bookmarkEnd w:id="34"/>
      <w:r>
        <w:t xml:space="preserve">4.3.11 Mass balance relationships between</w:t>
      </w:r>
      <w:r>
        <w:t xml:space="preserve"> </w:t>
      </w:r>
      <m:oMath>
        <m:sSub>
          <m:e>
            <m:r>
              <m:rPr>
                <m:sty m:val="p"/>
              </m:rPr>
              <m:t>F</m:t>
            </m:r>
          </m:e>
          <m:sub>
            <m:r>
              <m:rPr/>
              <m:t>c</m:t>
            </m:r>
            <m:r>
              <m:rPr/>
              <m:t>,</m:t>
            </m:r>
            <m:r>
              <m:rPr/>
              <m:t>d</m:t>
            </m:r>
          </m:sub>
        </m:sSub>
      </m:oMath>
      <w:r>
        <w:t xml:space="preserve"> </w:t>
      </w:r>
      <w:r>
        <w:t xml:space="preserve">and carbon allocation.</w:t>
      </w:r>
    </w:p>
    <w:p>
      <w:pPr>
        <w:pStyle w:val="FirstParagraph"/>
      </w:pPr>
      <w:r>
        <w:t xml:space="preserve">The cumulative sum of</w:t>
      </w:r>
      <w:r>
        <w:t xml:space="preserve"> </w:t>
      </w:r>
      <m:oMath>
        <m:sSub>
          <m:e>
            <m:r>
              <m:rPr>
                <m:sty m:val="p"/>
              </m:rPr>
              <m:t>F</m:t>
            </m:r>
          </m:e>
          <m:sub>
            <m:r>
              <m:rPr/>
              <m:t>c</m:t>
            </m:r>
            <m:r>
              <m:rPr/>
              <m:t>,</m:t>
            </m:r>
            <m:r>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t>a</m:t>
            </m:r>
            <m:r>
              <m:rPr/>
              <m:t>b</m:t>
            </m:r>
          </m:sub>
        </m:sSub>
      </m:oMath>
      <w:r>
        <w:t xml:space="preserve"> </w:t>
      </w:r>
      <w:r>
        <w:t xml:space="preserve">on any given day. The contribution of each aboveground component to the cumulative sum of</w:t>
      </w:r>
      <w:r>
        <w:t xml:space="preserve"> </w:t>
      </w:r>
      <m:oMath>
        <m:sSub>
          <m:e>
            <m:r>
              <m:rPr>
                <m:sty m:val="p"/>
              </m:rPr>
              <m:t>F</m:t>
            </m:r>
          </m:e>
          <m:sub>
            <m:r>
              <m:rPr/>
              <m:t>c</m:t>
            </m:r>
            <m:r>
              <m:rPr/>
              <m:t>,</m:t>
            </m:r>
            <m:r>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t>c</m:t>
            </m:r>
            <m:r>
              <m:rPr/>
              <m:t>,</m:t>
            </m:r>
            <m:r>
              <m:rPr/>
              <m:t>d</m:t>
            </m:r>
            <m:r>
              <m:rPr/>
              <m:t> </m:t>
            </m:r>
          </m:sub>
        </m:sSub>
      </m:oMath>
      <w:r>
        <w:t xml:space="preserve"> </w:t>
      </w:r>
      <w:r>
        <w:t xml:space="preserve">on the day when chamber floors were installed was subtracted from all respective daily values so mass balance could be tracked with a 0 starting value. This allowed cumultaive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t>r</m:t>
            </m:r>
            <m:r>
              <m:rPr/>
              <m:t>,</m:t>
            </m:r>
            <m:r>
              <m:rPr/>
              <m:t>T</m:t>
            </m:r>
          </m:sub>
        </m:sSub>
      </m:oMath>
      <w:r>
        <w:t xml:space="preserve"> </w:t>
      </w:r>
      <w:r>
        <w:t xml:space="preserve">from</w:t>
      </w:r>
      <w:r>
        <w:t xml:space="preserve"> </w:t>
      </w:r>
      <m:oMath>
        <m:sSub>
          <m:e>
            <m:r>
              <m:rPr>
                <m:sty m:val="p"/>
              </m:rPr>
              <m:t>C</m:t>
            </m:r>
          </m:e>
          <m:sub>
            <m:r>
              <m:rPr/>
              <m:t>a</m:t>
            </m:r>
            <m:r>
              <m:rPr/>
              <m:t>b</m:t>
            </m:r>
          </m:sub>
        </m:sSub>
      </m:oMath>
      <w:r>
        <w:t xml:space="preserve"> </w:t>
      </w:r>
      <w:r>
        <w:t xml:space="preserve">on the last day of the 11 month period. The major carbon allocation pathways and subsequent above- and belowground C pools measured in each WTC are further depicted in Figure 4.1.</w:t>
      </w:r>
    </w:p>
    <w:p>
      <w:pPr>
        <w:pStyle w:val="BodyText"/>
      </w:pPr>
      <w:r>
        <w:br w:type="textWrapping"/>
      </w:r>
      <w:r>
        <w:drawing>
          <wp:inline>
            <wp:extent cx="5422900" cy="4067175"/>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5"/>
                    <a:stretch>
                      <a:fillRect/>
                    </a:stretch>
                  </pic:blipFill>
                  <pic:spPr bwMode="auto">
                    <a:xfrm>
                      <a:off x="0" y="0"/>
                      <a:ext cx="5422900" cy="4067175"/>
                    </a:xfrm>
                    <a:prstGeom prst="rect">
                      <a:avLst/>
                    </a:prstGeom>
                    <a:noFill/>
                    <a:ln w="9525">
                      <a:noFill/>
                      <a:headEnd/>
                      <a:tailEnd/>
                    </a:ln>
                  </pic:spPr>
                </pic:pic>
              </a:graphicData>
            </a:graphic>
          </wp:inline>
        </w:drawing>
      </w: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Mass pools of leaves, wood and roots include tissue turnover. Net aboveground C uptake (</w:t>
      </w:r>
      <m:oMath>
        <m:sSub>
          <m:e>
            <m:r>
              <m:rPr>
                <m:sty m:val="p"/>
              </m:rPr>
              <m:t>F</m:t>
            </m:r>
          </m:e>
          <m:sub>
            <m:r>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t>c</m:t>
            </m:r>
            <m:r>
              <m:rPr/>
              <m:t>,</m:t>
            </m:r>
            <m:r>
              <m:rPr/>
              <m:t>T</m:t>
            </m:r>
          </m:sub>
        </m:sSub>
      </m:oMath>
      <w:r>
        <w:t xml:space="preserve"> </w:t>
      </w:r>
      <w:r>
        <w:t xml:space="preserve">and total aboveground C mass.</w:t>
      </w:r>
    </w:p>
    <w:p>
      <w:pPr>
        <w:pStyle w:val="Heading2"/>
      </w:pPr>
      <w:bookmarkStart w:id="36" w:name="data-analysis"/>
      <w:bookmarkEnd w:id="36"/>
      <w:r>
        <w:t xml:space="preserve">4.3.12 Data analysis</w:t>
      </w:r>
    </w:p>
    <w:p>
      <w:pPr>
        <w:pStyle w:val="FirstParagraph"/>
      </w:pPr>
      <w:r>
        <w:t xml:space="preserve">Differences in experimental parameters in response to the interactice effects of CO</w:t>
      </w:r>
      <w:r>
        <w:rPr>
          <w:vertAlign w:val="subscript"/>
        </w:rPr>
        <w:t xml:space="preserve">2</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(R Development Core Team 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7" w:name="results"/>
      <w:bookmarkEnd w:id="37"/>
      <w:r>
        <w:t xml:space="preserve">4.4 Results</w:t>
      </w:r>
    </w:p>
    <w:p>
      <w:pPr>
        <w:pStyle w:val="Heading2"/>
      </w:pPr>
      <w:bookmarkStart w:id="38" w:name="total-aboveground-carbon-flux-whole-tree-c-mass-and-leaf-area"/>
      <w:bookmarkEnd w:id="38"/>
      <w:r>
        <w:t xml:space="preserve">4.4.1 Total aboveground carbon flux, whole tree C mass and leaf area</w:t>
      </w:r>
    </w:p>
    <w:p>
      <w:pPr>
        <w:pStyle w:val="FirstParagraph"/>
      </w:pPr>
      <w:r>
        <w:t xml:space="preserve">Both whole tree C and</w:t>
      </w:r>
      <w:r>
        <w:t xml:space="preserve"> </w:t>
      </w:r>
      <m:oMath>
        <m:sSub>
          <m:e>
            <m:r>
              <m:rPr>
                <m:sty m:val="p"/>
              </m:rPr>
              <m:t>C</m:t>
            </m:r>
          </m:e>
          <m:sub>
            <m:r>
              <m:rPr/>
              <m:t>a</m:t>
            </m:r>
            <m:r>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t>c</m:t>
            </m:r>
            <m:r>
              <m:rPr/>
              <m:t>,</m:t>
            </m:r>
            <m:r>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4.1).</w:t>
      </w:r>
      <w:r>
        <w:t xml:space="preserve"> </w:t>
      </w:r>
      <m:oMath>
        <m:sSub>
          <m:e>
            <m:r>
              <m:rPr>
                <m:sty m:val="p"/>
              </m:rPr>
              <m:t>F</m:t>
            </m:r>
          </m:e>
          <m:sub>
            <m:r>
              <m:rPr/>
              <m:t>c</m:t>
            </m:r>
            <m:r>
              <m:rPr/>
              <m:t>,</m:t>
            </m:r>
            <m:r>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t>a</m:t>
            </m:r>
            <m:r>
              <m:rPr/>
              <m:t>b</m:t>
            </m:r>
          </m:sub>
        </m:sSub>
      </m:oMath>
      <w:r>
        <w:t xml:space="preserve"> </w:t>
      </w:r>
      <w:r>
        <w:t xml:space="preserve">(R</w:t>
      </w:r>
      <w:r>
        <w:rPr>
          <w:vertAlign w:val="superscript"/>
        </w:rPr>
        <w:t xml:space="preserve">2</w:t>
      </w:r>
      <w:r>
        <w:t xml:space="preserve"> </w:t>
      </w:r>
      <w:r>
        <w:t xml:space="preserve">= 0.69, Figure 4.2b) over the same time period. Whole tree C mass increment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t>c</m:t>
            </m:r>
            <m:r>
              <m:rPr/>
              <m:t>,</m:t>
            </m:r>
            <m:r>
              <m:rPr/>
              <m:t>T</m:t>
            </m:r>
          </m:sub>
        </m:sSub>
      </m:oMath>
      <w:r>
        <w:t xml:space="preserve">.</w:t>
      </w:r>
    </w:p>
    <w:p>
      <w:pPr>
        <w:pStyle w:val="BodyText"/>
      </w:pPr>
      <w:r>
        <w:br w:type="textWrapping"/>
      </w:r>
      <w:r>
        <w:rPr>
          <w:b/>
        </w:rPr>
        <w:t xml:space="preserve">Table 4.1</w:t>
      </w:r>
      <w:r>
        <w:t xml:space="preserve">. Final harvest C mass of above and belowground tissues, cumulative aboveground tree C uptake (</w:t>
      </w:r>
      <m:oMath>
        <m:sSub>
          <m:e>
            <m:r>
              <m:rPr>
                <m:sty m:val="p"/>
              </m:rPr>
              <m:t>F</m:t>
            </m:r>
          </m:e>
          <m:sub>
            <m:r>
              <m:rPr/>
              <m:t>c</m:t>
            </m:r>
            <m:r>
              <m:rPr/>
              <m:t>,</m:t>
            </m:r>
            <m:r>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t>c</m:t>
            </m:r>
            <m:r>
              <m:rPr/>
              <m:t>,</m:t>
            </m:r>
            <m:r>
              <m:rPr/>
              <m:t>T</m:t>
            </m:r>
          </m:sub>
        </m:sSub>
      </m:oMath>
      <w:r>
        <w:t xml:space="preserve"> </w:t>
      </w:r>
      <w:r>
        <w:t xml:space="preserve">are g C, while SLA is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CO</w:t>
      </w:r>
      <w:r>
        <w:rPr>
          <w:vertAlign w:val="subscript"/>
        </w:rPr>
        <w:t xml:space="preserve">2</w:t>
      </w:r>
      <w:r>
        <w:t xml:space="preserve"> </w:t>
      </w:r>
      <w:r>
        <w:t xml:space="preserve">* drought interactions. P values represent overall differences of CO</w:t>
      </w:r>
      <w:r>
        <w:rPr>
          <w:vertAlign w:val="subscript"/>
        </w:rPr>
        <w:t xml:space="preserve">2</w:t>
      </w:r>
      <w:r>
        <w:t xml:space="preserve"> </w:t>
      </w:r>
      <w:r>
        <w:t xml:space="preserve">or drought main effects and the CO</w:t>
      </w:r>
      <w:r>
        <w:rPr>
          <w:vertAlign w:val="subscript"/>
        </w:rPr>
        <w:t xml:space="preserve">2</w:t>
      </w:r>
      <w:r>
        <w:t xml:space="preserve"> </w:t>
      </w:r>
      <w:r>
        <w:t xml:space="preserve">* drought interaction.</w:t>
      </w:r>
    </w:p>
    <w:tbl>
      <w:tblPr>
        <w:tblStyle w:val="TableNormal"/>
        <w:tblW w:type="pct" w:w="10138.88888888889"/>
        <w:tblLook w:firstRow="1"/>
      </w:tblPr>
      <w:tblGrid>
        <w:gridCol w:w="2310"/>
        <w:gridCol w:w="2090"/>
        <w:gridCol w:w="1980"/>
        <w:gridCol w:w="1980"/>
        <w:gridCol w:w="1980"/>
        <w:gridCol w:w="1980"/>
        <w:gridCol w:w="2200"/>
        <w:gridCol w:w="1540"/>
      </w:tblGrid>
      <w:tr>
        <w:trPr>
          <w:cnfStyle w:firstRow="1"/>
        </w:trP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BodyText"/>
      </w:pPr>
      <w:r>
        <w:br w:type="textWrapp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pPr>
        <w:pStyle w:val="BodyText"/>
      </w:pPr>
      <w:r>
        <w:br w:type="textWrapping"/>
      </w:r>
      <w:r>
        <w:t xml:space="preserve">Leaf area at the final harvest was significantly reduced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4.1). Overall,</w:t>
      </w:r>
      <w:r>
        <w:t xml:space="preserve"> </w:t>
      </w:r>
      <m:oMath>
        <m:sSub>
          <m:e>
            <m:r>
              <m:rPr>
                <m:sty m:val="p"/>
              </m:rPr>
              <m:t>F</m:t>
            </m:r>
          </m:e>
          <m:sub>
            <m:r>
              <m:rPr/>
              <m:t>c</m:t>
            </m:r>
            <m:r>
              <m:rPr/>
              <m:t>,</m:t>
            </m:r>
            <m:r>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t>c</m:t>
            </m:r>
            <m:r>
              <m:rPr/>
              <m:t>,</m:t>
            </m:r>
            <m:r>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3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t>c</m:t>
            </m:r>
            <m:r>
              <m:rPr/>
              <m:t>,</m:t>
            </m:r>
            <m:r>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1" w:name="harvested-tissue-carbon-mass-and-biomass-partitioning"/>
      <w:bookmarkEnd w:id="41"/>
      <w:r>
        <w:t xml:space="preserve">4.4.2 Harvested tissue carbon mass and biomass partitioning</w:t>
      </w:r>
    </w:p>
    <w:p>
      <w:pPr>
        <w:pStyle w:val="FirstParagraph"/>
      </w:pPr>
      <w:r>
        <w:t xml:space="preserve">At the end of this two year experiment, harvested C mass of tissue components was affected in eC</w:t>
      </w:r>
      <w:r>
        <w:rPr>
          <w:vertAlign w:val="subscript"/>
        </w:rPr>
        <w:t xml:space="preserve">a</w:t>
      </w:r>
      <w:r>
        <w:t xml:space="preserve"> </w:t>
      </w:r>
      <w:r>
        <w:t xml:space="preserve">but not drought treatments (Table 4.1).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CO</w:t>
      </w:r>
      <w:r>
        <w:rPr>
          <w:vertAlign w:val="subscript"/>
        </w:rPr>
        <w:t xml:space="preserve">2</w:t>
      </w:r>
      <w:r>
        <w:t xml:space="preserve"> </w:t>
      </w:r>
      <w:r>
        <w:t xml:space="preserve">treatments. Total root C mass was reduced by 29% in eC</w:t>
      </w:r>
      <w:r>
        <w:rPr>
          <w:vertAlign w:val="subscript"/>
        </w:rPr>
        <w:t xml:space="preserve">a</w:t>
      </w:r>
      <w:r>
        <w:t xml:space="preserve"> </w:t>
      </w:r>
      <w:r>
        <w:t xml:space="preserve">treatments (P = 0.091).</w:t>
      </w:r>
    </w:p>
    <w:p>
      <w:pPr>
        <w:pStyle w:val="BodyText"/>
      </w:pPr>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2"/>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3" w:name="aboveground-carbon-allocation"/>
      <w:bookmarkEnd w:id="43"/>
      <w:r>
        <w:t xml:space="preserve">4.4.3 Aboveground carbon allocation</w:t>
      </w:r>
    </w:p>
    <w:p>
      <w:pPr>
        <w:pStyle w:val="FirstParagraph"/>
      </w:pPr>
      <w:r>
        <w:t xml:space="preserve">Treatment effects on tissue C allocation were determined from C mass estimates obtained from allometry over the final eleven months of the experiment and</w:t>
      </w:r>
      <w:r>
        <w:t xml:space="preserve"> </w:t>
      </w:r>
      <m:oMath>
        <m:sSub>
          <m:e>
            <m:r>
              <m:rPr>
                <m:sty m:val="p"/>
              </m:rPr>
              <m:t>F</m:t>
            </m:r>
          </m:e>
          <m:sub>
            <m:r>
              <m:rPr/>
              <m:t>c</m:t>
            </m:r>
            <m:r>
              <m:rPr/>
              <m:t>,</m:t>
            </m:r>
            <m:r>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t>c</m:t>
            </m:r>
            <m:r>
              <m:rPr/>
              <m:t>,</m:t>
            </m:r>
            <m:r>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4" w:name="belowground-carbon-allocation"/>
      <w:bookmarkEnd w:id="44"/>
      <w:r>
        <w:t xml:space="preserve">4.4.4 Belowground carbon allocation</w:t>
      </w:r>
    </w:p>
    <w:p>
      <w:pPr>
        <w:pStyle w:val="FirstParagraph"/>
      </w:pPr>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t>c</m:t>
            </m:r>
            <m:r>
              <m:rPr/>
              <m:t>,</m:t>
            </m:r>
            <m:r>
              <m:rPr/>
              <m:t>T</m:t>
            </m:r>
          </m:sub>
        </m:sSub>
      </m:oMath>
      <w:r>
        <w:t xml:space="preserve"> </w:t>
      </w:r>
      <w:r>
        <w:t xml:space="preserve">(Figure 4.6). As mass balance must be achieved, TBCA and the residual belowground C flux (</w:t>
      </w:r>
      <m:oMath>
        <m:sSub>
          <m:e>
            <m:r>
              <m:rPr>
                <m:sty m:val="p"/>
              </m:rPr>
              <m:t>F</m:t>
            </m:r>
          </m:e>
          <m:sub>
            <m:r>
              <m:rPr/>
              <m:t>c</m:t>
            </m:r>
            <m:r>
              <m:rPr/>
              <m:t>,</m:t>
            </m:r>
            <m:r>
              <m:rPr/>
              <m:t>r</m:t>
            </m:r>
          </m:sub>
        </m:sSub>
      </m:oMath>
      <w:r>
        <w:t xml:space="preserve">) were estimated from Figure 4.6 as residuals between</w:t>
      </w:r>
      <w:r>
        <w:t xml:space="preserve"> </w:t>
      </w:r>
      <m:oMath>
        <m:sSub>
          <m:e>
            <m:r>
              <m:rPr>
                <m:sty m:val="p"/>
              </m:rPr>
              <m:t>F</m:t>
            </m:r>
          </m:e>
          <m:sub>
            <m:r>
              <m:rPr/>
              <m:t>c</m:t>
            </m:r>
            <m:r>
              <m:rPr/>
              <m:t>,</m:t>
            </m:r>
            <m:r>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t>c</m:t>
            </m:r>
            <m:r>
              <m:rPr/>
              <m:t>,</m:t>
            </m:r>
            <m:r>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t>c</m:t>
            </m:r>
            <m:r>
              <m:rPr/>
              <m:t>,</m:t>
            </m:r>
            <m:r>
              <m:rPr/>
              <m:t>r</m:t>
            </m:r>
          </m:sub>
        </m:sSub>
      </m:oMath>
      <w:r>
        <w:t xml:space="preserve"> </w:t>
      </w:r>
      <w:r>
        <w:t xml:space="preserve">were affected by CO</w:t>
      </w:r>
      <w:r>
        <w:rPr>
          <w:vertAlign w:val="subscript"/>
        </w:rPr>
        <w:t xml:space="preserve">2</w:t>
      </w:r>
      <w:r>
        <w:t xml:space="preserve"> </w:t>
      </w:r>
      <w:r>
        <w:t xml:space="preserve">or drought treatments (Figure 4.7). The time course of cumulative daily TBCA and</w:t>
      </w:r>
      <w:r>
        <w:t xml:space="preserve"> </w:t>
      </w:r>
      <m:oMath>
        <m:sSub>
          <m:e>
            <m:r>
              <m:rPr>
                <m:sty m:val="p"/>
              </m:rPr>
              <m:t>F</m:t>
            </m:r>
          </m:e>
          <m:sub>
            <m:r>
              <m:rPr/>
              <m:t>c</m:t>
            </m:r>
            <m:r>
              <m:rPr/>
              <m:t>,</m:t>
            </m:r>
            <m:r>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pPr>
        <w:pStyle w:val="BodyText"/>
      </w:pPr>
      <w:r>
        <w:br w:type="textWrapping"/>
      </w:r>
      <w:r>
        <w:drawing>
          <wp:inline>
            <wp:extent cx="5422900" cy="7757760"/>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5"/>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pPr>
        <w:pStyle w:val="BodyText"/>
      </w:pPr>
      <w:r>
        <w:drawing>
          <wp:inline>
            <wp:extent cx="5422900" cy="542290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6"/>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t>c</m:t>
            </m:r>
            <m:r>
              <m:rPr/>
              <m:t>,</m:t>
            </m:r>
            <m:r>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t>c</m:t>
            </m:r>
            <m:r>
              <m:rPr/>
              <m:t>,</m:t>
            </m:r>
            <m:r>
              <m:rPr/>
              <m:t>r</m:t>
            </m:r>
          </m:sub>
        </m:sSub>
      </m:oMath>
      <w:r>
        <w:t xml:space="preserve"> </w:t>
      </w:r>
      <w:r>
        <w:t xml:space="preserve">were calculated as the residual between TBCA and root C mass predicted on the last date of the eleven month period.</w:t>
      </w:r>
    </w:p>
    <w:p>
      <w:pPr>
        <w:pStyle w:val="BodyText"/>
      </w:pP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w:t>
      </w:r>
    </w:p>
    <w:p>
      <w:pPr>
        <w:pStyle w:val="Heading1"/>
      </w:pPr>
      <w:bookmarkStart w:id="47" w:name="discussion"/>
      <w:bookmarkEnd w:id="47"/>
      <w:r>
        <w:t xml:space="preserve">4.5 Discussion</w:t>
      </w:r>
    </w:p>
    <w:p>
      <w:pPr>
        <w:pStyle w:val="FirstParagraph"/>
      </w:pPr>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Crous et al. 2011, 2012, Duursma et al. 2011)</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48" w:name="relationships-between-tree-c-flux-leaf-area-and-tree-c-mass"/>
      <w:bookmarkEnd w:id="48"/>
      <w:r>
        <w:t xml:space="preserve">4.5.1 Relationships between tree C flux, leaf area and tree C mass</w:t>
      </w:r>
    </w:p>
    <w:p>
      <w:pPr>
        <w:pStyle w:val="FirstParagraph"/>
      </w:pPr>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(De Pury 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pPr>
        <w:pStyle w:val="BodyText"/>
      </w:pPr>
      <w:r>
        <w:br w:type="textWrapping"/>
      </w:r>
      <w:r>
        <w:t xml:space="preserve">A shortage of empirically measured whole tree C fluxes also makes inferring relationships with biomass or C allocation difficult.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w:t>
      </w:r>
      <w:r>
        <w:t xml:space="preserve"> </w:t>
      </w:r>
      <w:r>
        <w:rPr>
          <w:i/>
        </w:rPr>
        <w:t xml:space="preserve">A</w:t>
      </w:r>
      <w:r>
        <w:rPr>
          <w:vertAlign w:val="subscript"/>
          <w:i/>
        </w:rPr>
        <w:t xml:space="preserve">n</w:t>
      </w:r>
      <w:r>
        <w:t xml:space="preserve"> </w:t>
      </w:r>
      <w:r>
        <w:t xml:space="preserve">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9" w:name="responses-of-biomass-partitioning-and-c-allocation-to-climate-change"/>
      <w:bookmarkEnd w:id="49"/>
      <w:r>
        <w:t xml:space="preserve">4.5.2 Responses of biomass partitioning and C allocation to climate change</w:t>
      </w:r>
    </w:p>
    <w:p>
      <w:pPr>
        <w:pStyle w:val="FirstParagraph"/>
      </w:pPr>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(Körner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pPr>
        <w:pStyle w:val="BodyText"/>
      </w:pPr>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(Körner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Müller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pPr>
        <w:pStyle w:val="BodyText"/>
      </w:pPr>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2011, 2012)</w:t>
      </w:r>
      <w:r>
        <w:t xml:space="preserve"> </w:t>
      </w:r>
      <w:r>
        <w:t xml:space="preserve">are intrinsically included in the measurement of</w:t>
      </w:r>
      <w:r>
        <w:t xml:space="preserve"> </w:t>
      </w:r>
      <m:oMath>
        <m:sSub>
          <m:e>
            <m:r>
              <m:rPr>
                <m:sty m:val="p"/>
              </m:rPr>
              <m:t>F</m:t>
            </m:r>
          </m:e>
          <m:sub>
            <m:r>
              <m:rPr/>
              <m:t>c</m:t>
            </m:r>
            <m:r>
              <m:rPr/>
              <m:t>,</m:t>
            </m:r>
            <m:r>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Körner et al. 2005)</w:t>
      </w:r>
      <w:r>
        <w:t xml:space="preserve">. Here, increased C allocation to leaves may have resulted in the observed increase in leaf TNC under eC</w:t>
      </w:r>
      <w:r>
        <w:rPr>
          <w:vertAlign w:val="subscript"/>
        </w:rPr>
        <w:t xml:space="preserve">a</w:t>
      </w:r>
      <w:r>
        <w:t xml:space="preserve"> </w:t>
      </w:r>
      <w:r>
        <w:t xml:space="preserve">(see Crous et al. 2011)</w:t>
      </w:r>
      <w:r>
        <w:t xml:space="preserve"> </w:t>
      </w:r>
      <w:r>
        <w:t xml:space="preserve">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0" w:name="tbca-response-to-climate-change-in-a-single-tree-ecosystem"/>
      <w:bookmarkEnd w:id="50"/>
      <w:r>
        <w:t xml:space="preserve">4.5.3 TBCA response to climate change in a single-tree ecosystem</w:t>
      </w:r>
    </w:p>
    <w:p>
      <w:pPr>
        <w:pStyle w:val="FirstParagraph"/>
      </w:pPr>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pPr>
        <w:pStyle w:val="BodyText"/>
      </w:pPr>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w:t>
      </w:r>
    </w:p>
    <w:p>
      <w:pPr>
        <w:pStyle w:val="BodyText"/>
      </w:pPr>
      <w:r>
        <w:br w:type="textWrapping"/>
      </w:r>
      <w:r>
        <w:t xml:space="preserve">A lack of cumulative change in TBCA, however, does not imply that belowground processes were unaffected by either treatment. For example, trees under drought stress may increase C allocation to root systems to alleviate water stress</w:t>
      </w:r>
      <w:r>
        <w:t xml:space="preserve"> </w:t>
      </w:r>
      <w:r>
        <w:t xml:space="preserve">(Poorter and Nagel 2000)</w:t>
      </w:r>
      <w:r>
        <w:t xml:space="preserve">, but this increase could be offset by reduced root exudation</w:t>
      </w:r>
      <w:r>
        <w:t xml:space="preserve"> </w:t>
      </w:r>
      <w:r>
        <w:t xml:space="preserve">(Iversen and Norby 2014)</w:t>
      </w:r>
      <w:r>
        <w:t xml:space="preserve">, reduced C demand via decreases in root respiration rates</w:t>
      </w:r>
      <w:r>
        <w:t xml:space="preserve"> </w:t>
      </w:r>
      <w:r>
        <w:t xml:space="preserve">(Burton et al. 1998)</w:t>
      </w:r>
      <w:r>
        <w:t xml:space="preserve"> </w:t>
      </w:r>
      <w:r>
        <w:t xml:space="preserve">or increased root mortality and turnover</w:t>
      </w:r>
      <w:r>
        <w:t xml:space="preserve"> </w:t>
      </w:r>
      <w:r>
        <w:t xml:space="preserve">(Marshall 1986, Meier and Leuschner 2008)</w:t>
      </w:r>
      <w:r>
        <w:t xml:space="preserve">. Quantification of root exudation, respiration and turnover should remain a priority in future studies to further elucidate temporal patterns in TBCA.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pPr>
        <w:pStyle w:val="BodyText"/>
      </w:pPr>
      <w:r>
        <w:br w:type="textWrapping"/>
      </w:r>
      <w:r>
        <w:t xml:space="preserve">With an estimation of daily aboveground C mass gain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consistency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1" w:name="conclusions"/>
      <w:bookmarkEnd w:id="51"/>
      <w:r>
        <w:t xml:space="preserve">4.5.4 Conclusions</w:t>
      </w:r>
    </w:p>
    <w:p>
      <w:pPr>
        <w:pStyle w:val="FirstParagraph"/>
      </w:pPr>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may have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(De Kauwe 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2" w:name="supporting-information"/>
      <w:bookmarkEnd w:id="52"/>
      <w:r>
        <w:t xml:space="preserve">4.6 Supporting Information</w:t>
      </w:r>
    </w:p>
    <w:p>
      <w:pPr>
        <w:pStyle w:val="FirstParagraph"/>
      </w:pPr>
      <w:r>
        <w:drawing>
          <wp:inline>
            <wp:extent cx="5422900" cy="542290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3"/>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pPr>
        <w:pStyle w:val="BodyText"/>
      </w:pPr>
      <w:r>
        <w:drawing>
          <wp:inline>
            <wp:extent cx="5422900" cy="7465902"/>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4"/>
                    <a:stretch>
                      <a:fillRect/>
                    </a:stretch>
                  </pic:blipFill>
                  <pic:spPr bwMode="auto">
                    <a:xfrm>
                      <a:off x="0" y="0"/>
                      <a:ext cx="5422900" cy="7465902"/>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to individual tree components from 15 April 2008 to 16 March 2009.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5" w:name="references"/>
      <w:bookmarkEnd w:id="55"/>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w:t>
      </w:r>
      <w:r>
        <w:rPr>
          <w:vertAlign w:val="subscript"/>
        </w:rPr>
        <w:t xml:space="preserve">2</w:t>
      </w:r>
      <w:r>
        <w:t xml:space="preserve">, N, and diversity on total belowground carbon allocation and ecosystem carbon storage in a grassland community. Ecosystems 12:1037–1052.</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Amthor JS (1994) Scaling CO</w:t>
      </w:r>
      <w:r>
        <w:rPr>
          <w:vertAlign w:val="subscript"/>
        </w:rPr>
        <w:t xml:space="preserve">2</w:t>
      </w:r>
      <w:r>
        <w:t xml:space="preserve">-photosynthesis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w:t>
      </w:r>
      <w:r>
        <w:t xml:space="preserve"> </w:t>
      </w:r>
      <w:r>
        <w:rPr>
          <w:i/>
        </w:rPr>
        <w:t xml:space="preserve">Eucalyptus tereticornis</w:t>
      </w:r>
      <w:r>
        <w:t xml:space="preserve"> </w:t>
      </w:r>
      <w:r>
        <w:t xml:space="preserve">grown in drought in CO</w:t>
      </w:r>
      <w:r>
        <w:rPr>
          <w:vertAlign w:val="subscript"/>
        </w:rPr>
        <w:t xml:space="preserve">2</w:t>
      </w:r>
      <w:r>
        <w:t xml:space="preserve">-enriched atmospheres. Functional Plant Biology 34:1137–1149.</w:t>
      </w:r>
    </w:p>
    <w:p>
      <w:pPr>
        <w:pStyle w:val="Bibliography"/>
      </w:pPr>
      <w:r>
        <w:t xml:space="preserve">Barron-Gafford G, Martens D, Grieve K, Biel K, Kudeyarov V, McLain JET, Lipson D, Murthy R (2005) Growth of Eastern Cottonwoods (</w:t>
      </w:r>
      <w:r>
        <w:rPr>
          <w:i/>
        </w:rPr>
        <w:t xml:space="preserve">Populus deltoides</w:t>
      </w:r>
      <w:r>
        <w:t xml:space="preserve">) in elevated [CO</w:t>
      </w:r>
      <w:r>
        <w:rPr>
          <w:vertAlign w:val="subscript"/>
        </w:rPr>
        <w:t xml:space="preserve">2</w:t>
      </w:r>
      <w:r>
        <w:t xml:space="preserve">]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w:t>
      </w:r>
      <w:r>
        <w:rPr>
          <w:vertAlign w:val="subscript"/>
        </w:rPr>
        <w:t xml:space="preserve">2</w:t>
      </w:r>
      <w:r>
        <w:t xml:space="preserve">] on instantaneous transpiration efficiency at leaf and canopy scales in</w:t>
      </w:r>
      <w:r>
        <w:t xml:space="preserve"> </w:t>
      </w:r>
      <w:r>
        <w:rPr>
          <w:i/>
        </w:rPr>
        <w:t xml:space="preserve">Eucalyptus saligna</w:t>
      </w:r>
      <w:r>
        <w:t xml:space="preserve">. Global Change Biology 18:585–595.</w:t>
      </w:r>
    </w:p>
    <w:p>
      <w:pPr>
        <w:pStyle w:val="Bibliography"/>
      </w:pPr>
      <w:r>
        <w:t xml:space="preserve">Barton CVM, Ellsworth DS, Medlyn BE, Duursma RA, Tissue DT, Adams MA, Eamus D, Conroy JP, McMurtrie RE, Parsby J, Others (2010) Whole-tree chambers for elevated atmospheric CO</w:t>
      </w:r>
      <w:r>
        <w:rPr>
          <w:vertAlign w:val="subscript"/>
        </w:rPr>
        <w:t xml:space="preserve">2</w:t>
      </w:r>
      <w:r>
        <w:t xml:space="preserve"> </w:t>
      </w:r>
      <w:r>
        <w:t xml:space="preserve">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New Phytologist 167:297–307.</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 Plant, cell &amp; environment 35:966–981.</w:t>
      </w:r>
    </w:p>
    <w:p>
      <w:pPr>
        <w:pStyle w:val="Bibliography"/>
      </w:pPr>
      <w:r>
        <w:t xml:space="preserve">Crous KY, Zaragoza-Castells J, Loew M, Ellsworth DS, Tissue DT, Tjoelker MG, Barton CVM, Gimeno TE, Atkin OK (2011) Seasonal acclimation of leaf respiration in</w:t>
      </w:r>
      <w:r>
        <w:t xml:space="preserve"> </w:t>
      </w:r>
      <w:r>
        <w:rPr>
          <w:i/>
        </w:rPr>
        <w:t xml:space="preserve">Eucalyptus saligna</w:t>
      </w:r>
      <w:r>
        <w:t xml:space="preserve"> </w:t>
      </w:r>
      <w:r>
        <w:t xml:space="preserve">trees: impacts of elevated atmospheric CO</w:t>
      </w:r>
      <w:r>
        <w:rPr>
          <w:vertAlign w:val="subscript"/>
        </w:rPr>
        <w:t xml:space="preserve">2</w:t>
      </w:r>
      <w:r>
        <w:t xml:space="preserve"> </w:t>
      </w:r>
      <w:r>
        <w:t xml:space="preserve">and summer drought. Global Change Biology 17:1560–1576.</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 MG, Medlyn BE, Zaehle S, Walker AP, Dietze MC, Wang Y-P, Luo Y, Jain AK, El-Masri B, Hickler T, Others (2014) Where does the carbon go? A model–data intercomparison of vegetation carbon allocation and turnover processes at two temperate forest free-air CO</w:t>
      </w:r>
      <w:r>
        <w:rPr>
          <w:vertAlign w:val="subscript"/>
        </w:rPr>
        <w:t xml:space="preserve">2</w:t>
      </w:r>
      <w:r>
        <w:t xml:space="preserve"> </w:t>
      </w:r>
      <w:r>
        <w:t xml:space="preserve">enrichment sites. New Phytologist 203:883–899.</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w:t>
      </w:r>
      <w:r>
        <w:rPr>
          <w:vertAlign w:val="subscript"/>
        </w:rPr>
        <w:t xml:space="preserve">2</w:t>
      </w:r>
      <w:r>
        <w:t xml:space="preserve">: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w:t>
      </w:r>
      <w:r>
        <w:rPr>
          <w:vertAlign w:val="subscript"/>
        </w:rPr>
        <w:t xml:space="preserve">2</w:t>
      </w:r>
      <w:r>
        <w:t xml:space="preserve">] x drought interaction in</w:t>
      </w:r>
      <w:r>
        <w:t xml:space="preserve"> </w:t>
      </w:r>
      <w:r>
        <w:rPr>
          <w:i/>
        </w:rPr>
        <w:t xml:space="preserve">Eucalyptus saligna</w:t>
      </w:r>
      <w:r>
        <w:t xml:space="preserve">. Tree physiology 31:922–931.</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Körner C (2014) Moving beyond photosynthesis: from carbon source to sink-driven vegetation modeling. New Phytologist 201:1086–1095.</w:t>
      </w:r>
    </w:p>
    <w:p>
      <w:pPr>
        <w:pStyle w:val="Bibliography"/>
      </w:pPr>
      <w:r>
        <w:t xml:space="preserve">Franklin O, Johansson J, Dewar RC, Dieckmann U, McMurtrie RE, Brännström Å, Dybzinski R (2012) Modeling carbon allocation in trees: a search for principles. Tree Physiology 32:648–666.</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w:t>
      </w:r>
      <w:r>
        <w:t xml:space="preserve"> </w:t>
      </w:r>
      <w:r>
        <w:rPr>
          <w:i/>
        </w:rPr>
        <w:t xml:space="preserve">Eucalyptus</w:t>
      </w:r>
      <w:r>
        <w:t xml:space="preserve"> </w:t>
      </w:r>
      <w:r>
        <w:t xml:space="preserve">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w:t>
      </w:r>
      <w:r>
        <w:rPr>
          <w:vertAlign w:val="subscript"/>
        </w:rPr>
        <w:t xml:space="preserve">2</w:t>
      </w:r>
      <w:r>
        <w:t xml:space="preserve"> </w:t>
      </w:r>
      <w:r>
        <w:t xml:space="preserve">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w:t>
      </w:r>
      <w:r>
        <w:rPr>
          <w:vertAlign w:val="subscript"/>
        </w:rPr>
        <w:t xml:space="preserve">2</w:t>
      </w:r>
      <w:r>
        <w:t xml:space="preserve"> </w:t>
      </w:r>
      <w:r>
        <w:t xml:space="preserve">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Körner C, Asshoff R, Bignucolo O, Hättenschwiler S, Keel SG, Peláez-Riedl S, Pepin S, Siegwolf RTW, Zotz G (2005) Carbon flux and growth in mature deciduous forest trees exposed to elevated CO</w:t>
      </w:r>
      <w:r>
        <w:rPr>
          <w:vertAlign w:val="subscript"/>
        </w:rPr>
        <w:t xml:space="preserve">2</w:t>
      </w:r>
      <w:r>
        <w:t xml:space="preserve">.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w:t>
      </w:r>
      <w:r>
        <w:rPr>
          <w:vertAlign w:val="subscript"/>
        </w:rPr>
        <w:t xml:space="preserve">2</w:t>
      </w:r>
      <w:r>
        <w:t xml:space="preserve"> </w:t>
      </w:r>
      <w:r>
        <w:t xml:space="preserve">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Mäkelä A (1997) A carbon balance model of growth and self-pruning in trees based on structural relationships. Forest Science 43:7–24.</w:t>
      </w:r>
    </w:p>
    <w:p>
      <w:pPr>
        <w:pStyle w:val="Bibliography"/>
      </w:pPr>
      <w:r>
        <w:t xml:space="preserve">Mäkelä A (2012) On guiding principles for carbon allocation in eco-physiological growth models. Tree physiology 32:644–647.</w:t>
      </w:r>
    </w:p>
    <w:p>
      <w:pPr>
        <w:pStyle w:val="Bibliography"/>
      </w:pPr>
      <w:r>
        <w:t xml:space="preserve">McCarthy HR, Oren R, Finzi AC, Johnsen KH (2006) Canopy leaf area constrains [CO</w:t>
      </w:r>
      <w:r>
        <w:rPr>
          <w:vertAlign w:val="subscript"/>
        </w:rPr>
        <w:t xml:space="preserve">2</w:t>
      </w:r>
      <w:r>
        <w:t xml:space="preserve">]-induced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Müller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w:t>
      </w:r>
      <w:r>
        <w:rPr>
          <w:vertAlign w:val="subscript"/>
        </w:rPr>
        <w:t xml:space="preserve">2</w:t>
      </w:r>
      <w:r>
        <w:t xml:space="preserve">]-induced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w:t>
      </w:r>
      <w:r>
        <w:rPr>
          <w:vertAlign w:val="subscript"/>
        </w:rPr>
        <w:t xml:space="preserve">2</w:t>
      </w:r>
      <w:r>
        <w:t xml:space="preserve"> </w:t>
      </w:r>
      <w:r>
        <w:t xml:space="preserve">fumigation. Ecology letters 14:187–194.</w:t>
      </w:r>
    </w:p>
    <w:p>
      <w:pPr>
        <w:pStyle w:val="Bibliography"/>
      </w:pPr>
      <w:r>
        <w:t xml:space="preserve">Picon C, Ferhi A, Guehl J-M (1997) Journal of Experimental Botany 48:1547–1556.</w:t>
      </w:r>
    </w:p>
    <w:p>
      <w:pPr>
        <w:pStyle w:val="Bibliography"/>
      </w:pPr>
      <w:r>
        <w:t xml:space="preserve">Poorter H, Nagel O (2000) The role of biomass allocation in the growth response of plants to different levels of light, CO</w:t>
      </w:r>
      <w:r>
        <w:rPr>
          <w:vertAlign w:val="subscript"/>
        </w:rPr>
        <w:t xml:space="preserve">2</w:t>
      </w:r>
      <w:r>
        <w:t xml:space="preserve">,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 208:736–749.</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 Van Berkel Y, Baxter R, Den Hertog J, Dijkstra P, Gifford RM, Griffin KL, Roumet C, Roy J, Wong SC (1997) The effect of elevated CO</w:t>
      </w:r>
      <w:r>
        <w:rPr>
          <w:vertAlign w:val="subscript"/>
        </w:rPr>
        <w:t xml:space="preserve">2</w:t>
      </w:r>
      <w:r>
        <w:t xml:space="preserve"> </w:t>
      </w:r>
      <w:r>
        <w:t xml:space="preserve">on the chemical composition and construction costs of leaves of 27 C3 species. Plant, Cell &amp; Environment 20:472–482.</w:t>
      </w:r>
    </w:p>
    <w:p>
      <w:pPr>
        <w:pStyle w:val="Bibliography"/>
      </w:pPr>
      <w:r>
        <w:t xml:space="preserve">R Development Core Team R (2011) R: A Language and Environment for Statistical Computing Team RDC (ed). 1:409.</w:t>
      </w:r>
      <w:r>
        <w:t xml:space="preserve"> </w:t>
      </w:r>
      <w:hyperlink r:id="rId56">
        <w:r>
          <w:rPr>
            <w:rStyle w:val="Hyper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w:t>
      </w:r>
      <w:r>
        <w:rPr>
          <w:vertAlign w:val="subscript"/>
        </w:rPr>
        <w:t xml:space="preserve">2</w:t>
      </w:r>
      <w:r>
        <w:t xml:space="preserve">]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w:t>
      </w:r>
      <w:r>
        <w:t xml:space="preserve"> </w:t>
      </w:r>
      <w:r>
        <w:rPr>
          <w:i/>
        </w:rPr>
        <w:t xml:space="preserve">Eucalyptus</w:t>
      </w:r>
      <w:r>
        <w:t xml:space="preserve"> </w:t>
      </w:r>
      <w:r>
        <w:t xml:space="preserve">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w:t>
      </w:r>
      <w:r>
        <w:t xml:space="preserve"> </w:t>
      </w:r>
      <w:hyperlink r:id="rId57">
        <w:r>
          <w:rPr>
            <w:rStyle w:val="Hyper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w:t>
      </w:r>
      <w:r>
        <w:rPr>
          <w:vertAlign w:val="subscript"/>
        </w:rPr>
        <w:t xml:space="preserve">2</w:t>
      </w:r>
      <w:r>
        <w:t xml:space="preserve"> </w:t>
      </w:r>
      <w:r>
        <w:t xml:space="preserve">in seedlings of five boreal tree species. New Phytologist 140:197–210.</w:t>
      </w:r>
    </w:p>
    <w:p>
      <w:pPr>
        <w:pStyle w:val="Bibliography"/>
      </w:pPr>
      <w:r>
        <w:t xml:space="preserve">Walter A, Christ MM, Barron-gafford GA, Grieve KA, Murthy R, Rascher U (2005) The effect of elevated CO</w:t>
      </w:r>
      <w:r>
        <w:rPr>
          <w:vertAlign w:val="subscript"/>
        </w:rPr>
        <w:t xml:space="preserve">2</w:t>
      </w:r>
      <w:r>
        <w:t xml:space="preserve"> </w:t>
      </w:r>
      <w:r>
        <w:t xml:space="preserve">on diel leaf growth cycle, leaf carbohydrate content and canopy growth performance of</w:t>
      </w:r>
      <w:r>
        <w:t xml:space="preserve"> </w:t>
      </w:r>
      <w:r>
        <w:rPr>
          <w:i/>
        </w:rPr>
        <w:t xml:space="preserve">Populus deltoides</w:t>
      </w:r>
      <w:r>
        <w:t xml:space="preserve">. Global Change Biology 11:1207–1219.</w:t>
      </w:r>
    </w:p>
    <w:p>
      <w:pPr>
        <w:pStyle w:val="Bibliography"/>
      </w:pPr>
      <w:r>
        <w:t xml:space="preserve">Wang D, Heckathorn SA, Wang X, Philpott SM (2012) A meta-analysis of plant physiological and growth responses to temperature and elevated CO</w:t>
      </w:r>
      <w:r>
        <w:rPr>
          <w:vertAlign w:val="subscript"/>
        </w:rPr>
        <w:t xml:space="preserve">2</w:t>
      </w:r>
      <w:r>
        <w:t xml:space="preserve">.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w:t>
      </w:r>
      <w:r>
        <w:rPr>
          <w:vertAlign w:val="subscript"/>
        </w:rPr>
        <w:t xml:space="preserve">2</w:t>
      </w:r>
      <w:r>
        <w:t xml:space="preserve"> </w:t>
      </w:r>
      <w:r>
        <w:t xml:space="preserve">enrichment: a retrospective synthesis across 62 species. Global Change Biology 8:631–642.</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1fe6c8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53" Target="media/rId53.png" /><Relationship Type="http://schemas.openxmlformats.org/officeDocument/2006/relationships/hyperlink" Id="rId57" Target="http://dx.doi.org/10.5061/dryad.69sg2" TargetMode="External" /><Relationship Type="http://schemas.openxmlformats.org/officeDocument/2006/relationships/hyperlink" Id="rId56" Target="http://www.r-project.org" TargetMode="External" /></Relationships>
</file>

<file path=word/_rels/footnotes.xml.rels><?xml version="1.0" encoding="UTF-8"?>
<Relationships xmlns="http://schemas.openxmlformats.org/package/2006/relationships"><Relationship Type="http://schemas.openxmlformats.org/officeDocument/2006/relationships/hyperlink" Id="rId57" Target="http://dx.doi.org/10.5061/dryad.69sg2" TargetMode="External" /><Relationship Type="http://schemas.openxmlformats.org/officeDocument/2006/relationships/hyperlink" Id="rId56" Target="http://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 Elevated atmospheric CO2 and drought does not alter total belowground carbon allocation in Eucalyptus saligna</dc:title>
  <dc:creator/>
</cp:coreProperties>
</file>