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Porter et al</w:t>
      </w:r>
      <w:r>
        <w:t xml:space="preserve"> </w:t>
      </w:r>
      <w:r>
        <w:t xml:space="preserve">(2000)</w:t>
      </w:r>
      <w:r>
        <w:t xml:space="preserve"> </w:t>
      </w:r>
      <w:r>
        <w:t xml:space="preserve">concluded that on average C allocation in plants grown under elevated CO</w:t>
      </w:r>
      <w:r>
        <w:rPr>
          <w:vertAlign w:val="subscript"/>
        </w:rPr>
        <w:t xml:space="preserve">2</w:t>
      </w:r>
      <w:r>
        <w:t xml:space="preserve"> </w:t>
      </w:r>
      <w:r>
        <w:t xml:space="preserve">(eC</w:t>
      </w:r>
      <w:r>
        <w:rPr>
          <w:vertAlign w:val="subscript"/>
        </w:rPr>
        <w:t xml:space="preserve">a</w:t>
      </w:r>
      <w:r>
        <w:t xml:space="preserve">) did not change. Alternatively, total bewloground C allocation (TBCA) was found to be enhanced across four forested free-air C</w:t>
      </w:r>
      <w:r>
        <w:rPr>
          <w:vertAlign w:val="subscript"/>
        </w:rPr>
        <w:t xml:space="preserve">a</w:t>
      </w:r>
      <w:r>
        <w:t xml:space="preserve"> </w:t>
      </w:r>
      <w:r>
        <w:t xml:space="preserve">enrichment experiments</w:t>
      </w:r>
      <w:r>
        <w:t xml:space="preserve"> </w:t>
      </w:r>
      <w:r>
        <w:t xml:space="preserve">(Palmroth et al. 2006)</w:t>
      </w:r>
      <w:r>
        <w:t xml:space="preserve">. Understanding the impacts of global climate change on forests also requires investigation of interacting factors in order to tease apart multifaceted relationships</w:t>
      </w:r>
      <w:r>
        <w:t xml:space="preserve"> </w:t>
      </w:r>
      <w:r>
        <w:t xml:space="preserve">(Rustad 2008)</w:t>
      </w:r>
      <w:r>
        <w:t xml:space="preserve">. For example, how limitations imposed by drought interact with the growth-stimulating effects of increasing C</w:t>
      </w:r>
      <w:r>
        <w:rPr>
          <w:vertAlign w:val="subscript"/>
        </w:rPr>
        <w:t xml:space="preserve">a</w:t>
      </w:r>
      <w:r>
        <w:t xml:space="preserve"> </w:t>
      </w:r>
      <w:r>
        <w:t xml:space="preserve">requires further attention</w:t>
      </w:r>
      <w:r>
        <w:t xml:space="preserve"> </w:t>
      </w:r>
      <w:r>
        <w:t xml:space="preserve">(Duursma et al. 2011)</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Carbon allocation is best understood by examining all facets of allocation, however, data on TBCA remain sparse and reliable estimates of root biomass in field conditions are difficult to obtain</w:t>
      </w:r>
      <w:r>
        <w:t xml:space="preserve"> </w:t>
      </w:r>
      <w:r>
        <w:t xml:space="preserve">(Litton et al. 2007,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.Total belowground carbon allocation is often conceptualized by subtracting the changes in carbon pools of litter, soil and roots from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the changes among the carbon pools are in steady-state conditions</w:t>
      </w:r>
      <w:r>
        <w:t xml:space="preserve"> </w:t>
      </w:r>
      <w:r>
        <w:t xml:space="preserve">(Raich and Nadelhoffer 1989)</w:t>
      </w:r>
      <w:r>
        <w:t xml:space="preserve">, which is seldom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carbon belowground.</w:t>
      </w:r>
    </w:p>
    <w:p>
      <w:r>
        <w:br w:type="textWrapping"/>
      </w:r>
      <w:r>
        <w:t xml:space="preserve">Consequently, the representation of C allocation is rudimentary compared to A in applied forest models</w:t>
      </w:r>
      <w:r>
        <w:t xml:space="preserve"> </w:t>
      </w:r>
      <w:r>
        <w:t xml:space="preserve">(Friedlingstein et al. 1999, Franklin et al. 2012)</w:t>
      </w:r>
      <w:r>
        <w:t xml:space="preserve"> </w:t>
      </w:r>
      <w:r>
        <w:t xml:space="preserve">and predictions of C allocation is a weak link in current models</w:t>
      </w:r>
      <w:r>
        <w:t xml:space="preserve"> </w:t>
      </w:r>
      <w:r>
        <w:t xml:space="preserve">(McMurtrie and Dewar 2013)</w:t>
      </w:r>
      <w:r>
        <w:t xml:space="preserve">. The deficiency of large-scale models to allocate C is due to the difficulty in defining principles that are valid under a wide range of conditions</w:t>
      </w:r>
      <w:r>
        <w:t xml:space="preserve"> </w:t>
      </w:r>
      <w:r>
        <w:t xml:space="preserve">(Franklin et al. 2012)</w:t>
      </w:r>
      <w:r>
        <w:t xml:space="preserve">. As a result, partitioning coefficients or fixed fractions of assimilation, representing the flux of carbon to a particular component, are often used in process-based models of forest carbon cycling</w:t>
      </w:r>
      <w:r>
        <w:t xml:space="preserve"> </w:t>
      </w:r>
      <w:r>
        <w:t xml:space="preserve">(Litton et al. 2007, Franklin et al. 2012)</w:t>
      </w:r>
      <w:r>
        <w:t xml:space="preserve">. Unfortunately, any use of inappropriate or over simplified allocation schemes can lead to models producing unintended responses</w:t>
      </w:r>
      <w:r>
        <w:t xml:space="preserve"> </w:t>
      </w:r>
      <w:r>
        <w:t xml:space="preserve">(</w:t>
      </w:r>
      <w:r>
        <w:t xml:space="preserve">De Kauwe</w:t>
      </w:r>
      <w:r>
        <w:t xml:space="preserve"> </w:t>
      </w:r>
      <w:r>
        <w:t xml:space="preserve">et al. 2014)</w:t>
      </w:r>
      <w:r>
        <w:t xml:space="preserve">. 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.Currently, the large variation in observed C allocation in response to environmental change combined with a lack of understanding of the mechanisms driving C allocation hinders accurate modelling of global change on terrestrial C cycling</w:t>
      </w:r>
      <w:r>
        <w:t xml:space="preserve"> </w:t>
      </w:r>
      <w:r>
        <w:t xml:space="preserve">(Friedlingstein et al. 1999, Landsberg 2003, Litton et al. 2007, Epron et al. 2012, McMurtrie and Dewar 2013)</w:t>
      </w:r>
      <w:r>
        <w:t xml:space="preserve">.</w:t>
      </w:r>
    </w:p>
    <w:p>
      <w:r>
        <w:br w:type="textWrapping"/>
      </w:r>
      <w:r>
        <w:t xml:space="preserve">The whole-tree chambers (WTC), located at the Hawkesbury Forest Experiment, were designed to allow continuous measurement of whole-tree net CO</w:t>
      </w:r>
      <w:r>
        <w:rPr>
          <w:vertAlign w:val="superscript"/>
        </w:rPr>
        <w:t xml:space="preserve">2</w:t>
      </w:r>
      <w:r>
        <w:t xml:space="preserve"> </w:t>
      </w:r>
      <w:r>
        <w:t xml:space="preserve">and water fluxes, allowing A, respiration and transpiration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carbon flux measurements with an evergreen</w:t>
      </w:r>
      <w:r>
        <w:t xml:space="preserve"> </w:t>
      </w:r>
      <w:r>
        <w:rPr>
          <w:i/>
        </w:rPr>
        <w:t xml:space="preserve">Eucalpytus</w:t>
      </w:r>
      <w:r>
        <w:t xml:space="preserve"> </w:t>
      </w:r>
      <w:r>
        <w:t xml:space="preserve">species that provides near constant annual production enables carbon allocation above and belowground to be tracked over long periods of time. This experimental system can then be used to validate models that scale leaf gas exchange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CO</w:t>
      </w:r>
      <w:r>
        <w:rPr>
          <w:vertAlign w:val="subscript"/>
        </w:rPr>
        <w:t xml:space="preserve">2</w:t>
      </w:r>
      <w:r>
        <w:t xml:space="preserve"> </w:t>
      </w:r>
      <w:r>
        <w:t xml:space="preserve">were smaller than ambient trees and that larger trees had a smaller reduction in canopy transpiration in drought conditions via deeper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atmospheric CO</w:t>
      </w:r>
      <w:r>
        <w:rPr>
          <w:vertAlign w:val="subscript"/>
        </w:rPr>
        <w:t xml:space="preserve">2</w:t>
      </w:r>
      <w:r>
        <w:t xml:space="preserve"> </w:t>
      </w:r>
      <w:r>
        <w:t xml:space="preserve">and altered water availability. Utilizing the unique WTC design we then aimed to test how cumulative net aboveground C gain correlates to whole tree carbon mass increment, as a function of tree size. We then applied a mass balance approach to to track the distribution of carbon above and belowground over a one year period.</w:t>
      </w:r>
    </w:p>
    <w:p>
      <w:r>
        <w:br w:type="textWrapping"/>
      </w:r>
      <w:r>
        <w:t xml:space="preserve">(1) Overall, the effects of drought and elevated CO</w:t>
      </w:r>
      <w:r>
        <w:rPr>
          <w:vertAlign w:val="subscript"/>
        </w:rPr>
        <w:t xml:space="preserve">2</w:t>
      </w:r>
      <w:r>
        <w:t xml:space="preserve"> </w:t>
      </w:r>
      <w:r>
        <w:t xml:space="preserve">were expected to alter partitioning of C among biomass components from ambient conditions.</w:t>
      </w:r>
    </w:p>
    <w:p>
      <w:r>
        <w:br w:type="textWrapping"/>
      </w:r>
      <w:r>
        <w:t xml:space="preserve">(2) As productivity and growth must be coordinated over long time periods we expected the harvested carbon mass tissue pools to correlate with cumulative total aboveground net canopy carbon uptake.</w:t>
      </w:r>
    </w:p>
    <w:p>
      <w:r>
        <w:br w:type="textWrapping"/>
      </w:r>
      <w:r>
        <w:t xml:space="preserve">(3) High resolution data of whole-tree net CO</w:t>
      </w:r>
      <w:r>
        <w:rPr>
          <w:vertAlign w:val="subscript"/>
        </w:rPr>
        <w:t xml:space="preserve">2</w:t>
      </w:r>
      <w:r>
        <w:t xml:space="preserve"> </w:t>
      </w:r>
      <w:r>
        <w:t xml:space="preserve">flux, provided by the WTC design, were expected to provide empirical evidence of canopy carbon uptake not affected by soil CO</w:t>
      </w:r>
      <w:r>
        <w:rPr>
          <w:vertAlign w:val="subscript"/>
        </w:rPr>
        <w:t xml:space="preserve">2</w:t>
      </w:r>
      <w:r>
        <w:t xml:space="preserve">. This canopy flux could then be combined with estimates of aboveground carbon mass to provide a novel framework in which to investigate total belowground carbon allocation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18 months and chamber conditions tracked outside air temperature and humidity. Each WTC was fitted with a root enclosure barrier that extended to the soil hard layer (1 m depth), separating WTC tree roots from neighboring trees. Roots were allowed to freely grow below 1 m. Full descriptions of the chamber design and operation are provided in Barton el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diurnal CO</w:t>
      </w:r>
      <w:r>
        <w:rPr>
          <w:vertAlign w:val="subscript"/>
        </w:rPr>
        <w:t xml:space="preserve">2</w:t>
      </w:r>
      <w:r>
        <w:t xml:space="preserve"> </w:t>
      </w:r>
      <w:r>
        <w:t xml:space="preserve">chamber fluxes were converted to grams of C per chamber flux area (10 m</w:t>
      </w:r>
      <w:r>
        <w:rPr>
          <w:vertAlign w:val="superscript"/>
        </w:rPr>
        <w:t xml:space="preserve">2</w:t>
      </w:r>
      <w:r>
        <w:t xml:space="preserve">). Cumulative daily carbon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then generated over the last year of the experiment to compare with C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and seiving all soil inside each root exclusion barrier to the hard layer. Five roots cores (10 mm diameter)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carbon mass was calculated by multiplying harvested or estimated biomass by the WTC specific mean leaf carbon content (%). Leaf carbon content was determined from a subsample of final harvest dried and milled leaves analyzed using a Leco TruSpec Micro elemental analyzer (LECO corporation, MI, USA). Mass fractions of leaves, boles+branches and roots were calculated by dividing their respective carbon mass by total carbon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standard diameter because none of the trees had split stems at this height.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recoreded as described above and 1 cm sections were removed from the bole at regular intervals between these measurements. Wood density for each section were calculated by dividing the dry mass by the fresh volume seperately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last section including the top of the tree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Additionally, 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ρ</m:t>
            </m:r>
          </m:e>
          <m:sub>
            <m:r>
              <m:rPr>
                <m:sty m:val="p"/>
              </m:rPr>
              <m:t>b</m:t>
            </m:r>
            <m:r>
              <m:rPr>
                <m:sty m:val="p"/>
              </m:rPr>
              <m:t>r</m:t>
            </m:r>
          </m:sub>
        </m:sSub>
      </m:oMath>
      <w:r>
        <w:t xml:space="preserve">, 0.75). A wood density parameter for branches (</w:t>
      </w:r>
      <m:oMath>
        <m:sSub>
          <m:e>
            <m:r>
              <m:rPr>
                <m:sty m:val="p"/>
              </m:rPr>
              <m:t>ρ</m:t>
            </m:r>
          </m:e>
          <m:sub>
            <m:r>
              <m:rPr>
                <m:sty m:val="p"/>
              </m:rPr>
              <m:t>b</m:t>
            </m:r>
            <m:r>
              <m:rPr>
                <m:sty m:val="p"/>
              </m:rPr>
              <m:t>r</m:t>
            </m:r>
          </m:sub>
        </m:sSub>
      </m:oMath>
      <w:r>
        <w:t xml:space="preserve">) in each WTC was calculated as the total branch dry mass divided by the cumulative branch volume. Due to a thin bark layer on branches a separate bark density parameter was not created.</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WTC specific</w:t>
      </w:r>
      <w:r>
        <w:t xml:space="preserve"> </w:t>
      </w:r>
      <m:oMath>
        <m:sSub>
          <m:e>
            <m:r>
              <m:rPr>
                <m:sty m:val="p"/>
              </m:rPr>
              <m:t>ρ</m:t>
            </m:r>
          </m:e>
          <m:sub>
            <m:r>
              <m:rPr>
                <m:sty m:val="p"/>
              </m:rPr>
              <m:t>b</m:t>
            </m:r>
            <m:r>
              <m:rPr>
                <m:sty m:val="p"/>
              </m:rPr>
              <m:t>r</m:t>
            </m:r>
          </m:sub>
        </m:sSub>
      </m:oMath>
      <w:r>
        <w:t xml:space="preserve">. We assumed that neither</w:t>
      </w:r>
      <w:r>
        <w:t xml:space="preserve"> </w:t>
      </w:r>
      <m:oMath>
        <m:sSub>
          <m:e>
            <m:r>
              <m:rPr>
                <m:sty m:val="p"/>
              </m:rPr>
              <m:t>ρ</m:t>
            </m:r>
          </m:e>
          <m:sub>
            <m:r>
              <m:rPr>
                <m:sty m:val="p"/>
              </m:rPr>
              <m:t>b</m:t>
            </m:r>
            <m:r>
              <m:rPr>
                <m:sty m:val="p"/>
              </m:rPr>
              <m:t>o</m:t>
            </m:r>
          </m:sub>
        </m:sSub>
      </m:oMath>
      <w:r>
        <w:t xml:space="preserve"> </w:t>
      </w:r>
      <w:r>
        <w:t xml:space="preserve">nor</w:t>
      </w:r>
      <w:r>
        <w:t xml:space="preserve"> </w:t>
      </w:r>
      <m:oMath>
        <m:sSub>
          <m:e>
            <m:r>
              <m:rPr>
                <m:sty m:val="p"/>
              </m:rPr>
              <m:t>ρ</m:t>
            </m:r>
          </m:e>
          <m:sub>
            <m:r>
              <m:rPr>
                <m:sty m:val="p"/>
              </m:rPr>
              <m:t>b</m:t>
            </m:r>
            <m:r>
              <m:rPr>
                <m:sty m:val="p"/>
              </m:rPr>
              <m:t>r</m:t>
            </m:r>
          </m:sub>
        </m:sSub>
      </m:oMath>
      <w:r>
        <w:t xml:space="preserve"> </w:t>
      </w:r>
      <w:r>
        <w:t xml:space="preserve">calculated from the final harvest changed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carbon uptake from the soil carbon efflux, total belowground carbon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the each tree aboveground minus respiration of leaves, stems and branches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is the total standing crop carbon mass (g C) of stems, branches, leaves and cumulative leaf litterfall . As the final standing crop of root biomass was known, TBCA could be further broken down into the total carbon mass of roots (</w:t>
      </w:r>
      <m:oMath>
        <m:sSub>
          <m:e>
            <m:r>
              <m:rPr>
                <m:sty m:val="p"/>
              </m:rPr>
              <m:t>C</m:t>
            </m:r>
          </m:e>
          <m:sub>
            <m:r>
              <m:rPr>
                <m:sty m:val="p"/>
              </m:rPr>
              <m:t>r</m:t>
            </m:r>
            <m:r>
              <m:rPr>
                <m:sty m:val="p"/>
              </m:rPr>
              <m:t>,</m:t>
            </m:r>
            <m:r>
              <m:rPr>
                <m:sty m:val="p"/>
              </m:rPr>
              <m:t>t</m:t>
            </m:r>
          </m:sub>
        </m:sSub>
      </m:oMath>
      <w:r>
        <w:t xml:space="preserve">) and the residual belowground carbon flux (</w:t>
      </w:r>
      <m:oMath>
        <m:sSub>
          <m:e>
            <m:r>
              <m:rPr>
                <m:sty m:val="p"/>
              </m:rPr>
              <m:t>F</m:t>
            </m:r>
          </m:e>
          <m:sub>
            <m:r>
              <m:rPr>
                <m:sty m:val="p"/>
              </m:rPr>
              <m:t>c</m:t>
            </m:r>
            <m:r>
              <m:rPr>
                <m:sty m:val="p"/>
              </m:rPr>
              <m:t>,</m:t>
            </m:r>
            <m:r>
              <m:rPr>
                <m:sty m:val="p"/>
              </m:rPr>
              <m:t>r</m:t>
            </m:r>
          </m:sub>
        </m:sSub>
      </m:oMath>
      <w:r>
        <w:t xml:space="preserve">). The residual belowground carbon flux includes; root and soil respiration, root turnover, root exudation and any unaccounted for root carbon mass. The use of aboveground allometry to interpolate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carbon mass balance were visualized by combining estimates of bole, branch, leaf and litterfall carbon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carbon uptake for each WTC. The allocation of carbon to boles and branches were seen by linear interpolation between survey measurements and the final harvest. Daily modeled estimates of leaf and litter carbon were then added to bole and branch carbon mass to estimate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any given day. Importantly, the initial estimated carbon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CO</w:t>
      </w:r>
      <w:r>
        <w:rPr>
          <w:vertAlign w:val="subscript"/>
        </w:rPr>
        <w:t xml:space="preserve">2</w:t>
      </w:r>
      <w:r>
        <w:t xml:space="preserve"> </w:t>
      </w:r>
      <w:r>
        <w:t xml:space="preserve">and drought treatments at the final harvest where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carbon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Similarly, both whole tree carbon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was not affected by drought. Neither leaf or litter carbon mass were affected by elevated CO</w:t>
      </w:r>
      <w:r>
        <w:rPr>
          <w:vertAlign w:val="subscript"/>
        </w:rPr>
        <w:t xml:space="preserve">2</w:t>
      </w:r>
      <w:r>
        <w:t xml:space="preserve"> </w:t>
      </w:r>
      <w:r>
        <w:t xml:space="preserve">and drought treatments. Total root carbon mass was marginally reduced under elevated CO</w:t>
      </w:r>
      <w:r>
        <w:rPr>
          <w:vertAlign w:val="subscript"/>
        </w:rPr>
        <w:t xml:space="preserve">2</w:t>
      </w:r>
      <w:r>
        <w:t xml:space="preserve"> </w:t>
      </w:r>
      <w:r>
        <w:t xml:space="preserve">(P = 0.091) 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carbon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pPr>
        <w:pStyle w:val="Heading1"/>
      </w:pPr>
      <w:bookmarkStart w:id="42" w:name="tables"/>
      <w:bookmarkEnd w:id="42"/>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 C flux</w:t>
            </w:r>
          </w:p>
        </w:tc>
      </w:tr>
      <w:tr>
        <w:tc>
          <w:p>
            <w:pPr>
              <w:pStyle w:val="Compact"/>
              <w:jc w:val="left"/>
            </w:pPr>
            <w:r>
              <w:t xml:space="preserve">aCO2-dry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aCO2-wet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eCO2-dry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eCO2-wet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bl>
    <w:p>
      <w:pPr>
        <w:pStyle w:val="Heading1"/>
      </w:pPr>
      <w:bookmarkStart w:id="43" w:name="list-of-figures"/>
      <w:bookmarkEnd w:id="43"/>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carbon mass (R^2 = 0.78).</w:t>
      </w:r>
    </w:p>
    <w:p>
      <w:r>
        <w:br w:type="textWrapping"/>
      </w:r>
      <w:r>
        <w:rPr>
          <w:b/>
        </w:rPr>
        <w:t xml:space="preserve">Figure 2</w:t>
      </w:r>
      <w:r>
        <w:t xml:space="preserve">. Estimated tree leaf area for each chamber trees between 2008-4-15 and 2009-3-16.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Shipley B, Meziane D (2002) The balanced-growth hypothesis and the allometry of leaf and root biomass allocation. Functional Ecology 16:326–331.</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2756b3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