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(C) allocation is the proportional share of biomass production invested in the growth of foliage, fine roots and woody components per unit time</w:t>
      </w:r>
      <w:r>
        <w:t xml:space="preserve"> </w:t>
      </w:r>
      <w:r>
        <w:t xml:space="preserve">(Mäkelä 2012)</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CO</w:t>
      </w:r>
      <w:r>
        <w:rPr>
          <w:vertAlign w:val="subscript"/>
        </w:rPr>
        <w:t xml:space="preserve">2</w:t>
      </w:r>
      <w:r>
        <w:t xml:space="preserve"> </w:t>
      </w:r>
      <w:r>
        <w:t xml:space="preserve">(eC</w:t>
      </w:r>
      <w:r>
        <w:rPr>
          <w:vertAlign w:val="subscript"/>
        </w:rPr>
        <w:t xml:space="preserve">a</w:t>
      </w:r>
      <w:r>
        <w:t xml:space="preserve">) did not change. Alternatively, total bewloground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.Total belowground carbon allocation is often conceptualized by subtracting the changes in carbon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carbon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Consequently, modelling efforts to describe the response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As allocation of C belowground remains one of the most difficult components of tree C budgets to calculate, new approaches are needed to in order accurately track and account for the investment of carbon belowground.</w:t>
      </w:r>
    </w:p>
    <w:p>
      <w:r>
        <w:br w:type="textWrapping"/>
      </w:r>
      <w:r>
        <w:t xml:space="preserve">Consequently, the representation of C allocation is rudimentary compared to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carbon to a particular component, are often used in process-based models of forest carbon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carbon flux measurements with an evergreen</w:t>
      </w:r>
      <w:r>
        <w:t xml:space="preserve"> </w:t>
      </w:r>
      <w:r>
        <w:rPr>
          <w:i/>
        </w:rPr>
        <w:t xml:space="preserve">Eucalpytus</w:t>
      </w:r>
      <w:r>
        <w:t xml:space="preserve"> </w:t>
      </w:r>
      <w:r>
        <w:t xml:space="preserve">species that provides near constant production allows a unique opportunity to track carbon allocation above and belowground over long periods of time. This experimental system can then be used to validate models that scale leaf gas exchange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CO</w:t>
      </w:r>
      <w:r>
        <w:rPr>
          <w:vertAlign w:val="subscript"/>
        </w:rPr>
        <w:t xml:space="preserve">2</w:t>
      </w:r>
      <w:r>
        <w:t xml:space="preserve"> </w:t>
      </w:r>
      <w:r>
        <w:t xml:space="preserve">were smaller than ambient trees and that larger trees had a smaller reduction in canopy transpiration in drought conditions via deeper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atmospheric CO</w:t>
      </w:r>
      <w:r>
        <w:rPr>
          <w:vertAlign w:val="subscript"/>
        </w:rPr>
        <w:t xml:space="preserve">2</w:t>
      </w:r>
      <w:r>
        <w:t xml:space="preserve"> </w:t>
      </w:r>
      <w:r>
        <w:t xml:space="preserve">and altered water availability. Utilizing the unique WTC design we then aimed to test how cumulative net aboveground C gain correlates to whole tree carbon mass increment, as a function of tree size. We then applied a mass balance approach to to track the distribution of carbon above and belowground over a one year period.</w:t>
      </w:r>
    </w:p>
    <w:p>
      <w:r>
        <w:br w:type="textWrapping"/>
      </w:r>
      <w:r>
        <w:t xml:space="preserve">(1) Overall, the effects of drought and elevated CO</w:t>
      </w:r>
      <w:r>
        <w:rPr>
          <w:vertAlign w:val="subscript"/>
        </w:rPr>
        <w:t xml:space="preserve">2</w:t>
      </w:r>
      <w:r>
        <w:t xml:space="preserve">were expected to alter partitioning of C among biomass components from ambient conditions.</w:t>
      </w:r>
    </w:p>
    <w:p>
      <w:r>
        <w:br w:type="textWrapping"/>
      </w:r>
      <w:r>
        <w:t xml:space="preserve">(2) As productivity and growth must be coordinated over long time periods we expected the harvested carbon mass tissue pools to correlate with cumulative total aboveground net canopy carbon uptake.</w:t>
      </w:r>
    </w:p>
    <w:p>
      <w:r>
        <w:br w:type="textWrapping"/>
      </w:r>
      <w:r>
        <w:t xml:space="preserve">(3) The high resolution of whole-tree net CO</w:t>
      </w:r>
      <w:r>
        <w:rPr>
          <w:vertAlign w:val="subscript"/>
        </w:rPr>
        <w:t xml:space="preserve">2</w:t>
      </w:r>
      <w:r>
        <w:t xml:space="preserve"> </w:t>
      </w:r>
      <w:r>
        <w:t xml:space="preserve">provided by the WTC design were expected to provide empirical evidence of canopy carbon uptake, not affected by soil CO</w:t>
      </w:r>
      <w:r>
        <w:rPr>
          <w:vertAlign w:val="subscript"/>
        </w:rPr>
        <w:t xml:space="preserve">2</w:t>
      </w:r>
      <w:r>
        <w:t xml:space="preserve">. This canopy flux could then be combined with estimates of aboveground carbon mass to provide a novel framework in which to investigate total belowground carbon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 TruSpec Micro elemental analyzer (LECO corporation, MI, USA). Mass fractions of leaves, boles+branches and roots were calculated by dividing their respective carbon mass by total carbon mass for each tree.</w:t>
      </w:r>
    </w:p>
    <w:p>
      <w:r>
        <w:br w:type="textWrapping"/>
      </w:r>
      <w:r>
        <w:t xml:space="preserve">Additionally, prior to the initiation of the experiment a subset of additional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recoreded as described above and 1 cm sections were removed from the bole at regular intervals between these measurements. Wood density for each section were calculated by dividing the dry mass by the fresh volume seperately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carbon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was not affected by drought. Neither leaf or litter carbon mass were affected by elevated CO</w:t>
      </w:r>
      <w:r>
        <w:rPr>
          <w:vertAlign w:val="subscript"/>
        </w:rPr>
        <w:t xml:space="preserve">2</w:t>
      </w:r>
      <w:r>
        <w:t xml:space="preserve"> </w:t>
      </w:r>
      <w:r>
        <w:t xml:space="preserve">and drought treatments. Total root carbon mass was marginally reduced under elevated CO</w:t>
      </w:r>
      <w:r>
        <w:rPr>
          <w:vertAlign w:val="subscript"/>
        </w:rPr>
        <w:t xml:space="preserve">2</w:t>
      </w:r>
      <w:r>
        <w:t xml:space="preserve"> </w:t>
      </w:r>
      <w:r>
        <w:t xml:space="preserve">(P = 0.091) 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aCO2-wet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eCO2-dry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eCO2-wet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9f466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