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43.png" ContentType="image/png"/>
  <Override PartName="/word/media/rId46.png" ContentType="image/png"/>
  <Override PartName="/word/media/rId56.png" ContentType="image/png"/>
  <Override PartName="/word/media/rId35.png" ContentType="image/png"/>
  <Override PartName="/word/media/rId41.png" ContentType="image/png"/>
  <Override PartName="/word/media/rId39.png" ContentType="image/png"/>
  <Override PartName="/word/media/rId40.png" ContentType="image/png"/>
  <Override PartName="/word/media/rId55.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4</w:t>
      </w:r>
      <w:r>
        <w:br w:type="textWrapping"/>
      </w: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does</w:t>
      </w:r>
      <w:r>
        <w:t xml:space="preserve"> </w:t>
      </w:r>
      <w:r>
        <w:t xml:space="preserve">not</w:t>
      </w:r>
      <w:r>
        <w:t xml:space="preserve"> </w:t>
      </w:r>
      <w:r>
        <w:t xml:space="preserve">alter</w:t>
      </w:r>
      <w:r>
        <w:t xml:space="preserve"> </w:t>
      </w:r>
      <w:r>
        <w:t xml:space="preserve">total</w:t>
      </w:r>
      <w:r>
        <w:t xml:space="preserve"> </w:t>
      </w:r>
      <w:r>
        <w:t xml:space="preserve">belowground</w:t>
      </w:r>
      <w:r>
        <w:t xml:space="preserve"> </w:t>
      </w:r>
      <w:r>
        <w:t xml:space="preserve">carbon</w:t>
      </w:r>
      <w:r>
        <w:t xml:space="preserve"> </w:t>
      </w:r>
      <w:r>
        <w:t xml:space="preserve">allocation</w:t>
      </w:r>
      <w:r>
        <w:t xml:space="preserve"> </w:t>
      </w:r>
      <w:r>
        <w:t xml:space="preserve">in</w:t>
      </w:r>
      <w:r>
        <w:t xml:space="preserve"> </w:t>
      </w:r>
      <w:r>
        <w:rPr>
          <w:i/>
        </w:rPr>
        <w:t xml:space="preserve">Eucalyptus</w:t>
      </w:r>
      <w:r>
        <w:rPr>
          <w:i/>
        </w:rPr>
        <w:t xml:space="preserve"> </w:t>
      </w:r>
      <w:r>
        <w:rPr>
          <w:i/>
        </w:rPr>
        <w:t xml:space="preserve">saligna</w:t>
      </w:r>
    </w:p>
    <w:p>
      <w:pPr>
        <w:pStyle w:val="Heading1"/>
      </w:pPr>
      <w:bookmarkStart w:id="21" w:name="abstract"/>
      <w:bookmarkEnd w:id="21"/>
      <w:r>
        <w:t xml:space="preserve">4.1 Abstract</w:t>
      </w:r>
    </w:p>
    <w:p>
      <w:pPr>
        <w:pStyle w:val="FirstParagraph"/>
      </w:pPr>
      <w:r>
        <w:t xml:space="preserve">Accurately measuring carbon (C) allocation in large trees above and belowground remains a difficult task and is challenging to represent in models of forest C cycling. Understanding how global change impacts the distribution of tree photosynthate is an essential process in determining future terrestrial C balance. We utilized climate-controlled whole tree chambers (WTCs) to measure cumulative net aboveground CO</w:t>
      </w:r>
      <w:r>
        <w:rPr>
          <w:vertAlign w:val="subscript"/>
        </w:rPr>
        <w:t xml:space="preserve">2</w:t>
      </w:r>
      <w:r>
        <w:t xml:space="preserve"> </w:t>
      </w:r>
      <w:r>
        <w:t xml:space="preserve">uptake of</w:t>
      </w:r>
      <w:r>
        <w:t xml:space="preserve"> </w:t>
      </w:r>
      <w:r>
        <w:rPr>
          <w:i/>
        </w:rPr>
        <w:t xml:space="preserve">Eucalyptus saligna</w:t>
      </w:r>
      <w:r>
        <w:t xml:space="preserve"> </w:t>
      </w:r>
      <w:r>
        <w:t xml:space="preserve">trees, which was expected to correlate to harvested tree C mass. We then investigated how elevated atmospheric CO</w:t>
      </w:r>
      <w:r>
        <w:rPr>
          <w:vertAlign w:val="subscript"/>
        </w:rPr>
        <w:t xml:space="preserve">2</w:t>
      </w:r>
      <w:r>
        <w:t xml:space="preserve"> </w:t>
      </w:r>
      <w:r>
        <w:t xml:space="preserve">concentration and a 4-month drought period affected both tree biomass partitioning and the allocation of photosynthetic C to various above and belowground pools. We calculated total belowground C allocation (TBCA) for each WTC, which includes biomass and all belowground fluxes, as the residual between daily aboveground net CO</w:t>
      </w:r>
      <w:r>
        <w:rPr>
          <w:vertAlign w:val="subscript"/>
        </w:rPr>
        <w:t xml:space="preserve">2</w:t>
      </w:r>
      <w:r>
        <w:t xml:space="preserve"> </w:t>
      </w:r>
      <w:r>
        <w:t xml:space="preserve">uptake and aboveground C mass accrual. It was hypothesized that that both drought and elevated CO</w:t>
      </w:r>
      <w:r>
        <w:rPr>
          <w:vertAlign w:val="subscript"/>
        </w:rPr>
        <w:t xml:space="preserve">2</w:t>
      </w:r>
      <w:r>
        <w:t xml:space="preserve"> </w:t>
      </w:r>
      <w:r>
        <w:t xml:space="preserve">would increase biomass partitioning to roots, as well as TBCA. Cumulative aboveground net CO</w:t>
      </w:r>
      <w:r>
        <w:rPr>
          <w:vertAlign w:val="subscript"/>
        </w:rPr>
        <w:t xml:space="preserve">2</w:t>
      </w:r>
      <w:r>
        <w:t xml:space="preserve"> </w:t>
      </w:r>
      <w:r>
        <w:t xml:space="preserve">uptake correlated positively to both whole tree C mass and mean leaf area over the entire 11 month measured chamber flux period. Surprisingly, biomass partitioning to roots and cumulative TBCA were unaffected by either elevated CO</w:t>
      </w:r>
      <w:r>
        <w:rPr>
          <w:vertAlign w:val="subscript"/>
        </w:rPr>
        <w:t xml:space="preserve">2</w:t>
      </w:r>
      <w:r>
        <w:t xml:space="preserve"> </w:t>
      </w:r>
      <w:r>
        <w:t xml:space="preserve">or drought. As a fraction of total aboveground net C flux, TBCA remained relatively stable (ca. 40%) across the final 11 months of the experiment for all trees. Carbon allocation to leaves increased under elevated CO</w:t>
      </w:r>
      <w:r>
        <w:rPr>
          <w:vertAlign w:val="subscript"/>
        </w:rPr>
        <w:t xml:space="preserve">2</w:t>
      </w:r>
      <w:r>
        <w:t xml:space="preserve">, while the effects of a 4 month drought were negligible on biomass production or C allocation of aboveground tissues. The novel approaches used here provide evidence that belowground processes may not be as sensitive to global change as previously thought. These results reveal how quantifying the investment of photosynthetic C beyond biomass production is key to assessing functional tree growth responses, while also providing an empirical framework to test model representations of C allocation in trees.</w:t>
      </w:r>
    </w:p>
    <w:p>
      <w:pPr>
        <w:pStyle w:val="Heading1"/>
      </w:pPr>
      <w:bookmarkStart w:id="22" w:name="introduction"/>
      <w:bookmarkEnd w:id="22"/>
      <w:r>
        <w:t xml:space="preserve">4.2 Introduction</w:t>
      </w:r>
    </w:p>
    <w:p>
      <w:pPr>
        <w:pStyle w:val="FirstParagraph"/>
      </w:pPr>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resource-saturated environments plants should maximize growth by allocating resources to support leaf growth to increase C acquisition</w:t>
      </w:r>
      <w:r>
        <w:t xml:space="preserve"> </w:t>
      </w:r>
      <w:r>
        <w:t xml:space="preserve">(Monsi and Saeki 2005)</w:t>
      </w:r>
      <w:r>
        <w:t xml:space="preserve">. Fluctuations in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pPr>
        <w:pStyle w:val="BodyText"/>
      </w:pPr>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leaf photosynthesis (</w:t>
      </w:r>
      <w:r>
        <w:rPr>
          <w:i/>
        </w:rPr>
        <w:t xml:space="preserve">A</w:t>
      </w:r>
      <w:r>
        <w:rPr>
          <w:vertAlign w:val="subscript"/>
          <w:i/>
        </w:rPr>
        <w:t xml:space="preserve">n</w:t>
      </w:r>
      <w:r>
        <w:t xml:space="preserve">) in process-based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Mäkelä 2012)</w:t>
      </w:r>
      <w:r>
        <w:t xml:space="preserve">. Partitioning coefficients or fixed fractions of assimilation to individual components are often used in models of forest C cycling</w:t>
      </w:r>
      <w:r>
        <w:t xml:space="preserve"> </w:t>
      </w:r>
      <w:r>
        <w:t xml:space="preserve">(Litton et al. 2007, Franklin et al. 2012)</w:t>
      </w:r>
      <w:r>
        <w:t xml:space="preserve">. Unfortunately, using inappropriate or over-simplified allocation schemes can lead to models producing unintended responses or giving the expected answer for the wrong reason</w:t>
      </w:r>
      <w:r>
        <w:t xml:space="preserve"> </w:t>
      </w:r>
      <w:r>
        <w:t xml:space="preserve">(De Kauwe et al. 2014, Fatichi et al. 2014)</w:t>
      </w:r>
      <w:r>
        <w:t xml:space="preserve">. As a result, there is continued need to empirically measure patterns of tree C allocation under multi-factor global change manipulations to better understand shifts in future forest C balance.</w:t>
      </w:r>
    </w:p>
    <w:p>
      <w:pPr>
        <w:pStyle w:val="BodyText"/>
      </w:pPr>
      <w:r>
        <w:br w:type="textWrapping"/>
      </w:r>
      <w:r>
        <w:t xml:space="preserve">The allocation of photosynthate above and belowground is an important factor in terrestrial C cycling, yet our knowledge of how global change drivers impact C allocation is incomplete</w:t>
      </w:r>
      <w:r>
        <w:t xml:space="preserve"> </w:t>
      </w:r>
      <w:r>
        <w:t xml:space="preserve">(Litton et al. 2007, Warren et al. 2012)</w:t>
      </w:r>
      <w:r>
        <w:t xml:space="preserve">. With rising atmospheric CO</w:t>
      </w:r>
      <w:r>
        <w:rPr>
          <w:vertAlign w:val="subscript"/>
        </w:rPr>
        <w:t xml:space="preserve">2</w:t>
      </w:r>
      <w:r>
        <w:t xml:space="preserve">, forest C allocation has drawn particular interest due to its potential effect on C sequestration and the global C balance</w:t>
      </w:r>
      <w:r>
        <w:t xml:space="preserve"> </w:t>
      </w:r>
      <w:r>
        <w:t xml:space="preserve">(Franklin et al. 2012)</w:t>
      </w:r>
      <w:r>
        <w:t xml:space="preserve">. Across four forested free-air CO</w:t>
      </w:r>
      <w:r>
        <w:rPr>
          <w:vertAlign w:val="subscript"/>
        </w:rPr>
        <w:t xml:space="preserve">2</w:t>
      </w:r>
      <w:r>
        <w:t xml:space="preserve"> </w:t>
      </w:r>
      <w:r>
        <w:t xml:space="preserve">enrichment (FACE) experiments the total flux of C belowground (TBCA), which includes biomass and all belowground fluxes, was found to be enhanced under elevated CO</w:t>
      </w:r>
      <w:r>
        <w:rPr>
          <w:vertAlign w:val="subscript"/>
        </w:rPr>
        <w:t xml:space="preserve">2</w:t>
      </w:r>
      <w:r>
        <w:t xml:space="preserve"> </w:t>
      </w:r>
      <w:r>
        <w:t xml:space="preserve">(eC</w:t>
      </w:r>
      <w:r>
        <w:rPr>
          <w:vertAlign w:val="subscript"/>
        </w:rPr>
        <w:t xml:space="preserve">a</w:t>
      </w:r>
      <w:r>
        <w:t xml:space="preserve">)</w:t>
      </w:r>
      <w:r>
        <w:t xml:space="preserve"> </w:t>
      </w:r>
      <w:r>
        <w:t xml:space="preserve">(Palmroth et al. 2006)</w:t>
      </w:r>
      <w:r>
        <w:t xml:space="preserve">. In FACE experiments this enhancement has been attributed to factors such as increases in C allocation to root biomass production</w:t>
      </w:r>
      <w:r>
        <w:t xml:space="preserve"> </w:t>
      </w:r>
      <w:r>
        <w:t xml:space="preserve">(Iversen 2010)</w:t>
      </w:r>
      <w:r>
        <w:t xml:space="preserve"> </w:t>
      </w:r>
      <w:r>
        <w:t xml:space="preserve">and root exudation</w:t>
      </w:r>
      <w:r>
        <w:t xml:space="preserve"> </w:t>
      </w:r>
      <w:r>
        <w:t xml:space="preserve">(Phillips et al. 2011)</w:t>
      </w:r>
      <w:r>
        <w:t xml:space="preserve">. Alternatively, a meta-analysis by Poorter et al.</w:t>
      </w:r>
      <w:r>
        <w:t xml:space="preserve"> </w:t>
      </w:r>
      <w:r>
        <w:t xml:space="preserve">(2000)</w:t>
      </w:r>
      <w:r>
        <w:t xml:space="preserve"> </w:t>
      </w:r>
      <w:r>
        <w:t xml:space="preserve">concluded that on average, the distribution of biomass to roots, stems or leaves did not change in herbaceous and woody plants grown under eC</w:t>
      </w:r>
      <w:r>
        <w:rPr>
          <w:vertAlign w:val="subscript"/>
        </w:rPr>
        <w:t xml:space="preserve">a</w:t>
      </w:r>
      <w:r>
        <w:t xml:space="preserve">.</w:t>
      </w:r>
    </w:p>
    <w:p>
      <w:pPr>
        <w:pStyle w:val="BodyText"/>
      </w:pPr>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impacts of leaf water savings during CO</w:t>
      </w:r>
      <w:r>
        <w:rPr>
          <w:vertAlign w:val="subscript"/>
        </w:rPr>
        <w:t xml:space="preserve">2</w:t>
      </w:r>
      <w:r>
        <w:t xml:space="preserve"> </w:t>
      </w:r>
      <w:r>
        <w:t xml:space="preserve">enrichment may also enhance tree biomass production under drought conditions</w:t>
      </w:r>
      <w:r>
        <w:t xml:space="preserve"> </w:t>
      </w:r>
      <w:r>
        <w:t xml:space="preserve">(Atwell et al. 2007)</w:t>
      </w:r>
      <w:r>
        <w:t xml:space="preserve">, but sustained enhancement is inhibited by the availability of a limited soil water supply to support larger overall canopies</w:t>
      </w:r>
      <w:r>
        <w:t xml:space="preserve"> </w:t>
      </w:r>
      <w:r>
        <w:t xml:space="preserve">(Health and Kerstiens 1997)</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eC</w:t>
      </w:r>
      <w:r>
        <w:rPr>
          <w:vertAlign w:val="subscript"/>
        </w:rPr>
        <w:t xml:space="preserve">a</w:t>
      </w:r>
      <w:r>
        <w:t xml:space="preserve"> </w:t>
      </w:r>
      <w:r>
        <w:t xml:space="preserve">requires more attention</w:t>
      </w:r>
      <w:r>
        <w:t xml:space="preserve"> </w:t>
      </w:r>
      <w:r>
        <w:t xml:space="preserve">(Duursma et al. 2011)</w:t>
      </w:r>
      <w:r>
        <w:t xml:space="preserve">.</w:t>
      </w:r>
    </w:p>
    <w:p>
      <w:pPr>
        <w:pStyle w:val="BodyText"/>
      </w:pPr>
      <w:r>
        <w:br w:type="textWrapping"/>
      </w:r>
      <w:r>
        <w:t xml:space="preserve">Despite its importance, data on TBCA remain sparse as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TBCA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In stand or ecosystem studies, TBCA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 Adair et al. 2009)</w:t>
      </w:r>
      <w:r>
        <w:t xml:space="preserve">. A key assumption of this approach is that C pools are in steady-state conditions</w:t>
      </w:r>
      <w:r>
        <w:t xml:space="preserve"> </w:t>
      </w:r>
      <w:r>
        <w:t xml:space="preserve">(Raich and Nadelhoffer 1989)</w:t>
      </w:r>
      <w:r>
        <w:t xml:space="preserve">, which is not always true. Additionally, the reliance on soil respiration in this approach is problematic as studies are often forced to scale up short-term measurements (often monthly) to cumulative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pPr>
        <w:pStyle w:val="BodyText"/>
      </w:pPr>
      <w:r>
        <w:br w:type="textWrapping"/>
      </w:r>
      <w:r>
        <w:t xml:space="preserve">The whole-tree chambers (WTC), located at the Hawkesbury Forest Experiment, were designed to allow continuous measurement of net tree CO</w:t>
      </w:r>
      <w:r>
        <w:rPr>
          <w:vertAlign w:val="subscript"/>
        </w:rPr>
        <w:t xml:space="preserve">2</w:t>
      </w:r>
      <w:r>
        <w:t xml:space="preserve"> </w:t>
      </w:r>
      <w:r>
        <w:t xml:space="preserve">fluxes, allowing canopy</w:t>
      </w:r>
      <w:r>
        <w:t xml:space="preserve"> </w:t>
      </w:r>
      <w:r>
        <w:rPr>
          <w:i/>
        </w:rPr>
        <w:t xml:space="preserve">A</w:t>
      </w:r>
      <w:r>
        <w:rPr>
          <w:vertAlign w:val="subscript"/>
          <w:i/>
        </w:rPr>
        <w:t xml:space="preserve">n</w:t>
      </w:r>
      <w:r>
        <w:t xml:space="preserve"> </w:t>
      </w:r>
      <w:r>
        <w:t xml:space="preserve">and respiration to be calculated using a mass balance approach</w:t>
      </w:r>
      <w:r>
        <w:t xml:space="preserve"> </w:t>
      </w:r>
      <w:r>
        <w:t xml:space="preserve">(Medhurst et al. 2006, Barton et al. 2010)</w:t>
      </w:r>
      <w:r>
        <w:t xml:space="preserve">. Here, we grew a single</w:t>
      </w:r>
      <w:r>
        <w:t xml:space="preserve"> </w:t>
      </w:r>
      <w:r>
        <w:rPr>
          <w:i/>
        </w:rPr>
        <w:t xml:space="preserve">Eucalyptus saligna</w:t>
      </w:r>
      <w:r>
        <w:t xml:space="preserve"> </w:t>
      </w:r>
      <w:r>
        <w:t xml:space="preserve">Sm. tree inside each of these 12 large, outdoor and sunlit WTCs for a period of 2 years. Each WTC can resolve net aboveground C uptake (canopy</w:t>
      </w:r>
      <w:r>
        <w:t xml:space="preserve"> </w:t>
      </w:r>
      <w:r>
        <w:rPr>
          <w:i/>
        </w:rPr>
        <w:t xml:space="preserve">A</w:t>
      </w:r>
      <w:r>
        <w:rPr>
          <w:vertAlign w:val="subscript"/>
          <w:i/>
        </w:rPr>
        <w:t xml:space="preserve">n</w:t>
      </w:r>
      <w:r>
        <w:t xml:space="preserve"> </w:t>
      </w:r>
      <w:r>
        <w:t xml:space="preserve">minus respiration of aboveground woody components), at high temporal resolution, while also controlling temperature and air humidity to track prevailing environmental conditions. Generally, measuring total canopy</w:t>
      </w:r>
      <w:r>
        <w:t xml:space="preserve"> </w:t>
      </w:r>
      <w:r>
        <w:rPr>
          <w:i/>
        </w:rPr>
        <w:t xml:space="preserve">A</w:t>
      </w:r>
      <w:r>
        <w:rPr>
          <w:vertAlign w:val="subscript"/>
          <w:i/>
        </w:rPr>
        <w:t xml:space="preserve">n</w:t>
      </w:r>
      <w:r>
        <w:t xml:space="preserve"> </w:t>
      </w:r>
      <w:r>
        <w:t xml:space="preserve">is difficult as variation in photosynthetic capacity exists within the canopy in response to the environment, requiring leaf measurements and models to upscale to the canopy</w:t>
      </w:r>
      <w:r>
        <w:t xml:space="preserve"> </w:t>
      </w:r>
      <w:r>
        <w:t xml:space="preserve">(Ryan et al. 2010)</w:t>
      </w:r>
      <w:r>
        <w:t xml:space="preserve">. Combining continuous aboveground net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grows throughout the year, enables tree C allocation to be tracked over long periods of time.</w:t>
      </w:r>
    </w:p>
    <w:p>
      <w:pPr>
        <w:pStyle w:val="BodyText"/>
      </w:pPr>
      <w:r>
        <w:br w:type="textWrapping"/>
      </w:r>
      <w:r>
        <w:t xml:space="preserve">Previous findings in this experiment have shown that</w:t>
      </w:r>
      <w:r>
        <w:t xml:space="preserve"> </w:t>
      </w:r>
      <w:r>
        <w:rPr>
          <w:i/>
        </w:rPr>
        <w:t xml:space="preserve">Eucalyptus saligna</w:t>
      </w:r>
      <w:r>
        <w:t xml:space="preserve"> </w:t>
      </w:r>
      <w:r>
        <w:t xml:space="preserve">trees grown under eC</w:t>
      </w:r>
      <w:r>
        <w:rPr>
          <w:vertAlign w:val="subscript"/>
        </w:rPr>
        <w:t xml:space="preserve">a</w:t>
      </w:r>
      <w:r>
        <w:t xml:space="preserve"> </w:t>
      </w:r>
      <w:r>
        <w:t xml:space="preserve">treatments were smaller than ambient trees and that larger trees under ambient CO</w:t>
      </w:r>
      <w:r>
        <w:rPr>
          <w:vertAlign w:val="subscript"/>
        </w:rPr>
        <w:t xml:space="preserve">2</w:t>
      </w:r>
      <w:r>
        <w:t xml:space="preserve"> </w:t>
      </w:r>
      <w:r>
        <w:t xml:space="preserve">had a smaller reduction in canopy transpiration in drought conditions, via deeper rooting access to water resources</w:t>
      </w:r>
      <w:r>
        <w:t xml:space="preserve"> </w:t>
      </w:r>
      <w:r>
        <w:t xml:space="preserve">(Duursma et al. 2011)</w:t>
      </w:r>
      <w:r>
        <w:t xml:space="preserve">. The specific objectives of this study were to determine the response of biomass partitioning among foliage, aboveground woody components and roots of a native Australian tree species to changes in CO</w:t>
      </w:r>
      <w:r>
        <w:rPr>
          <w:vertAlign w:val="subscript"/>
        </w:rPr>
        <w:t xml:space="preserve">2</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throughout the course of an 11 month period under the combined treatments of eC</w:t>
      </w:r>
      <w:r>
        <w:rPr>
          <w:vertAlign w:val="subscript"/>
        </w:rPr>
        <w:t xml:space="preserve">a</w:t>
      </w:r>
      <w:r>
        <w:t xml:space="preserve"> </w:t>
      </w:r>
      <w:r>
        <w:t xml:space="preserve">and drought.</w:t>
      </w:r>
    </w:p>
    <w:p>
      <w:pPr>
        <w:pStyle w:val="BodyText"/>
      </w:pPr>
      <w:r>
        <w:br w:type="textWrapping"/>
      </w:r>
      <w:r>
        <w:t xml:space="preserve">Our hypotheses were:</w:t>
      </w:r>
      <w:r>
        <w:br w:type="textWrapping"/>
      </w:r>
      <w:r>
        <w:t xml:space="preserve">(1) As C uptake and growth should be coordinated over long time periods, we expected both total leaf area and harvested tree C mass to correlate with cumulative total aboveground net canopy C uptake.</w:t>
      </w:r>
    </w:p>
    <w:p>
      <w:pPr>
        <w:pStyle w:val="BodyText"/>
      </w:pPr>
      <w:r>
        <w:br w:type="textWrapping"/>
      </w:r>
      <w:r>
        <w:t xml:space="preserve">(2) At the end of the 2-year experiment we expected partitioning of C to harvested roots to increase under eC</w:t>
      </w:r>
      <w:r>
        <w:rPr>
          <w:vertAlign w:val="subscript"/>
        </w:rPr>
        <w:t xml:space="preserve">a</w:t>
      </w:r>
      <w:r>
        <w:t xml:space="preserve">. We also expected increases in partitioning to roots under drought treatments to alleviate water limitation.</w:t>
      </w:r>
    </w:p>
    <w:p>
      <w:pPr>
        <w:pStyle w:val="BodyText"/>
      </w:pPr>
      <w:r>
        <w:br w:type="textWrapping"/>
      </w:r>
      <w:r>
        <w:t xml:space="preserve">(3) As increases in partitioning to root biomass were hypothesized, we expected TBCA to increase through time as cumulative tree C flux became affected by eC</w:t>
      </w:r>
      <w:r>
        <w:rPr>
          <w:vertAlign w:val="subscript"/>
        </w:rPr>
        <w:t xml:space="preserve">a</w:t>
      </w:r>
      <w:r>
        <w:t xml:space="preserve"> </w:t>
      </w:r>
      <w:r>
        <w:t xml:space="preserve">and drought.</w:t>
      </w:r>
    </w:p>
    <w:p>
      <w:pPr>
        <w:pStyle w:val="Heading1"/>
      </w:pPr>
      <w:bookmarkStart w:id="23" w:name="methods"/>
      <w:bookmarkEnd w:id="23"/>
      <w:r>
        <w:t xml:space="preserve">4.3 Methods</w:t>
      </w:r>
    </w:p>
    <w:p>
      <w:pPr>
        <w:pStyle w:val="Heading2"/>
      </w:pPr>
      <w:bookmarkStart w:id="24" w:name="terminology"/>
      <w:bookmarkEnd w:id="24"/>
      <w:r>
        <w:t xml:space="preserve">4.3.1 Terminology</w:t>
      </w:r>
    </w:p>
    <w:p>
      <w:pPr>
        <w:pStyle w:val="FirstParagraph"/>
      </w:pPr>
      <w:r>
        <w:rPr>
          <w:i/>
        </w:rPr>
        <w:t xml:space="preserve">Mass partitioning</w:t>
      </w:r>
      <w:r>
        <w:t xml:space="preserve">: the relative distribution of biomass between different tree tissue components such as leaves, branches, bole and roots.</w:t>
      </w:r>
      <w:r>
        <w:br w:type="textWrapping"/>
      </w:r>
      <w:r>
        <w:rPr>
          <w:i/>
        </w:rPr>
        <w:t xml:space="preserve">Carbon allocation</w:t>
      </w:r>
      <w:r>
        <w:t xml:space="preserve">: the fraction of canopy photosynthesis distributed to different components such as tissue biomass pools, respiratory C fluxes, non-structural carbohydrate storage pools or root C exudation.</w:t>
      </w:r>
    </w:p>
    <w:p>
      <w:pPr>
        <w:pStyle w:val="Heading2"/>
      </w:pPr>
      <w:bookmarkStart w:id="25" w:name="whole-tree-chamber-experiment"/>
      <w:bookmarkEnd w:id="25"/>
      <w:r>
        <w:t xml:space="preserve">4.3.2 Whole tree chamber experiment</w:t>
      </w:r>
    </w:p>
    <w:p>
      <w:pPr>
        <w:pStyle w:val="FirstParagraph"/>
      </w:pPr>
      <w:r>
        <w:t xml:space="preserve">From April 2007</w:t>
      </w:r>
      <w:r>
        <w:t xml:space="preserve"> </w:t>
      </w:r>
      <w:r>
        <w:rPr>
          <w:i/>
        </w:rPr>
        <w:t xml:space="preserve">Eucalyptus saligna</w:t>
      </w:r>
      <w:r>
        <w:t xml:space="preserve"> </w:t>
      </w:r>
      <w:r>
        <w:t xml:space="preserve">seedlings were grown in 12 whole-tree chambers (WTCs)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in the chamber soil volume and below 1 m. Soils at the WTC facility are an alluvial formation of low-fertility sandy loam, with clay deposits at a depth of about 1 m. Full descriptions of the chamber design and operation are provided in Barton et al.</w:t>
      </w:r>
      <w:r>
        <w:t xml:space="preserve"> </w:t>
      </w:r>
      <w:r>
        <w:t xml:space="preserve">(2010)</w:t>
      </w:r>
      <w:r>
        <w:t xml:space="preserve">. This multi-factor experimental design included CO</w:t>
      </w:r>
      <w:r>
        <w:rPr>
          <w:vertAlign w:val="subscript"/>
        </w:rPr>
        <w:t xml:space="preserve">2</w:t>
      </w:r>
      <w:r>
        <w:t xml:space="preserve"> </w:t>
      </w:r>
      <w:r>
        <w:t xml:space="preserve">× drought treatments with three WTC replicates in each of four treatments. Six chambers were kept at ambient CO</w:t>
      </w:r>
      <w:r>
        <w:rPr>
          <w:vertAlign w:val="subscript"/>
        </w:rPr>
        <w:t xml:space="preserve">2</w:t>
      </w:r>
      <w:r>
        <w:t xml:space="preserve"> </w:t>
      </w:r>
      <w:r>
        <w:t xml:space="preserve">of 380 ppm (aC</w:t>
      </w:r>
      <w:r>
        <w:rPr>
          <w:vertAlign w:val="subscript"/>
        </w:rPr>
        <w:t xml:space="preserve">a</w:t>
      </w:r>
      <w:r>
        <w:t xml:space="preserve">) and six were maintained at elevated CO</w:t>
      </w:r>
      <w:r>
        <w:rPr>
          <w:vertAlign w:val="subscript"/>
        </w:rPr>
        <w:t xml:space="preserve">2</w:t>
      </w:r>
      <w:r>
        <w:t xml:space="preserve"> </w:t>
      </w:r>
      <w:r>
        <w:t xml:space="preserve">of +240 ppm above ambient (eC</w:t>
      </w:r>
      <w:r>
        <w:rPr>
          <w:vertAlign w:val="subscript"/>
        </w:rPr>
        <w:t xml:space="preserve">a</w:t>
      </w:r>
      <w:r>
        <w:t xml:space="preserve">). Through October 2008 all trees were kept well-watered, with 10 mm of water every 3 days. Half of the chambers in each CO</w:t>
      </w:r>
      <w:r>
        <w:rPr>
          <w:vertAlign w:val="subscript"/>
        </w:rPr>
        <w:t xml:space="preserve">2</w:t>
      </w:r>
      <w:r>
        <w:t xml:space="preserve"> </w:t>
      </w:r>
      <w:r>
        <w:t xml:space="preserve">treatment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r>
        <w:t xml:space="preserve"> </w:t>
      </w:r>
      <w:r>
        <w:t xml:space="preserve">(Duursma et al. 2011)</w:t>
      </w:r>
      <w:r>
        <w:t xml:space="preserve">.</w:t>
      </w:r>
    </w:p>
    <w:p>
      <w:pPr>
        <w:pStyle w:val="Heading2"/>
      </w:pPr>
      <w:bookmarkStart w:id="26" w:name="aboveground-chamber-co2-flux"/>
      <w:bookmarkEnd w:id="26"/>
      <w:r>
        <w:t xml:space="preserve">4.3.3 Aboveground chamber CO</w:t>
      </w:r>
      <w:r>
        <w:rPr>
          <w:vertAlign w:val="subscript"/>
        </w:rPr>
        <w:t xml:space="preserve">2</w:t>
      </w:r>
      <w:r>
        <w:t xml:space="preserve"> </w:t>
      </w:r>
      <w:r>
        <w:t xml:space="preserve">flux</w:t>
      </w:r>
    </w:p>
    <w:p>
      <w:pPr>
        <w:pStyle w:val="FirstParagraph"/>
      </w:pPr>
      <w:r>
        <w:t xml:space="preserve">Floors installed 45 cm above the soil surface, enclosing the main bole, permitted the chambers to function as cuvettes, excluding water and CO</w:t>
      </w:r>
      <w:r>
        <w:rPr>
          <w:vertAlign w:val="subscript"/>
        </w:rPr>
        <w:t xml:space="preserve">2</w:t>
      </w:r>
      <w:r>
        <w:t xml:space="preserve"> </w:t>
      </w:r>
      <w:r>
        <w:t xml:space="preserve">fluxes from the soil surface and allowed for aboveground whole tree fluxes of CO</w:t>
      </w:r>
      <w:r>
        <w:rPr>
          <w:vertAlign w:val="subscript"/>
        </w:rPr>
        <w:t xml:space="preserve">2</w:t>
      </w:r>
      <w:r>
        <w:t xml:space="preserve"> </w:t>
      </w:r>
      <w:r>
        <w:t xml:space="preserve">(and H</w:t>
      </w:r>
      <w:r>
        <w:rPr>
          <w:vertAlign w:val="subscript"/>
        </w:rPr>
        <w:t xml:space="preserve">2</w:t>
      </w:r>
      <w:r>
        <w:t xml:space="preserve">O) to be monitored once trees were ca. 3.5 m in height. This allowed high resolution CO</w:t>
      </w:r>
      <w:r>
        <w:rPr>
          <w:vertAlign w:val="subscript"/>
        </w:rPr>
        <w:t xml:space="preserve">2</w:t>
      </w:r>
      <w:r>
        <w:t xml:space="preserve"> </w:t>
      </w:r>
      <w:r>
        <w:t xml:space="preserve">flux data at 14 min intervals to be collected during the final eleven months of the experiment (from April 2008 to March 2009). The raw data were averaged over an hourly time-step and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In total, 27% of the observations were gap filled. This gap filling included a 5-6 week gap in late winter 2008 when WTC height was extended, as well as shorter periods in which chamber access doors were open during regular use. For each WTC, cumulative 24 hour net aboveground C uptake (</w:t>
      </w:r>
      <m:oMath>
        <m:sSub>
          <m:e>
            <m:r>
              <m:rPr>
                <m:sty m:val="p"/>
              </m:rPr>
              <m:t>F</m:t>
            </m:r>
          </m:e>
          <m:sub>
            <m:r>
              <m:rPr/>
              <m:t>c</m:t>
            </m:r>
            <m:r>
              <m:rPr/>
              <m:t>,</m:t>
            </m:r>
            <m:r>
              <m:rPr/>
              <m:t>d</m:t>
            </m:r>
          </m:sub>
        </m:sSub>
      </m:oMath>
      <w:r>
        <w:t xml:space="preserve">, g C d</w:t>
      </w:r>
      <w:r>
        <w:rPr>
          <w:vertAlign w:val="superscript"/>
        </w:rPr>
        <w:t xml:space="preserve">-1</w:t>
      </w:r>
      <w:r>
        <w:t xml:space="preserve">) represented daily total canopy</w:t>
      </w:r>
      <w:r>
        <w:t xml:space="preserve"> </w:t>
      </w:r>
      <w:r>
        <w:rPr>
          <w:i/>
        </w:rPr>
        <w:t xml:space="preserve">A</w:t>
      </w:r>
      <w:r>
        <w:rPr>
          <w:vertAlign w:val="subscript"/>
          <w:i/>
        </w:rPr>
        <w:t xml:space="preserve">n</w:t>
      </w:r>
      <w:r>
        <w:t xml:space="preserve"> </w:t>
      </w:r>
      <w:r>
        <w:t xml:space="preserve">of each tree minus respiration of stems and branches. Then</w:t>
      </w:r>
      <w:r>
        <w:t xml:space="preserve"> </w:t>
      </w:r>
      <m:oMath>
        <m:sSub>
          <m:e>
            <m:r>
              <m:rPr>
                <m:sty m:val="p"/>
              </m:rPr>
              <m:t>F</m:t>
            </m:r>
          </m:e>
          <m:sub>
            <m:r>
              <m:rPr/>
              <m:t>c</m:t>
            </m:r>
            <m:r>
              <m:rPr/>
              <m:t>,</m:t>
            </m:r>
            <m:r>
              <m:rPr/>
              <m:t>d</m:t>
            </m:r>
          </m:sub>
        </m:sSub>
      </m:oMath>
      <w:r>
        <w:t xml:space="preserve"> </w:t>
      </w:r>
      <w:r>
        <w:t xml:space="preserve">was summed over the flux monitoring period (</w:t>
      </w:r>
      <m:oMath>
        <m:sSub>
          <m:e>
            <m:r>
              <m:rPr>
                <m:sty m:val="p"/>
              </m:rPr>
              <m:t>F</m:t>
            </m:r>
          </m:e>
          <m:sub>
            <m:r>
              <m:rPr/>
              <m:t>c</m:t>
            </m:r>
            <m:r>
              <m:rPr/>
              <m:t>,</m:t>
            </m:r>
            <m:r>
              <m:rPr/>
              <m:t>T</m:t>
            </m:r>
          </m:sub>
        </m:sSub>
      </m:oMath>
      <w:r>
        <w:t xml:space="preserve">) to compare to tree C mass, leaf area and C allocation above and belowground.</w:t>
      </w:r>
    </w:p>
    <w:p>
      <w:pPr>
        <w:pStyle w:val="Heading2"/>
      </w:pPr>
      <w:bookmarkStart w:id="27" w:name="harvested-tree-carbon-mass"/>
      <w:bookmarkEnd w:id="27"/>
      <w:r>
        <w:t xml:space="preserve">4.3.4 Harvested tree carbon mass</w:t>
      </w:r>
    </w:p>
    <w:p>
      <w:pPr>
        <w:pStyle w:val="FirstParagraph"/>
      </w:pPr>
      <w:r>
        <w:t xml:space="preserve">A final destructive harvest was completed in March 2009. The canopy of each tree was divided into five equal vertical layers, extending from the floor to the top and harvested. Dry biomass of leaves, branches and boles were measured for each layer and summed for each WTC. Root mass was obtained by excavating and sieving all soil inside each root exclusion barrier to the hard layer. Five root cores (10 cm diameter), sampled before the harvest, where collected from 0-70 cm in each chamber. Fine root biomass (&lt;2 mm diameter) was first estimated by scaling-up dry root biomass collected from cores to total chamber area, but highly variable root biomass across cores resulted in unreliable estimates. As a result, root biomass from cores was added back to the standing crop total instead of scaling-up fine root biomass. Consequently, the fine root biomass pool is likely underestimated.</w:t>
      </w:r>
    </w:p>
    <w:p>
      <w:pPr>
        <w:pStyle w:val="BodyText"/>
      </w:pPr>
      <w:r>
        <w:br w:type="textWrapping"/>
      </w:r>
      <w:r>
        <w:t xml:space="preserve">Carbon mass was assumed to be 48% of dry biomass for all non-leaf tissue components and this conversion was performed for all harvest and survey data (see below). This value represents the mean value of wood C of angiosperms from the Dyrad global wood C database, including measurements of stems, twigs, branches, bark, coarse roots and fine roots</w:t>
      </w:r>
      <w:r>
        <w:t xml:space="preserve"> </w:t>
      </w:r>
      <w:r>
        <w:t xml:space="preserve">(Thomas and Martin 2012a, 2012b)</w:t>
      </w:r>
      <w:r>
        <w:t xml:space="preserve">. Leaf and litter C mass was calculated by multiplying biomass by the WTC specific mean leaf C content (%). Leaf C content was determined from a sub-sample of final harvest dried and milled leaves analyzed using a Leco TruSpec Micro elemental analyzer (LECO corporation, MI, USA). Carbon mass fractions of leaves, boles+branches (stems) and roots were then calculated by dividing their respective total C mass by whole tree C mass at the end of the experiment.</w:t>
      </w:r>
    </w:p>
    <w:p>
      <w:pPr>
        <w:pStyle w:val="BodyText"/>
      </w:pPr>
      <w:r>
        <w:br w:type="textWrapping"/>
      </w:r>
      <w:r>
        <w:t xml:space="preserve">Prior to the initiation of the experiment potted</w:t>
      </w:r>
      <w:r>
        <w:t xml:space="preserve"> </w:t>
      </w:r>
      <w:r>
        <w:rPr>
          <w:i/>
        </w:rPr>
        <w:t xml:space="preserve">Eucalyptus saligna</w:t>
      </w:r>
      <w:r>
        <w:t xml:space="preserve"> </w:t>
      </w:r>
      <w:r>
        <w:t xml:space="preserve">seedlings were harvested to develop relationships between above and belowground biomass (n=17, mean height of 217±17 cm). These seedlings were grown in 25 l pots inside each WTC until the experiment started, using the same soil as each WTC, while chamber [CO</w:t>
      </w:r>
      <w:r>
        <w:rPr>
          <w:vertAlign w:val="subscript"/>
        </w:rPr>
        <w:t xml:space="preserve">2</w:t>
      </w:r>
      <w:r>
        <w:t xml:space="preserve">] treatment conditions were maintained.</w:t>
      </w:r>
    </w:p>
    <w:p>
      <w:pPr>
        <w:pStyle w:val="Heading2"/>
      </w:pPr>
      <w:bookmarkStart w:id="28" w:name="tree-allometry-surveys"/>
      <w:bookmarkEnd w:id="28"/>
      <w:r>
        <w:t xml:space="preserve">4.3.5 Tree allometry surveys</w:t>
      </w:r>
    </w:p>
    <w:p>
      <w:pPr>
        <w:pStyle w:val="FirstParagraph"/>
      </w:pPr>
      <w:r>
        <w:t xml:space="preserve">Tree height was measured every 14 days and diameters were recorded monthly at regular height intervals (30 cm) along the main bole and split stems. Bole diameters at 65 cm height were used as the starting reference diameter for each survey. Diameter and length for every branch, including forked branches, were surveyed seven times between April 2008 and March 2009. The first branch survey coincided with the installation of chamber floors and initiation of whole tree flux measurements. Branch diameter measurements were recorded at 5 cm from their individual insertion points. Leaf litter was collected from the chambers every two weeks, oven-dried and weighed.</w:t>
      </w:r>
    </w:p>
    <w:p>
      <w:pPr>
        <w:pStyle w:val="Heading2"/>
      </w:pPr>
      <w:bookmarkStart w:id="29" w:name="bole-carbon-mass"/>
      <w:bookmarkEnd w:id="29"/>
      <w:r>
        <w:t xml:space="preserve">4.3.6 Bole carbon mass</w:t>
      </w:r>
    </w:p>
    <w:p>
      <w:pPr>
        <w:pStyle w:val="FirstParagraph"/>
      </w:pPr>
      <w:r>
        <w:t xml:space="preserve">During the final harvest, diameter measurements were recorded as described above and 1 cm wide cross sections were removed from the bole at equally spaced positions along the bole midpoint between the diameter measurement points. Wood density for each section was calculated by dividing the dry mass by the fresh volume separately for bark and wood. The mean total bole density for each tree (</w:t>
      </w:r>
      <m:oMath>
        <m:sSub>
          <m:e>
            <m:r>
              <m:rPr/>
              <m:t>ρ</m:t>
            </m:r>
          </m:e>
          <m:sub>
            <m:r>
              <m:rPr/>
              <m:t>b</m:t>
            </m:r>
            <m:r>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t>ρ</m:t>
            </m:r>
          </m:e>
          <m:sub>
            <m:r>
              <m:rPr/>
              <m:t>b</m:t>
            </m:r>
            <m:r>
              <m:rPr/>
              <m:t>o</m:t>
            </m:r>
          </m:sub>
        </m:sSub>
      </m:oMath>
      <w:r>
        <w:t xml:space="preserve"> </w:t>
      </w:r>
      <w:r>
        <w:t xml:space="preserve">did not change through time.</w:t>
      </w:r>
    </w:p>
    <w:p>
      <w:pPr>
        <w:pStyle w:val="BodyText"/>
      </w:pPr>
      <w:r>
        <w:br w:type="textWrapping"/>
      </w:r>
      <w:r>
        <w:t xml:space="preserve">For boles, individual volume units were constructed as concentric cylinders between each diameter measurement from base to tree top for each monthly survey. The tree top section was calculated as a cone with a tip radius of .001 cm. The volume below the starting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volume units. All volume units were summed,including forked stems, to calculate total bole volume. Bole mass was calculated as total volume multiplied by WTC tree-specific</w:t>
      </w:r>
      <w:r>
        <w:t xml:space="preserve"> </w:t>
      </w:r>
      <m:oMath>
        <m:sSub>
          <m:e>
            <m:r>
              <m:rPr/>
              <m:t>ρ</m:t>
            </m:r>
          </m:e>
          <m:sub>
            <m:r>
              <m:rPr/>
              <m:t>b</m:t>
            </m:r>
            <m:r>
              <m:rPr/>
              <m:t>o</m:t>
            </m:r>
          </m:sub>
        </m:sSub>
      </m:oMath>
      <w:r>
        <w:t xml:space="preserve">.</w:t>
      </w:r>
    </w:p>
    <w:p>
      <w:pPr>
        <w:pStyle w:val="Heading2"/>
      </w:pPr>
      <w:bookmarkStart w:id="30" w:name="branch-carbon-mass"/>
      <w:bookmarkEnd w:id="30"/>
      <w:r>
        <w:t xml:space="preserve">4.3.7 Branch carbon mass</w:t>
      </w:r>
    </w:p>
    <w:p>
      <w:pPr>
        <w:pStyle w:val="FirstParagraph"/>
      </w:pPr>
      <w:r>
        <w:t xml:space="preserve">Measured dry mass, length and basal area of all harvested branches was used to determine the branch wood density (</w:t>
      </w:r>
      <m:oMath>
        <m:sSub>
          <m:e>
            <m:r>
              <m:rPr/>
              <m:t>ρ</m:t>
            </m:r>
          </m:e>
          <m:sub>
            <m:r>
              <m:rPr/>
              <m:t>b</m:t>
            </m:r>
            <m:r>
              <m:rPr/>
              <m:t>r</m:t>
            </m:r>
          </m:sub>
        </m:sSub>
      </m:oMath>
      <w:r>
        <w:t xml:space="preserve">) as well as a geometric shape factor</w:t>
      </w:r>
      <w:r>
        <w:t xml:space="preserve"> </w:t>
      </w:r>
      <w:r>
        <w:t xml:space="preserve">(</w:t>
      </w:r>
      <m:oMath>
        <m:r>
          <m:rPr/>
          <m:t>ϕ</m:t>
        </m:r>
      </m:oMath>
      <w:r>
        <w:t xml:space="preserve">, see Mäkelä 1997)</w:t>
      </w:r>
      <w:r>
        <w:t xml:space="preserve"> </w:t>
      </w:r>
      <w:r>
        <w:t xml:space="preserve">for each WTC tree by rearranging the equation:</w:t>
      </w:r>
    </w:p>
    <w:p>
      <w:pPr>
        <w:pStyle w:val="BodyText"/>
      </w:pPr>
      <w:r>
        <w:br w:type="textWrapping"/>
      </w:r>
      <w:r>
        <w:t xml:space="preserve">(1)</w:t>
      </w:r>
    </w:p>
    <w:p>
      <w:pPr>
        <w:pStyle w:val="BodyText"/>
      </w:pPr>
      <m:oMathPara>
        <m:oMathParaPr>
          <m:jc m:val="center"/>
        </m:oMathParaPr>
        <m:oMath>
          <m:sSub>
            <m:e>
              <m:r>
                <m:rPr/>
                <m:t>M</m:t>
              </m:r>
            </m:e>
            <m:sub>
              <m:r>
                <m:rPr/>
                <m:t>b</m:t>
              </m:r>
              <m:r>
                <m:rPr/>
                <m:t>r</m:t>
              </m:r>
            </m:sub>
          </m:sSub>
          <m:r>
            <m:rPr/>
            <m:t>=</m:t>
          </m:r>
          <m:sSub>
            <m:e>
              <m:r>
                <m:rPr/>
                <m:t>L</m:t>
              </m:r>
            </m:e>
            <m:sub>
              <m:r>
                <m:rPr/>
                <m:t>b</m:t>
              </m:r>
              <m:r>
                <m:rPr/>
                <m:t>r</m:t>
              </m:r>
            </m:sub>
          </m:sSub>
          <m:sSub>
            <m:e>
              <m:r>
                <m:rPr/>
                <m:t>A</m:t>
              </m:r>
            </m:e>
            <m:sub>
              <m:r>
                <m:rPr/>
                <m:t>b</m:t>
              </m:r>
              <m:r>
                <m:rPr/>
                <m:t>r</m:t>
              </m:r>
            </m:sub>
          </m:sSub>
          <m:sSub>
            <m:e>
              <m:r>
                <m:rPr/>
                <m:t>ρ</m:t>
              </m:r>
            </m:e>
            <m:sub>
              <m:r>
                <m:rPr/>
                <m:t>b</m:t>
              </m:r>
              <m:r>
                <m:rPr/>
                <m:t>r</m:t>
              </m:r>
            </m:sub>
          </m:sSub>
          <m:sSub>
            <m:e>
              <m:r>
                <m:rPr/>
                <m:t>ϕ</m:t>
              </m:r>
            </m:e>
            <m:sub>
              <m:r>
                <m:rPr/>
                <m:t>b</m:t>
              </m:r>
              <m:r>
                <m:rPr/>
                <m:t>r</m:t>
              </m:r>
            </m:sub>
          </m:sSub>
        </m:oMath>
      </m:oMathPara>
    </w:p>
    <w:p>
      <w:pPr>
        <w:pStyle w:val="BodyText"/>
      </w:pPr>
      <w:r>
        <w:t xml:space="preserve">where</w:t>
      </w:r>
      <w:r>
        <w:t xml:space="preserve"> </w:t>
      </w:r>
      <m:oMath>
        <m:sSub>
          <m:e>
            <m:r>
              <m:rPr>
                <m:sty m:val="p"/>
              </m:rPr>
              <m:t>M</m:t>
            </m:r>
          </m:e>
          <m:sub>
            <m:r>
              <m:rPr/>
              <m:t>b</m:t>
            </m:r>
            <m:r>
              <m:rPr/>
              <m:t>r</m:t>
            </m:r>
          </m:sub>
        </m:sSub>
      </m:oMath>
      <w:r>
        <w:t xml:space="preserve"> </w:t>
      </w:r>
      <w:r>
        <w:t xml:space="preserve">is summed dry mass of all harvested branches,</w:t>
      </w:r>
      <w:r>
        <w:t xml:space="preserve"> </w:t>
      </w:r>
      <m:oMath>
        <m:sSub>
          <m:e>
            <m:r>
              <m:rPr>
                <m:sty m:val="p"/>
              </m:rPr>
              <m:t>L</m:t>
            </m:r>
          </m:e>
          <m:sub>
            <m:r>
              <m:rPr/>
              <m:t>b</m:t>
            </m:r>
            <m:r>
              <m:rPr/>
              <m:t>r</m:t>
            </m:r>
          </m:sub>
        </m:sSub>
      </m:oMath>
      <w:r>
        <w:t xml:space="preserve"> </w:t>
      </w:r>
      <w:r>
        <w:t xml:space="preserve">is summed branch length (cm),</w:t>
      </w:r>
      <w:r>
        <w:t xml:space="preserve"> </w:t>
      </w:r>
      <m:oMath>
        <m:sSub>
          <m:e>
            <m:r>
              <m:rPr>
                <m:sty m:val="p"/>
              </m:rPr>
              <m:t>A</m:t>
            </m:r>
          </m:e>
          <m:sub>
            <m:r>
              <m:rPr/>
              <m:t>b</m:t>
            </m:r>
            <m:r>
              <m:rPr/>
              <m:t>r</m:t>
            </m:r>
          </m:sub>
        </m:sSub>
      </m:oMath>
      <w:r>
        <w:t xml:space="preserve"> </w:t>
      </w:r>
      <w:r>
        <w:t xml:space="preserve">is summed branch basal area (cm</w:t>
      </w:r>
      <w:r>
        <w:rPr>
          <w:vertAlign w:val="superscript"/>
        </w:rPr>
        <w:t xml:space="preserve">2</w:t>
      </w:r>
      <w:r>
        <w:t xml:space="preserve">),</w:t>
      </w:r>
      <w:r>
        <w:t xml:space="preserve"> </w:t>
      </w:r>
      <m:oMath>
        <m:sSub>
          <m:e>
            <m:r>
              <m:rPr/>
              <m:t>ρ</m:t>
            </m:r>
          </m:e>
          <m:sub>
            <m:r>
              <m:rPr/>
              <m:t>b</m:t>
            </m:r>
            <m:r>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t>ϕ</m:t>
        </m:r>
      </m:oMath>
      <w:r>
        <w:t xml:space="preserve"> </w:t>
      </w:r>
      <w:r>
        <w:t xml:space="preserve">corrects branch volume estimates to an intermediate shape between a cone and a cylinder</w:t>
      </w:r>
      <w:r>
        <w:t xml:space="preserve"> </w:t>
      </w:r>
      <w:r>
        <w:t xml:space="preserve">(Mäkelä 1997)</w:t>
      </w:r>
      <w:r>
        <w:t xml:space="preserve">. The ratio of measured</w:t>
      </w:r>
      <w:r>
        <w:t xml:space="preserve"> </w:t>
      </w:r>
      <m:oMath>
        <m:sSub>
          <m:e>
            <m:r>
              <m:rPr>
                <m:sty m:val="p"/>
              </m:rPr>
              <m:t>M</m:t>
            </m:r>
          </m:e>
          <m:sub>
            <m:r>
              <m:rPr/>
              <m:t>b</m:t>
            </m:r>
            <m:r>
              <m:rPr/>
              <m:t>r</m:t>
            </m:r>
          </m:sub>
        </m:sSub>
      </m:oMath>
      <w:r>
        <w:t xml:space="preserve"> </w:t>
      </w:r>
      <w:r>
        <w:t xml:space="preserve">to</w:t>
      </w:r>
      <w:r>
        <w:t xml:space="preserve"> </w:t>
      </w:r>
      <m:oMath>
        <m:sSub>
          <m:e>
            <m:r>
              <m:rPr/>
              <m:t>L</m:t>
            </m:r>
          </m:e>
          <m:sub>
            <m:r>
              <m:rPr/>
              <m:t>b</m:t>
            </m:r>
            <m:r>
              <m:rPr/>
              <m:t>r</m:t>
            </m:r>
          </m:sub>
        </m:sSub>
        <m:sSub>
          <m:e>
            <m:r>
              <m:rPr/>
              <m:t>A</m:t>
            </m:r>
          </m:e>
          <m:sub>
            <m:r>
              <m:rPr/>
              <m:t>b</m:t>
            </m:r>
            <m:r>
              <m:rPr/>
              <m:t>r</m:t>
            </m:r>
          </m:sub>
        </m:sSub>
      </m:oMath>
      <w:r>
        <w:t xml:space="preserve"> </w:t>
      </w:r>
      <w:r>
        <w:t xml:space="preserve">was used to generate a WTC-specific</w:t>
      </w:r>
      <w:r>
        <w:t xml:space="preserve"> </w:t>
      </w:r>
      <m:oMath>
        <m:sSub>
          <m:e>
            <m:r>
              <m:rPr/>
              <m:t>ϕ</m:t>
            </m:r>
          </m:e>
          <m:sub>
            <m:r>
              <m:rPr/>
              <m:t>b</m:t>
            </m:r>
            <m:r>
              <m:rPr/>
              <m:t>r</m:t>
            </m:r>
          </m:sub>
        </m:sSub>
        <m:sSub>
          <m:e>
            <m:r>
              <m:rPr/>
              <m:t>ρ</m:t>
            </m:r>
          </m:e>
          <m:sub>
            <m:r>
              <m:rPr/>
              <m:t>b</m:t>
            </m:r>
            <m:r>
              <m:rPr/>
              <m:t>r</m:t>
            </m:r>
          </m:sub>
        </m:sSub>
      </m:oMath>
      <w:r>
        <w:t xml:space="preserve">.</w:t>
      </w:r>
    </w:p>
    <w:p>
      <w:pPr>
        <w:pStyle w:val="BodyText"/>
      </w:pPr>
      <w:r>
        <w:br w:type="textWrapping"/>
      </w:r>
      <w:r>
        <w:t xml:space="preserve">For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t>b</m:t>
            </m:r>
            <m:r>
              <m:rPr/>
              <m:t>r</m:t>
            </m:r>
          </m:sub>
        </m:sSub>
      </m:oMath>
      <w:r>
        <w:t xml:space="preserve"> </w:t>
      </w:r>
      <w:r>
        <w:t xml:space="preserve">and</w:t>
      </w:r>
      <w:r>
        <w:t xml:space="preserve"> </w:t>
      </w:r>
      <m:oMath>
        <m:sSub>
          <m:e>
            <m:r>
              <m:rPr>
                <m:sty m:val="p"/>
              </m:rPr>
              <m:t>A</m:t>
            </m:r>
          </m:e>
          <m:sub>
            <m:r>
              <m:rPr/>
              <m:t>b</m:t>
            </m:r>
            <m:r>
              <m:rPr/>
              <m:t>r</m:t>
            </m:r>
          </m:sub>
        </m:sSub>
      </m:oMath>
      <w:r>
        <w:t xml:space="preserve"> </w:t>
      </w:r>
      <w:r>
        <w:t xml:space="preserve">for individual branches with</w:t>
      </w:r>
      <w:r>
        <w:t xml:space="preserve"> </w:t>
      </w:r>
      <m:oMath>
        <m:sSub>
          <m:e>
            <m:r>
              <m:rPr/>
              <m:t>ϕ</m:t>
            </m:r>
          </m:e>
          <m:sub>
            <m:r>
              <m:rPr/>
              <m:t>b</m:t>
            </m:r>
            <m:r>
              <m:rPr/>
              <m:t>r</m:t>
            </m:r>
          </m:sub>
        </m:sSub>
      </m:oMath>
      <m:oMath>
        <m:sSub>
          <m:e>
            <m:r>
              <m:rPr/>
              <m:t>ρ</m:t>
            </m:r>
          </m:e>
          <m:sub>
            <m:r>
              <m:rPr/>
              <m:t>b</m:t>
            </m:r>
            <m:r>
              <m:rPr/>
              <m:t>r</m:t>
            </m:r>
          </m:sub>
        </m:sSub>
      </m:oMath>
      <w:r>
        <w:t xml:space="preserve"> </w:t>
      </w:r>
      <w:r>
        <w:t xml:space="preserve">specific to each WTC. We assumed that</w:t>
      </w:r>
      <w:r>
        <w:t xml:space="preserve"> </w:t>
      </w:r>
      <m:oMath>
        <m:sSub>
          <m:e>
            <m:r>
              <m:rPr/>
              <m:t>ϕ</m:t>
            </m:r>
          </m:e>
          <m:sub>
            <m:r>
              <m:rPr/>
              <m:t>b</m:t>
            </m:r>
            <m:r>
              <m:rPr/>
              <m:t>r</m:t>
            </m:r>
          </m:sub>
        </m:sSub>
        <m:sSub>
          <m:e>
            <m:r>
              <m:rPr/>
              <m:t>ρ</m:t>
            </m:r>
          </m:e>
          <m:sub>
            <m:r>
              <m:rPr/>
              <m:t>b</m:t>
            </m:r>
            <m:r>
              <m:rPr/>
              <m:t>r</m:t>
            </m:r>
          </m:sub>
        </m:sSub>
      </m:oMath>
      <w:r>
        <w:t xml:space="preserve"> </w:t>
      </w:r>
      <w:r>
        <w:t xml:space="preserve">did not change through time. Total dry branch mass at each survey point was the total mass of all individual branches.</w:t>
      </w:r>
    </w:p>
    <w:p>
      <w:pPr>
        <w:pStyle w:val="Heading2"/>
      </w:pPr>
      <w:bookmarkStart w:id="31" w:name="leaf-area-and-carbon-mass"/>
      <w:bookmarkEnd w:id="31"/>
      <w:r>
        <w:t xml:space="preserve">4.3.8 Leaf area and carbon mass</w:t>
      </w:r>
    </w:p>
    <w:p>
      <w:pPr>
        <w:pStyle w:val="FirstParagraph"/>
      </w:pPr>
      <w:r>
        <w:t xml:space="preserve">Total tree leaf area and dry mass were measured for each of the five canopy layers at the final tree harvest in March 2009. Specific leaf area (SLA, cm</w:t>
      </w:r>
      <w:r>
        <w:rPr>
          <w:vertAlign w:val="superscript"/>
        </w:rPr>
        <w:t xml:space="preserve">2</w:t>
      </w:r>
      <w:r>
        <w:t xml:space="preserve"> </w:t>
      </w:r>
      <w:r>
        <w:t xml:space="preserve">g</w:t>
      </w:r>
      <w:r>
        <w:rPr>
          <w:vertAlign w:val="superscript"/>
        </w:rPr>
        <w:t xml:space="preserve">-1</w:t>
      </w:r>
      <w:r>
        <w:t xml:space="preserve">) was calculated by dividing total projected one sided leaf area by dry leaf mass for each canopy layer. Mean SLA for each WTC tree was obtained by weighting SLA of each of the 5 layers by their foliage mass fraction. Estimates of standing leaf area were also obtained in April 2008 from leaf counts for each tree, multiplied by tree-specific mean leaf size (based on a sub-sample).</w:t>
      </w:r>
    </w:p>
    <w:p>
      <w:pPr>
        <w:pStyle w:val="BodyText"/>
      </w:pPr>
      <w:r>
        <w:br w:type="textWrapping"/>
      </w:r>
      <w:r>
        <w:t xml:space="preserve">Canopy leaf area was modeled on daily times steps, between April 2008 and March 2009, using the leaf count census and harvest leaf area estimates, along with height growth and litter fall rates. This was the method applied by Barton et al.</w:t>
      </w:r>
      <w:r>
        <w:t xml:space="preserve"> </w:t>
      </w:r>
      <w:r>
        <w:t xml:space="preserve">(2012)</w:t>
      </w:r>
      <w:r>
        <w:t xml:space="preserve">. Briefly, leaf growth was assumed to coincide with height growth, so that no leaf growth occurred when height growth had ceased. This method assumes that total cumulative leaf area (i.e. standing leaf area plus that produced by litter fall) followed and allometric relationship with tree height such that:</w:t>
      </w:r>
    </w:p>
    <w:p>
      <w:pPr>
        <w:pStyle w:val="BodyText"/>
      </w:pPr>
      <w:r>
        <w:br w:type="textWrapping"/>
      </w:r>
      <w:r>
        <w:t xml:space="preserve">(2)</w:t>
      </w:r>
    </w:p>
    <w:p>
      <w:pPr>
        <w:pStyle w:val="BodyText"/>
      </w:pPr>
      <m:oMathPara>
        <m:oMathParaPr>
          <m:jc m:val="center"/>
        </m:oMathParaPr>
        <m:oMath>
          <m:sSub>
            <m:e>
              <m:r>
                <m:rPr/>
                <m:t>A</m:t>
              </m:r>
            </m:e>
            <m:sub>
              <m:r>
                <m:rPr/>
                <m:t>L</m:t>
              </m:r>
              <m:r>
                <m:rPr/>
                <m:t>,</m:t>
              </m:r>
              <m:r>
                <m:rPr/>
                <m:t>T</m:t>
              </m:r>
            </m:sub>
          </m:sSub>
          <m:r>
            <m:rPr/>
            <m:t>=</m:t>
          </m:r>
          <m:r>
            <m:rPr/>
            <m:t>a</m:t>
          </m:r>
          <m:r>
            <m:rPr/>
            <m:t> </m:t>
          </m:r>
          <m:sSup>
            <m:e>
              <m:r>
                <m:rPr/>
                <m:t>H</m:t>
              </m:r>
            </m:e>
            <m:sup>
              <m:r>
                <m:rPr/>
                <m:t>b</m:t>
              </m:r>
            </m:sup>
          </m:sSup>
        </m:oMath>
      </m:oMathPara>
    </w:p>
    <w:p>
      <w:pPr>
        <w:pStyle w:val="BodyText"/>
      </w:pPr>
      <w:r>
        <w:t xml:space="preserve">where</w:t>
      </w:r>
      <w:r>
        <w:t xml:space="preserve"> </w:t>
      </w:r>
      <m:oMath>
        <m:sSub>
          <m:e>
            <m:r>
              <m:rPr>
                <m:sty m:val="p"/>
              </m:rPr>
              <m:t>A</m:t>
            </m:r>
          </m:e>
          <m:sub>
            <m:r>
              <m:rPr/>
              <m:t>L</m:t>
            </m:r>
            <m:r>
              <m:rPr/>
              <m:t>,</m:t>
            </m:r>
            <m:r>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w:t>
      </w:r>
      <w:r>
        <w:t xml:space="preserve"> </w:t>
      </w:r>
      <w:r>
        <w:rPr>
          <w:i/>
        </w:rPr>
        <w:t xml:space="preserve">t</w:t>
      </w:r>
      <w:r>
        <w:t xml:space="preserve"> </w:t>
      </w:r>
      <w:r>
        <w:t xml:space="preserve">are obtained from tree height at time</w:t>
      </w:r>
      <w:r>
        <w:t xml:space="preserve"> </w:t>
      </w:r>
      <w:r>
        <w:rPr>
          <w:i/>
        </w:rPr>
        <w:t xml:space="preserve">t</w:t>
      </w:r>
      <w:r>
        <w:t xml:space="preserve"> </w:t>
      </w:r>
      <w:r>
        <w:t xml:space="preserve">and cumulative litterfall:</w:t>
      </w:r>
    </w:p>
    <w:p>
      <w:pPr>
        <w:pStyle w:val="BodyText"/>
      </w:pPr>
      <w:r>
        <w:br w:type="textWrapping"/>
      </w:r>
      <w:r>
        <w:t xml:space="preserve">(3)</w:t>
      </w:r>
    </w:p>
    <w:p>
      <w:pPr>
        <w:pStyle w:val="BodyText"/>
      </w:pPr>
      <m:oMathPara>
        <m:oMathParaPr>
          <m:jc m:val="center"/>
        </m:oMathParaPr>
        <m:oMath>
          <m:sSub>
            <m:e>
              <m:r>
                <m:rPr/>
                <m:t>A</m:t>
              </m:r>
            </m:e>
            <m:sub>
              <m:r>
                <m:rPr/>
                <m:t>L</m:t>
              </m:r>
            </m:sub>
          </m:sSub>
          <m:r>
            <m:rPr/>
            <m:t>=</m:t>
          </m:r>
          <m:r>
            <m:rPr/>
            <m:t>a</m:t>
          </m:r>
          <m:r>
            <m:rPr/>
            <m:t> </m:t>
          </m:r>
          <m:r>
            <m:rPr/>
            <m:t>H</m:t>
          </m:r>
          <m:r>
            <m:rPr/>
            <m:t>(</m:t>
          </m:r>
          <m:r>
            <m:rPr/>
            <m:t>t</m:t>
          </m:r>
          <m:sSup>
            <m:e>
              <m:r>
                <m:rPr/>
                <m:t>)</m:t>
              </m:r>
            </m:e>
            <m:sup>
              <m:r>
                <m:rPr/>
                <m:t>b</m:t>
              </m:r>
            </m:sup>
          </m:sSup>
          <m:r>
            <m:rPr/>
            <m:t>−</m:t>
          </m:r>
          <m:nary>
            <m:naryPr>
              <m:chr m:val="∫"/>
              <m:limLoc m:val="subSup"/>
              <m:supHide m:val="off"/>
              <m:supHide m:val="off"/>
            </m:naryPr>
            <m:e>
              <m:r>
                <m:rPr/>
                <m:t>L</m:t>
              </m:r>
            </m:e>
            <m:sub>
              <m:r>
                <m:rPr/>
                <m:t>t</m:t>
              </m:r>
              <m:r>
                <m:rPr/>
                <m:t>=</m:t>
              </m:r>
              <m:r>
                <m:rPr/>
                <m:t>0</m:t>
              </m:r>
            </m:sub>
            <m:sup>
              <m:r>
                <m:rPr/>
                <m:t>t</m:t>
              </m:r>
            </m:sup>
          </m:nary>
          <m:r>
            <m:rPr/>
            <m:t>(</m:t>
          </m:r>
          <m:r>
            <m:rPr/>
            <m:t>t</m:t>
          </m:r>
          <m:r>
            <m:rPr/>
            <m:t>)</m:t>
          </m:r>
          <m:r>
            <m:rPr/>
            <m:t>d</m:t>
          </m:r>
          <m:r>
            <m:rPr/>
            <m:t>t</m:t>
          </m:r>
        </m:oMath>
      </m:oMathPara>
    </w:p>
    <w:p>
      <w:pPr>
        <w:pStyle w:val="BodyText"/>
      </w:pPr>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w:t>
      </w:r>
      <w:r>
        <w:t xml:space="preserve"> </w:t>
      </w:r>
      <w:r>
        <w:rPr>
          <w:i/>
        </w:rPr>
        <w:t xml:space="preserve">t</w:t>
      </w:r>
      <w:r>
        <w:t xml:space="preserve">. Litter was assumed to be produced by all canopy layers. The daily leaf area contribution of litterfall is the difference between</w:t>
      </w:r>
      <w:r>
        <w:t xml:space="preserve"> </w:t>
      </w:r>
      <m:oMath>
        <m:sSub>
          <m:e>
            <m:r>
              <m:rPr>
                <m:sty m:val="p"/>
              </m:rPr>
              <m:t>A</m:t>
            </m:r>
          </m:e>
          <m:sub>
            <m:r>
              <m:rPr/>
              <m:t>L</m:t>
            </m:r>
            <m:r>
              <m:rPr/>
              <m:t>,</m:t>
            </m:r>
            <m:r>
              <m:rPr/>
              <m:t>T</m:t>
            </m:r>
          </m:sub>
        </m:sSub>
      </m:oMath>
      <w:r>
        <w:t xml:space="preserve"> </w:t>
      </w:r>
      <w:r>
        <w:t xml:space="preserve">and</w:t>
      </w:r>
      <w:r>
        <w:t xml:space="preserve"> </w:t>
      </w:r>
      <m:oMath>
        <m:sSub>
          <m:e>
            <m:r>
              <m:rPr>
                <m:sty m:val="p"/>
              </m:rPr>
              <m:t>A</m:t>
            </m:r>
          </m:e>
          <m:sub>
            <m:r>
              <m:rPr/>
              <m:t>L</m:t>
            </m:r>
          </m:sub>
        </m:sSub>
      </m:oMath>
      <w:r>
        <w:t xml:space="preserve">. The mean SLA for each harvested tree was multiplied by daily estimates leaf and litterfall area to calculate biomass. SLA derived from the harvested trees was assumed to be constant over the entire flux measurement period.</w:t>
      </w:r>
    </w:p>
    <w:p>
      <w:pPr>
        <w:pStyle w:val="Heading2"/>
      </w:pPr>
      <w:bookmarkStart w:id="32" w:name="tissue-c-allocation"/>
      <w:bookmarkEnd w:id="32"/>
      <w:r>
        <w:t xml:space="preserve">4.3.9 Tissue C allocation</w:t>
      </w:r>
    </w:p>
    <w:p>
      <w:pPr>
        <w:pStyle w:val="FirstParagraph"/>
      </w:pPr>
      <w:r>
        <w:t xml:space="preserve">Tissue specific C allocation represents the fraction of net canopy C uptake distributed to a given tissue, which determines the change in biomass of that tissue through time such that:</w:t>
      </w:r>
    </w:p>
    <w:p>
      <w:pPr>
        <w:pStyle w:val="BodyText"/>
      </w:pPr>
      <w:r>
        <w:br w:type="textWrapping"/>
      </w:r>
      <w:r>
        <w:t xml:space="preserve">(4)</w:t>
      </w:r>
    </w:p>
    <w:p>
      <w:pPr>
        <w:pStyle w:val="BodyText"/>
      </w:pPr>
      <m:oMathPara>
        <m:oMathParaPr>
          <m:jc m:val="center"/>
        </m:oMathParaPr>
        <m:oMath>
          <m:f>
            <m:fPr>
              <m:type m:val="bar"/>
            </m:fPr>
            <m:num>
              <m:r>
                <m:rPr/>
                <m:t>d</m:t>
              </m:r>
              <m:sSub>
                <m:e>
                  <m:r>
                    <m:rPr/>
                    <m:t>M</m:t>
                  </m:r>
                </m:e>
                <m:sub>
                  <m:r>
                    <m:rPr/>
                    <m:t>c</m:t>
                  </m:r>
                </m:sub>
              </m:sSub>
            </m:num>
            <m:den>
              <m:r>
                <m:rPr/>
                <m:t>d</m:t>
              </m:r>
              <m:r>
                <m:rPr/>
                <m:t>t</m:t>
              </m:r>
            </m:den>
          </m:f>
          <m:r>
            <m:rPr/>
            <m:t>=</m:t>
          </m:r>
          <m:sSub>
            <m:e>
              <m:r>
                <m:rPr/>
                <m:t>a</m:t>
              </m:r>
            </m:e>
            <m:sub>
              <m:r>
                <m:rPr/>
                <m:t>c</m:t>
              </m:r>
            </m:sub>
          </m:sSub>
          <m:r>
            <m:rPr/>
            <m:t>N</m:t>
          </m:r>
          <m:r>
            <m:rPr/>
            <m:t>P</m:t>
          </m:r>
          <m:r>
            <m:rPr/>
            <m:t>P</m:t>
          </m:r>
          <m:r>
            <m:rPr/>
            <m:t>−</m:t>
          </m:r>
          <m:sSub>
            <m:e>
              <m:r>
                <m:rPr/>
                <m:t>λ</m:t>
              </m:r>
            </m:e>
            <m:sub>
              <m:r>
                <m:rPr/>
                <m:t>c</m:t>
              </m:r>
            </m:sub>
          </m:sSub>
          <m:sSub>
            <m:e>
              <m:r>
                <m:rPr/>
                <m:t>M</m:t>
              </m:r>
            </m:e>
            <m:sub>
              <m:r>
                <m:rPr/>
                <m:t>c</m:t>
              </m:r>
            </m:sub>
          </m:sSub>
        </m:oMath>
      </m:oMathPara>
    </w:p>
    <w:p>
      <w:pPr>
        <w:pStyle w:val="BodyText"/>
      </w:pPr>
      <w:r>
        <w:t xml:space="preserve">where</w:t>
      </w:r>
      <w:r>
        <w:t xml:space="preserve"> </w:t>
      </w:r>
      <m:oMath>
        <m:sSub>
          <m:e>
            <m:r>
              <m:rPr>
                <m:sty m:val="p"/>
              </m:rPr>
              <m:t>M</m:t>
            </m:r>
          </m:e>
          <m:sub>
            <m:r>
              <m:rPr/>
              <m:t>c</m:t>
            </m:r>
          </m:sub>
        </m:sSub>
      </m:oMath>
      <w:r>
        <w:t xml:space="preserve"> </w:t>
      </w:r>
      <w:r>
        <w:t xml:space="preserve">is the standing C mass of a component (g C),</w:t>
      </w:r>
      <w:r>
        <w:t xml:space="preserve"> </w:t>
      </w:r>
      <m:oMath>
        <m:sSub>
          <m:e>
            <m:r>
              <m:rPr>
                <m:sty m:val="p"/>
              </m:rPr>
              <m:t>a</m:t>
            </m:r>
          </m:e>
          <m:sub>
            <m:r>
              <m:rPr/>
              <m:t>c</m:t>
            </m:r>
          </m:sub>
        </m:sSub>
      </m:oMath>
      <w:r>
        <w:t xml:space="preserve"> </w:t>
      </w:r>
      <w:r>
        <w:t xml:space="preserve">is the allocation to that component (0-1) and</w:t>
      </w:r>
      <w:r>
        <w:t xml:space="preserve"> </w:t>
      </w:r>
      <m:oMath>
        <m:sSub>
          <m:e>
            <m:r>
              <m:rPr/>
              <m:t>λ</m:t>
            </m:r>
          </m:e>
          <m:sub>
            <m:r>
              <m:rPr/>
              <m:t>c</m:t>
            </m:r>
          </m:sub>
        </m:sSub>
      </m:oMath>
      <w:r>
        <w:t xml:space="preserve"> </w:t>
      </w:r>
      <w:r>
        <w:t xml:space="preserve">is the component specific turnover (d</w:t>
      </w:r>
      <w:r>
        <w:rPr>
          <w:vertAlign w:val="superscript"/>
        </w:rPr>
        <w:t xml:space="preserve">-1</w:t>
      </w:r>
      <w:r>
        <w:t xml:space="preserve">).</w:t>
      </w:r>
    </w:p>
    <w:p>
      <w:pPr>
        <w:pStyle w:val="BodyText"/>
      </w:pPr>
      <w:r>
        <w:br w:type="textWrapping"/>
      </w:r>
      <w:r>
        <w:t xml:space="preserve">Here, total C allocation to leaves and aboveground wood (branches + bole) could be estimated from the sums of tissue C mass, net aboveground C flux and tissue turnover for each day of the experiment such that:</w:t>
      </w:r>
    </w:p>
    <w:p>
      <w:pPr>
        <w:pStyle w:val="BodyText"/>
      </w:pPr>
      <w:r>
        <w:br w:type="textWrapping"/>
      </w:r>
      <w:r>
        <w:t xml:space="preserve">(5)</w:t>
      </w:r>
    </w:p>
    <w:p>
      <w:pPr>
        <w:pStyle w:val="BodyText"/>
      </w:pPr>
      <m:oMathPara>
        <m:oMathParaPr>
          <m:jc m:val="center"/>
        </m:oMathParaPr>
        <m:oMath>
          <m:sSub>
            <m:e>
              <m:r>
                <m:rPr/>
                <m:t>M</m:t>
              </m:r>
            </m:e>
            <m:sub>
              <m:r>
                <m:rPr/>
                <m:t>c</m:t>
              </m:r>
              <m:r>
                <m:rPr/>
                <m:t>,</m:t>
              </m:r>
              <m:r>
                <m:rPr/>
                <m:t>T</m:t>
              </m:r>
            </m:sub>
          </m:sSub>
          <m:r>
            <m:rPr/>
            <m:t>=</m:t>
          </m:r>
          <m:r>
            <m:rPr/>
            <m:t>∫</m:t>
          </m:r>
          <m:sSub>
            <m:e>
              <m:r>
                <m:rPr/>
                <m:t>a</m:t>
              </m:r>
            </m:e>
            <m:sub>
              <m:r>
                <m:rPr/>
                <m:t>c</m:t>
              </m:r>
            </m:sub>
          </m:sSub>
          <m:sSub>
            <m:e>
              <m:r>
                <m:rPr/>
                <m:t>F</m:t>
              </m:r>
            </m:e>
            <m:sub>
              <m:r>
                <m:rPr/>
                <m:t>c</m:t>
              </m:r>
              <m:r>
                <m:rPr/>
                <m:t>,</m:t>
              </m:r>
              <m:r>
                <m:rPr/>
                <m:t>d</m:t>
              </m:r>
            </m:sub>
          </m:sSub>
          <m:r>
            <m:rPr/>
            <m:t>d</m:t>
          </m:r>
          <m:r>
            <m:rPr/>
            <m:t>t</m:t>
          </m:r>
          <m:r>
            <m:rPr/>
            <m:t>−</m:t>
          </m:r>
          <m:r>
            <m:rPr/>
            <m:t>∫</m:t>
          </m:r>
          <m:r>
            <m:rPr/>
            <m:t>λ</m:t>
          </m:r>
          <m:sSub>
            <m:e>
              <m:r>
                <m:rPr/>
                <m:t>M</m:t>
              </m:r>
            </m:e>
            <m:sub>
              <m:r>
                <m:rPr/>
                <m:t>c</m:t>
              </m:r>
            </m:sub>
          </m:sSub>
          <m:r>
            <m:rPr/>
            <m:t>d</m:t>
          </m:r>
          <m:r>
            <m:rPr/>
            <m:t>t</m:t>
          </m:r>
        </m:oMath>
      </m:oMathPara>
    </w:p>
    <w:p>
      <w:pPr>
        <w:pStyle w:val="BodyText"/>
      </w:pPr>
      <w:r>
        <w:t xml:space="preserve">where</w:t>
      </w:r>
      <w:r>
        <w:t xml:space="preserve"> </w:t>
      </w:r>
      <m:oMath>
        <m:sSub>
          <m:e>
            <m:r>
              <m:rPr>
                <m:sty m:val="p"/>
              </m:rPr>
              <m:t>M</m:t>
            </m:r>
          </m:e>
          <m:sub>
            <m:r>
              <m:rPr/>
              <m:t>c</m:t>
            </m:r>
            <m:r>
              <m:rPr/>
              <m:t>,</m:t>
            </m:r>
            <m:r>
              <m:rPr/>
              <m:t>T</m:t>
            </m:r>
          </m:sub>
        </m:sSub>
      </m:oMath>
      <w:r>
        <w:t xml:space="preserve"> </w:t>
      </w:r>
      <w:r>
        <w:t xml:space="preserve">is the total dry C mass of either leaves or wood and</w:t>
      </w:r>
      <w:r>
        <w:t xml:space="preserve"> </w:t>
      </w:r>
      <m:oMath>
        <m:sSub>
          <m:e>
            <m:r>
              <m:rPr>
                <m:sty m:val="p"/>
              </m:rPr>
              <m:t>F</m:t>
            </m:r>
          </m:e>
          <m:sub>
            <m:r>
              <m:rPr/>
              <m:t>c</m:t>
            </m:r>
            <m:r>
              <m:rPr/>
              <m:t>,</m:t>
            </m:r>
            <m:r>
              <m:rPr/>
              <m:t>d</m:t>
            </m:r>
          </m:sub>
        </m:sSub>
      </m:oMath>
      <w:r>
        <w:t xml:space="preserve"> </w:t>
      </w:r>
      <w:r>
        <w:t xml:space="preserve">is the daily net aboveground C uptake (g C d</w:t>
      </w:r>
      <w:r>
        <w:rPr>
          <w:vertAlign w:val="superscript"/>
        </w:rPr>
        <w:t xml:space="preserve">-1</w:t>
      </w:r>
      <w:r>
        <w:t xml:space="preserve">). From equation 5, we estimated allocation by solving for</w:t>
      </w:r>
      <w:r>
        <w:t xml:space="preserve"> </w:t>
      </w:r>
      <m:oMath>
        <m:sSub>
          <m:e>
            <m:r>
              <m:rPr>
                <m:sty m:val="p"/>
              </m:rPr>
              <m:t>a</m:t>
            </m:r>
          </m:e>
          <m:sub>
            <m:r>
              <m:rPr/>
              <m:t>c</m:t>
            </m:r>
          </m:sub>
        </m:sSub>
      </m:oMath>
      <w:r>
        <w:t xml:space="preserve"> </w:t>
      </w:r>
      <w:r>
        <w:t xml:space="preserve">(as all other components were measured). For example, C allocation to leaves (</w:t>
      </w:r>
      <m:oMath>
        <m:sSub>
          <m:e>
            <m:r>
              <m:rPr>
                <m:sty m:val="p"/>
              </m:rPr>
              <m:t>a</m:t>
            </m:r>
          </m:e>
          <m:sub>
            <m:r>
              <m:rPr/>
              <m:t>l</m:t>
            </m:r>
          </m:sub>
        </m:sSub>
      </m:oMath>
      <w:r>
        <w:t xml:space="preserve">) was determined by combining measurements of harvested dry C mass of leaves (</w:t>
      </w:r>
      <m:oMath>
        <m:sSub>
          <m:e>
            <m:r>
              <m:rPr>
                <m:sty m:val="p"/>
              </m:rPr>
              <m:t>M</m:t>
            </m:r>
          </m:e>
          <m:sub>
            <m:r>
              <m:rPr/>
              <m:t>l</m:t>
            </m:r>
            <m:r>
              <m:rPr/>
              <m:t>,</m:t>
            </m:r>
            <m:r>
              <m:rPr/>
              <m:t>T</m:t>
            </m:r>
          </m:sub>
        </m:sSub>
      </m:oMath>
      <w:r>
        <w:t xml:space="preserve">) with</w:t>
      </w:r>
      <w:r>
        <w:t xml:space="preserve"> </w:t>
      </w:r>
      <m:oMath>
        <m:sSub>
          <m:e>
            <m:r>
              <m:rPr>
                <m:sty m:val="p"/>
              </m:rPr>
              <m:t>F</m:t>
            </m:r>
          </m:e>
          <m:sub>
            <m:r>
              <m:rPr/>
              <m:t>c</m:t>
            </m:r>
            <m:r>
              <m:rPr/>
              <m:t>,</m:t>
            </m:r>
            <m:r>
              <m:rPr/>
              <m:t>T</m:t>
            </m:r>
          </m:sub>
        </m:sSub>
      </m:oMath>
      <w:r>
        <w:t xml:space="preserve"> </w:t>
      </w:r>
      <w:r>
        <w:t xml:space="preserve">and total litterfall (</w:t>
      </w:r>
      <m:oMath>
        <m:sSub>
          <m:e>
            <m:r>
              <m:rPr>
                <m:sty m:val="p"/>
              </m:rPr>
              <m:t>L</m:t>
            </m:r>
          </m:e>
          <m:sub>
            <m:r>
              <m:rPr/>
              <m:t>l</m:t>
            </m:r>
            <m:r>
              <m:rPr/>
              <m:t>,</m:t>
            </m:r>
            <m:r>
              <m:rPr/>
              <m:t>T</m:t>
            </m:r>
          </m:sub>
        </m:sSub>
      </m:oMath>
      <w:r>
        <w:t xml:space="preserve">), giving:</w:t>
      </w:r>
    </w:p>
    <w:p>
      <w:pPr>
        <w:pStyle w:val="BodyText"/>
      </w:pPr>
      <w:r>
        <w:br w:type="textWrapping"/>
      </w:r>
      <w:r>
        <w:t xml:space="preserve">(6)</w:t>
      </w:r>
    </w:p>
    <w:p>
      <w:pPr>
        <w:pStyle w:val="BodyText"/>
      </w:pPr>
      <m:oMathPara>
        <m:oMathParaPr>
          <m:jc m:val="center"/>
        </m:oMathParaPr>
        <m:oMath>
          <m:sSub>
            <m:e>
              <m:r>
                <m:rPr/>
                <m:t>M</m:t>
              </m:r>
            </m:e>
            <m:sub>
              <m:r>
                <m:rPr/>
                <m:t>l</m:t>
              </m:r>
              <m:r>
                <m:rPr/>
                <m:t>,</m:t>
              </m:r>
              <m:r>
                <m:rPr/>
                <m:t>T</m:t>
              </m:r>
            </m:sub>
          </m:sSub>
          <m:r>
            <m:rPr/>
            <m:t>=</m:t>
          </m:r>
          <m:sSub>
            <m:e>
              <m:r>
                <m:rPr/>
                <m:t>a</m:t>
              </m:r>
            </m:e>
            <m:sub>
              <m:r>
                <m:rPr/>
                <m:t>l</m:t>
              </m:r>
            </m:sub>
          </m:sSub>
          <m:sSub>
            <m:e>
              <m:r>
                <m:rPr/>
                <m:t>F</m:t>
              </m:r>
            </m:e>
            <m:sub>
              <m:r>
                <m:rPr/>
                <m:t>c</m:t>
              </m:r>
              <m:r>
                <m:rPr/>
                <m:t>,</m:t>
              </m:r>
              <m:r>
                <m:rPr/>
                <m:t>T</m:t>
              </m:r>
            </m:sub>
          </m:sSub>
          <m:r>
            <m:rPr/>
            <m:t>−</m:t>
          </m:r>
          <m:sSub>
            <m:e>
              <m:r>
                <m:rPr/>
                <m:t>L</m:t>
              </m:r>
            </m:e>
            <m:sub>
              <m:r>
                <m:rPr/>
                <m:t>l</m:t>
              </m:r>
              <m:r>
                <m:rPr/>
                <m:t>,</m:t>
              </m:r>
              <m:r>
                <m:rPr/>
                <m:t>t</m:t>
              </m:r>
            </m:sub>
          </m:sSub>
        </m:oMath>
      </m:oMathPara>
    </w:p>
    <w:p>
      <w:pPr>
        <w:pStyle w:val="BodyText"/>
      </w:pPr>
      <w:r>
        <w:t xml:space="preserve">and then solving for leaf C allocation:</w:t>
      </w:r>
    </w:p>
    <w:p>
      <w:pPr>
        <w:pStyle w:val="BodyText"/>
      </w:pPr>
      <w:r>
        <w:br w:type="textWrapping"/>
      </w:r>
      <w:r>
        <w:t xml:space="preserve">(7)</w:t>
      </w:r>
    </w:p>
    <w:p>
      <w:pPr>
        <w:pStyle w:val="BodyText"/>
      </w:pPr>
      <m:oMathPara>
        <m:oMathParaPr>
          <m:jc m:val="center"/>
        </m:oMathParaPr>
        <m:oMath>
          <m:sSub>
            <m:e>
              <m:r>
                <m:rPr/>
                <m:t>a</m:t>
              </m:r>
            </m:e>
            <m:sub>
              <m:r>
                <m:rPr/>
                <m:t>l</m:t>
              </m:r>
            </m:sub>
          </m:sSub>
          <m:r>
            <m:rPr/>
            <m:t>=</m:t>
          </m:r>
          <m:r>
            <m:rPr/>
            <m:t>(</m:t>
          </m:r>
          <m:sSub>
            <m:e>
              <m:r>
                <m:rPr/>
                <m:t>M</m:t>
              </m:r>
            </m:e>
            <m:sub>
              <m:r>
                <m:rPr/>
                <m:t>l</m:t>
              </m:r>
              <m:r>
                <m:rPr/>
                <m:t>,</m:t>
              </m:r>
              <m:r>
                <m:rPr/>
                <m:t>t</m:t>
              </m:r>
            </m:sub>
          </m:sSub>
          <m:r>
            <m:rPr/>
            <m:t>−</m:t>
          </m:r>
          <m:sSub>
            <m:e>
              <m:r>
                <m:rPr/>
                <m:t>L</m:t>
              </m:r>
            </m:e>
            <m:sub>
              <m:r>
                <m:rPr/>
                <m:t>l</m:t>
              </m:r>
              <m:r>
                <m:rPr/>
                <m:t>,</m:t>
              </m:r>
              <m:r>
                <m:rPr/>
                <m:t>t</m:t>
              </m:r>
            </m:sub>
          </m:sSub>
          <m:r>
            <m:rPr/>
            <m:t>)</m:t>
          </m:r>
          <m:r>
            <m:rPr/>
            <m:t>/</m:t>
          </m:r>
          <m:sSub>
            <m:e>
              <m:r>
                <m:rPr/>
                <m:t>F</m:t>
              </m:r>
            </m:e>
            <m:sub>
              <m:r>
                <m:rPr/>
                <m:t>c</m:t>
              </m:r>
              <m:r>
                <m:rPr/>
                <m:t>,</m:t>
              </m:r>
              <m:r>
                <m:rPr/>
                <m:t>t</m:t>
              </m:r>
            </m:sub>
          </m:sSub>
        </m:oMath>
      </m:oMathPara>
    </w:p>
    <w:p>
      <w:pPr>
        <w:pStyle w:val="BodyText"/>
      </w:pPr>
      <w:r>
        <w:br w:type="textWrapping"/>
      </w:r>
      <w:r>
        <w:t xml:space="preserve">Allocation to aboveground wood C was estimated in the same manner with turnover measured as total dry C mass of branch litter collected across the experiment. For roots, only total belowground C allocation (TBCA) could be calculated (explained below) since root turnover was not measured.</w:t>
      </w:r>
    </w:p>
    <w:p>
      <w:pPr>
        <w:pStyle w:val="Heading2"/>
      </w:pPr>
      <w:bookmarkStart w:id="33" w:name="total-belowground-carbon-allocation"/>
      <w:bookmarkEnd w:id="33"/>
      <w:r>
        <w:t xml:space="preserve">4.3.10 Total belowground carbon allocation</w:t>
      </w:r>
    </w:p>
    <w:p>
      <w:pPr>
        <w:pStyle w:val="FirstParagraph"/>
      </w:pPr>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w:t>
      </w:r>
      <w:r>
        <w:t xml:space="preserve"> </w:t>
      </w:r>
      <w:r>
        <w:rPr>
          <w:i/>
        </w:rPr>
        <w:t xml:space="preserve">t</w:t>
      </w:r>
      <w:r>
        <w:t xml:space="preserve"> </w:t>
      </w:r>
      <w:r>
        <w:t xml:space="preserve">was calculated as:</w:t>
      </w:r>
    </w:p>
    <w:p>
      <w:pPr>
        <w:pStyle w:val="BodyText"/>
      </w:pPr>
      <w:r>
        <w:br w:type="textWrapping"/>
      </w:r>
      <w:r>
        <w:t xml:space="preserve">(8)</w:t>
      </w:r>
    </w:p>
    <w:p>
      <w:pPr>
        <w:pStyle w:val="BodyText"/>
      </w:pPr>
      <m:oMathPara>
        <m:oMathParaPr>
          <m:jc m:val="center"/>
        </m:oMathParaPr>
        <m:oMath>
          <m:r>
            <m:rPr/>
            <m:t>T</m:t>
          </m:r>
          <m:r>
            <m:rPr/>
            <m:t>B</m:t>
          </m:r>
          <m:r>
            <m:rPr/>
            <m:t>C</m:t>
          </m:r>
          <m:sSub>
            <m:e>
              <m:r>
                <m:rPr/>
                <m:t>A</m:t>
              </m:r>
            </m:e>
            <m:sub>
              <m:r>
                <m:rPr/>
                <m:t>t</m:t>
              </m:r>
            </m:sub>
          </m:sSub>
          <m:r>
            <m:rPr/>
            <m:t>=</m:t>
          </m:r>
          <m:nary>
            <m:naryPr>
              <m:chr m:val="∫"/>
              <m:limLoc m:val="subSup"/>
              <m:supHide m:val="off"/>
              <m:supHide m:val="off"/>
            </m:naryPr>
            <m:e>
              <m:sSub>
                <m:e>
                  <m:r>
                    <m:rPr/>
                    <m:t>F</m:t>
                  </m:r>
                </m:e>
                <m:sub>
                  <m:r>
                    <m:rPr/>
                    <m:t>c</m:t>
                  </m:r>
                  <m:r>
                    <m:rPr/>
                    <m:t>,</m:t>
                  </m:r>
                  <m:r>
                    <m:rPr/>
                    <m:t>d</m:t>
                  </m:r>
                </m:sub>
              </m:sSub>
            </m:e>
            <m:sub>
              <m:r>
                <m:rPr/>
                <m:t>0</m:t>
              </m:r>
            </m:sub>
            <m:sup>
              <m:r>
                <m:rPr/>
                <m:t>t</m:t>
              </m:r>
            </m:sup>
          </m:nary>
          <m:r>
            <m:rPr/>
            <m:t>d</m:t>
          </m:r>
          <m:r>
            <m:rPr/>
            <m:t>t</m:t>
          </m:r>
          <m:r>
            <m:rPr/>
            <m:t>−</m:t>
          </m:r>
          <m:sSub>
            <m:e>
              <m:r>
                <m:rPr/>
                <m:t>C</m:t>
              </m:r>
            </m:e>
            <m:sub>
              <m:r>
                <m:rPr/>
                <m:t>a</m:t>
              </m:r>
              <m:r>
                <m:rPr/>
                <m:t>b</m:t>
              </m:r>
            </m:sub>
          </m:sSub>
        </m:oMath>
      </m:oMathPara>
    </w:p>
    <w:p>
      <w:pPr>
        <w:pStyle w:val="BodyText"/>
      </w:pPr>
      <w:r>
        <w:t xml:space="preserve">where</w:t>
      </w:r>
      <w:r>
        <w:t xml:space="preserve"> </w:t>
      </w:r>
      <m:oMath>
        <m:sSub>
          <m:e>
            <m:r>
              <m:rPr>
                <m:sty m:val="p"/>
              </m:rPr>
              <m:t>C</m:t>
            </m:r>
          </m:e>
          <m:sub>
            <m:r>
              <m:rPr/>
              <m:t>a</m:t>
            </m:r>
            <m:r>
              <m:rPr/>
              <m:t>b</m:t>
            </m:r>
          </m:sub>
        </m:sSub>
      </m:oMath>
      <w:r>
        <w:t xml:space="preserve"> </w:t>
      </w:r>
      <w:r>
        <w:t xml:space="preserve">is the aboveground standing crop C mass (g C) of stems, branches, leaves and total leaf litterfall. As the final standing crop of root biomass was known, TBCA could be further broken down into the total C mass of roots (</w:t>
      </w:r>
      <m:oMath>
        <m:sSub>
          <m:e>
            <m:r>
              <m:rPr>
                <m:sty m:val="p"/>
              </m:rPr>
              <m:t>C</m:t>
            </m:r>
          </m:e>
          <m:sub>
            <m:r>
              <m:rPr/>
              <m:t>r</m:t>
            </m:r>
            <m:r>
              <m:rPr/>
              <m:t>,</m:t>
            </m:r>
            <m:r>
              <m:rPr/>
              <m:t>T</m:t>
            </m:r>
          </m:sub>
        </m:sSub>
      </m:oMath>
      <w:r>
        <w:t xml:space="preserve">) and the residual belowground C flux (</w:t>
      </w:r>
      <m:oMath>
        <m:sSub>
          <m:e>
            <m:r>
              <m:rPr>
                <m:sty m:val="p"/>
              </m:rPr>
              <m:t>F</m:t>
            </m:r>
          </m:e>
          <m:sub>
            <m:r>
              <m:rPr/>
              <m:t>c</m:t>
            </m:r>
            <m:r>
              <m:rPr/>
              <m:t>,</m:t>
            </m:r>
            <m:r>
              <m:rPr/>
              <m:t>r</m:t>
            </m:r>
          </m:sub>
        </m:sSub>
      </m:oMath>
      <w:r>
        <w:t xml:space="preserve">). The residual belowground C flux includes root and microbial respiration, root turnover, root exudation and any unaccounted for root C mass. The use of aboveground allometry to interpolate</w:t>
      </w:r>
      <w:r>
        <w:t xml:space="preserve"> </w:t>
      </w:r>
      <m:oMath>
        <m:sSub>
          <m:e>
            <m:r>
              <m:rPr>
                <m:sty m:val="p"/>
              </m:rPr>
              <m:t>C</m:t>
            </m:r>
          </m:e>
          <m:sub>
            <m:r>
              <m:rPr/>
              <m:t>a</m:t>
            </m:r>
            <m:r>
              <m:rPr/>
              <m:t>b</m:t>
            </m:r>
          </m:sub>
        </m:sSub>
      </m:oMath>
      <w:r>
        <w:t xml:space="preserve"> </w:t>
      </w:r>
      <w:r>
        <w:t xml:space="preserve">through time combined with measured daily</w:t>
      </w:r>
      <w:r>
        <w:t xml:space="preserve"> </w:t>
      </w:r>
      <m:oMath>
        <m:sSub>
          <m:e>
            <m:r>
              <m:rPr>
                <m:sty m:val="p"/>
              </m:rPr>
              <m:t>F</m:t>
            </m:r>
          </m:e>
          <m:sub>
            <m:r>
              <m:rPr/>
              <m:t>c</m:t>
            </m:r>
            <m:r>
              <m:rPr/>
              <m:t>,</m:t>
            </m:r>
            <m:r>
              <m:rPr/>
              <m:t>d</m:t>
            </m:r>
          </m:sub>
        </m:sSub>
      </m:oMath>
      <w:r>
        <w:t xml:space="preserve"> </w:t>
      </w:r>
      <w:r>
        <w:t xml:space="preserve">allowed TBCA to be estimated on daily time steps over the final eleven months of the experiment while cumulative</w:t>
      </w:r>
      <w:r>
        <w:t xml:space="preserve"> </w:t>
      </w:r>
      <m:oMath>
        <m:sSub>
          <m:e>
            <m:r>
              <m:rPr>
                <m:sty m:val="p"/>
              </m:rPr>
              <m:t>F</m:t>
            </m:r>
          </m:e>
          <m:sub>
            <m:r>
              <m:rPr/>
              <m:t>c</m:t>
            </m:r>
            <m:r>
              <m:rPr/>
              <m:t>,</m:t>
            </m:r>
            <m:r>
              <m:rPr/>
              <m:t>r</m:t>
            </m:r>
          </m:sub>
        </m:sSub>
      </m:oMath>
      <w:r>
        <w:t xml:space="preserve"> </w:t>
      </w:r>
      <w:r>
        <w:t xml:space="preserve">was calculated at the final harvest.</w:t>
      </w:r>
    </w:p>
    <w:p>
      <w:pPr>
        <w:pStyle w:val="Heading2"/>
      </w:pPr>
      <w:bookmarkStart w:id="34" w:name="mass-balance-relationships-between-textf_cd-and-carbon-allocation."/>
      <w:bookmarkEnd w:id="34"/>
      <w:r>
        <w:t xml:space="preserve">4.3.11 Mass balance relationships between</w:t>
      </w:r>
      <w:r>
        <w:t xml:space="preserve"> </w:t>
      </w:r>
      <m:oMath>
        <m:sSub>
          <m:e>
            <m:r>
              <m:rPr>
                <m:sty m:val="p"/>
              </m:rPr>
              <m:t>F</m:t>
            </m:r>
          </m:e>
          <m:sub>
            <m:r>
              <m:rPr/>
              <m:t>c</m:t>
            </m:r>
            <m:r>
              <m:rPr/>
              <m:t>,</m:t>
            </m:r>
            <m:r>
              <m:rPr/>
              <m:t>d</m:t>
            </m:r>
          </m:sub>
        </m:sSub>
      </m:oMath>
      <w:r>
        <w:t xml:space="preserve"> </w:t>
      </w:r>
      <w:r>
        <w:t xml:space="preserve">and carbon allocation.</w:t>
      </w:r>
    </w:p>
    <w:p>
      <w:pPr>
        <w:pStyle w:val="FirstParagraph"/>
      </w:pPr>
      <w:r>
        <w:t xml:space="preserve">The cumulative sum of</w:t>
      </w:r>
      <w:r>
        <w:t xml:space="preserve"> </w:t>
      </w:r>
      <m:oMath>
        <m:sSub>
          <m:e>
            <m:r>
              <m:rPr>
                <m:sty m:val="p"/>
              </m:rPr>
              <m:t>F</m:t>
            </m:r>
          </m:e>
          <m:sub>
            <m:r>
              <m:rPr/>
              <m:t>c</m:t>
            </m:r>
            <m:r>
              <m:rPr/>
              <m:t>,</m:t>
            </m:r>
            <m:r>
              <m:rPr/>
              <m:t>d</m:t>
            </m:r>
          </m:sub>
        </m:sSub>
      </m:oMath>
      <w:r>
        <w:t xml:space="preserve"> </w:t>
      </w:r>
      <w:r>
        <w:t xml:space="preserve">for each WTC, at any given time point, represented the running total of net C uptake since the chamber floors were installed. Daily allocation of C to boles and branches was estimated by linear interpolation between 14-day survey measurements and the final harvest, starting at the first branch survey (April 2008). These daily estimates of leaf and litter C were added to bole and branch C mass to estimate</w:t>
      </w:r>
      <w:r>
        <w:t xml:space="preserve"> </w:t>
      </w:r>
      <m:oMath>
        <m:sSub>
          <m:e>
            <m:r>
              <m:rPr>
                <m:sty m:val="p"/>
              </m:rPr>
              <m:t>C</m:t>
            </m:r>
          </m:e>
          <m:sub>
            <m:r>
              <m:rPr/>
              <m:t>a</m:t>
            </m:r>
            <m:r>
              <m:rPr/>
              <m:t>b</m:t>
            </m:r>
          </m:sub>
        </m:sSub>
      </m:oMath>
      <w:r>
        <w:t xml:space="preserve"> </w:t>
      </w:r>
      <w:r>
        <w:t xml:space="preserve">on any given day. The contribution of each aboveground component to the cumulative sum of</w:t>
      </w:r>
      <w:r>
        <w:t xml:space="preserve"> </w:t>
      </w:r>
      <m:oMath>
        <m:sSub>
          <m:e>
            <m:r>
              <m:rPr>
                <m:sty m:val="p"/>
              </m:rPr>
              <m:t>F</m:t>
            </m:r>
          </m:e>
          <m:sub>
            <m:r>
              <m:rPr/>
              <m:t>c</m:t>
            </m:r>
            <m:r>
              <m:rPr/>
              <m:t>,</m:t>
            </m:r>
            <m:r>
              <m:rPr/>
              <m:t>d</m:t>
            </m:r>
          </m:sub>
        </m:sSub>
      </m:oMath>
      <w:r>
        <w:t xml:space="preserve"> </w:t>
      </w:r>
      <w:r>
        <w:t xml:space="preserve">was then tracked from April 2008 to March 2009. The initial estimated C mass of each aboveground component and</w:t>
      </w:r>
      <w:r>
        <w:t xml:space="preserve"> </w:t>
      </w:r>
      <m:oMath>
        <m:sSub>
          <m:e>
            <m:r>
              <m:rPr>
                <m:sty m:val="p"/>
              </m:rPr>
              <m:t>F</m:t>
            </m:r>
          </m:e>
          <m:sub>
            <m:r>
              <m:rPr/>
              <m:t>c</m:t>
            </m:r>
            <m:r>
              <m:rPr/>
              <m:t>,</m:t>
            </m:r>
            <m:r>
              <m:rPr/>
              <m:t>d</m:t>
            </m:r>
            <m:r>
              <m:rPr/>
              <m:t> </m:t>
            </m:r>
          </m:sub>
        </m:sSub>
      </m:oMath>
      <w:r>
        <w:t xml:space="preserve"> </w:t>
      </w:r>
      <w:r>
        <w:t xml:space="preserve">on the day when chamber floors were installed was subtracted from all respective daily values so mass balance could be tracked with a 0 starting value. This allowed cumultaive estimates of TBCA to be generated across the final 11 months of the experiment. Additionally, the significant log-linear relationship between above and belowground mass of both harvested trees and potted seedlings (R</w:t>
      </w:r>
      <w:r>
        <w:rPr>
          <w:vertAlign w:val="superscript"/>
        </w:rPr>
        <w:t xml:space="preserve">2</w:t>
      </w:r>
      <w:r>
        <w:t xml:space="preserve"> </w:t>
      </w:r>
      <w:r>
        <w:t xml:space="preserve">= 0.98, Figure 4.S1) was used to estimate</w:t>
      </w:r>
      <w:r>
        <w:t xml:space="preserve"> </w:t>
      </w:r>
      <m:oMath>
        <m:sSub>
          <m:e>
            <m:r>
              <m:rPr>
                <m:sty m:val="p"/>
              </m:rPr>
              <m:t>C</m:t>
            </m:r>
          </m:e>
          <m:sub>
            <m:r>
              <m:rPr/>
              <m:t>r</m:t>
            </m:r>
            <m:r>
              <m:rPr/>
              <m:t>,</m:t>
            </m:r>
            <m:r>
              <m:rPr/>
              <m:t>T</m:t>
            </m:r>
          </m:sub>
        </m:sSub>
      </m:oMath>
      <w:r>
        <w:t xml:space="preserve"> </w:t>
      </w:r>
      <w:r>
        <w:t xml:space="preserve">from</w:t>
      </w:r>
      <w:r>
        <w:t xml:space="preserve"> </w:t>
      </w:r>
      <m:oMath>
        <m:sSub>
          <m:e>
            <m:r>
              <m:rPr>
                <m:sty m:val="p"/>
              </m:rPr>
              <m:t>C</m:t>
            </m:r>
          </m:e>
          <m:sub>
            <m:r>
              <m:rPr/>
              <m:t>a</m:t>
            </m:r>
            <m:r>
              <m:rPr/>
              <m:t>b</m:t>
            </m:r>
          </m:sub>
        </m:sSub>
      </m:oMath>
      <w:r>
        <w:t xml:space="preserve"> </w:t>
      </w:r>
      <w:r>
        <w:t xml:space="preserve">on the last day of the 11 month period. The major carbon allocation pathways and subsequent above- and belowground C pools measured in each WTC are further depicted in Figure 4.1.</w:t>
      </w:r>
    </w:p>
    <w:p>
      <w:pPr>
        <w:pStyle w:val="BodyText"/>
      </w:pPr>
      <w:r>
        <w:br w:type="textWrapping"/>
      </w:r>
    </w:p>
    <w:p>
      <w:pPr>
        <w:pStyle w:val="SourceCode"/>
      </w:pPr>
      <w:r>
        <w:rPr>
          <w:rStyle w:val="VerbatimChar"/>
        </w:rPr>
        <w:t xml:space="preserve">## Error in library(png): there is no package called 'png'</w:t>
      </w:r>
    </w:p>
    <w:p>
      <w:pPr>
        <w:pStyle w:val="SourceCode"/>
      </w:pPr>
      <w:r>
        <w:rPr>
          <w:rStyle w:val="VerbatimChar"/>
        </w:rPr>
        <w:t xml:space="preserve">## Error in eval(expr, envir, enclos): could not find function "readPNG"</w:t>
      </w:r>
    </w:p>
    <w:p>
      <w:pPr>
        <w:pStyle w:val="FirstParagraph"/>
      </w:pPr>
      <w:r>
        <w:drawing>
          <wp:inline>
            <wp:extent cx="5422900" cy="4067175"/>
            <wp:effectExtent b="0" l="0" r="0" t="0"/>
            <wp:docPr descr="" id="1" name="Picture"/>
            <a:graphic>
              <a:graphicData uri="http://schemas.openxmlformats.org/drawingml/2006/picture">
                <pic:pic>
                  <pic:nvPicPr>
                    <pic:cNvPr descr="wtc1_manuscript_files/figure-docx/concept-1.png" id="0" name="Picture"/>
                    <pic:cNvPicPr>
                      <a:picLocks noChangeArrowheads="1" noChangeAspect="1"/>
                    </pic:cNvPicPr>
                  </pic:nvPicPr>
                  <pic:blipFill>
                    <a:blip r:embed="rId35"/>
                    <a:stretch>
                      <a:fillRect/>
                    </a:stretch>
                  </pic:blipFill>
                  <pic:spPr bwMode="auto">
                    <a:xfrm>
                      <a:off x="0" y="0"/>
                      <a:ext cx="5422900" cy="4067175"/>
                    </a:xfrm>
                    <a:prstGeom prst="rect">
                      <a:avLst/>
                    </a:prstGeom>
                    <a:noFill/>
                    <a:ln w="9525">
                      <a:noFill/>
                      <a:headEnd/>
                      <a:tailEnd/>
                    </a:ln>
                  </pic:spPr>
                </pic:pic>
              </a:graphicData>
            </a:graphic>
          </wp:inline>
        </w:drawing>
      </w:r>
    </w:p>
    <w:p>
      <w:pPr>
        <w:pStyle w:val="SourceCode"/>
      </w:pPr>
      <w:r>
        <w:rPr>
          <w:rStyle w:val="VerbatimChar"/>
        </w:rPr>
        <w:t xml:space="preserve">## Error in rasterImage(concept, xleft = 0, ybottom = 0, xright = 1, ytop = 1): object 'concept' not found</w:t>
      </w:r>
    </w:p>
    <w:p>
      <w:pPr>
        <w:pStyle w:val="FirstParagraph"/>
      </w:pPr>
      <w:r>
        <w:br w:type="textWrapping"/>
      </w:r>
      <w:r>
        <w:rPr>
          <w:b/>
        </w:rPr>
        <w:t xml:space="preserve">Figure 4.1</w:t>
      </w:r>
      <w:r>
        <w:t xml:space="preserve">. Conceptual diagram depicting the major components of C flow among plant components including; uptake via photosynthesis, allocation to component tissues, tissue respiration and root exudation. Mass pools of leaves, wood and roots include tissue turnover. Net aboveground C uptake (</w:t>
      </w:r>
      <m:oMath>
        <m:sSub>
          <m:e>
            <m:r>
              <m:rPr>
                <m:sty m:val="p"/>
              </m:rPr>
              <m:t>F</m:t>
            </m:r>
          </m:e>
          <m:sub>
            <m:r>
              <m:rPr/>
              <m:t>c</m:t>
            </m:r>
          </m:sub>
        </m:sSub>
      </m:oMath>
      <w:r>
        <w:t xml:space="preserve">), shown in the shaded box, represents the flux of C measured within each WTC. With the WTC experimental design, total belowground C allocation (TBCA) is measured as the residual between</w:t>
      </w:r>
      <w:r>
        <w:t xml:space="preserve"> </w:t>
      </w:r>
      <m:oMath>
        <m:sSub>
          <m:e>
            <m:r>
              <m:rPr>
                <m:sty m:val="p"/>
              </m:rPr>
              <m:t>F</m:t>
            </m:r>
          </m:e>
          <m:sub>
            <m:r>
              <m:rPr/>
              <m:t>c</m:t>
            </m:r>
            <m:r>
              <m:rPr/>
              <m:t>,</m:t>
            </m:r>
            <m:r>
              <m:rPr/>
              <m:t>T</m:t>
            </m:r>
          </m:sub>
        </m:sSub>
      </m:oMath>
      <w:r>
        <w:t xml:space="preserve"> </w:t>
      </w:r>
      <w:r>
        <w:t xml:space="preserve">and total aboveground C mass.</w:t>
      </w:r>
    </w:p>
    <w:p>
      <w:pPr>
        <w:pStyle w:val="Heading2"/>
      </w:pPr>
      <w:bookmarkStart w:id="36" w:name="data-analysis"/>
      <w:bookmarkEnd w:id="36"/>
      <w:r>
        <w:t xml:space="preserve">4.3.12 Data analysis</w:t>
      </w:r>
    </w:p>
    <w:p>
      <w:pPr>
        <w:pStyle w:val="FirstParagraph"/>
      </w:pPr>
      <w:r>
        <w:t xml:space="preserve">Differences in experimental parameters in response to the interactice effects of CO</w:t>
      </w:r>
      <w:r>
        <w:rPr>
          <w:vertAlign w:val="subscript"/>
        </w:rPr>
        <w:t xml:space="preserve">2</w:t>
      </w:r>
      <w:r>
        <w:t xml:space="preserve"> </w:t>
      </w:r>
      <w:r>
        <w:t xml:space="preserve">and drought treatments at the final harvest were analysed as a completely randomized experimental design with factorial treatment combinations using two-way ANOVA in R</w:t>
      </w:r>
      <w:r>
        <w:t xml:space="preserve"> </w:t>
      </w:r>
      <w:r>
        <w:t xml:space="preserve">(R Development Core Team 2011)</w:t>
      </w:r>
      <w:r>
        <w:t xml:space="preserve">. Tukey's post-hoc tests were performed in conjunction with ANOVA to determine which specific paired comparisons among climate change treatments were different. Significance level was set at an alpha of 0.05 and findings between 0.05 and 0.10 were considered marginally significant.</w:t>
      </w:r>
    </w:p>
    <w:p>
      <w:pPr>
        <w:pStyle w:val="Heading1"/>
      </w:pPr>
      <w:bookmarkStart w:id="37" w:name="results"/>
      <w:bookmarkEnd w:id="37"/>
      <w:r>
        <w:t xml:space="preserve">4.4 Results</w:t>
      </w:r>
    </w:p>
    <w:p>
      <w:pPr>
        <w:pStyle w:val="Heading2"/>
      </w:pPr>
      <w:bookmarkStart w:id="38" w:name="total-aboveground-carbon-flux-whole-tree-c-mass-and-leaf-area"/>
      <w:bookmarkEnd w:id="38"/>
      <w:r>
        <w:t xml:space="preserve">4.4.1 Total aboveground carbon flux, whole tree C mass and leaf area</w:t>
      </w:r>
    </w:p>
    <w:p>
      <w:pPr>
        <w:pStyle w:val="FirstParagraph"/>
      </w:pPr>
      <w:r>
        <w:t xml:space="preserve">Both whole tree C and</w:t>
      </w:r>
      <w:r>
        <w:t xml:space="preserve"> </w:t>
      </w:r>
      <m:oMath>
        <m:sSub>
          <m:e>
            <m:r>
              <m:rPr>
                <m:sty m:val="p"/>
              </m:rPr>
              <m:t>C</m:t>
            </m:r>
          </m:e>
          <m:sub>
            <m:r>
              <m:rPr/>
              <m:t>a</m:t>
            </m:r>
            <m:r>
              <m:rPr/>
              <m:t>b</m:t>
            </m:r>
          </m:sub>
        </m:sSub>
      </m:oMath>
      <w:r>
        <w:t xml:space="preserve"> </w:t>
      </w:r>
      <w:r>
        <w:t xml:space="preserve">from the final harvest were reduced in eC</w:t>
      </w:r>
      <w:r>
        <w:rPr>
          <w:vertAlign w:val="subscript"/>
        </w:rPr>
        <w:t xml:space="preserve">a</w:t>
      </w:r>
      <w:r>
        <w:t xml:space="preserve"> </w:t>
      </w:r>
      <w:r>
        <w:t xml:space="preserve">treatments by 32 % (both P &lt; 0.03). Over the entire 11 month measured chamber flux period the summed aboveground C uptake (</w:t>
      </w:r>
      <m:oMath>
        <m:sSub>
          <m:e>
            <m:r>
              <m:rPr>
                <m:sty m:val="p"/>
              </m:rPr>
              <m:t>F</m:t>
            </m:r>
          </m:e>
          <m:sub>
            <m:r>
              <m:rPr/>
              <m:t>c</m:t>
            </m:r>
            <m:r>
              <m:rPr/>
              <m:t>,</m:t>
            </m:r>
            <m:r>
              <m:rPr/>
              <m:t>T</m:t>
            </m:r>
          </m:sub>
        </m:sSub>
      </m:oMath>
      <w:r>
        <w:t xml:space="preserve">) was significantly reduced by 30.5 % in eC</w:t>
      </w:r>
      <w:r>
        <w:rPr>
          <w:vertAlign w:val="subscript"/>
        </w:rPr>
        <w:t xml:space="preserve">a</w:t>
      </w:r>
      <w:r>
        <w:t xml:space="preserve"> </w:t>
      </w:r>
      <w:r>
        <w:t xml:space="preserve">treatments (P = 0.043), while no effects of the drought treatment were detected (Table 4.1).</w:t>
      </w:r>
      <w:r>
        <w:t xml:space="preserve"> </w:t>
      </w:r>
      <m:oMath>
        <m:sSub>
          <m:e>
            <m:r>
              <m:rPr>
                <m:sty m:val="p"/>
              </m:rPr>
              <m:t>F</m:t>
            </m:r>
          </m:e>
          <m:sub>
            <m:r>
              <m:rPr/>
              <m:t>c</m:t>
            </m:r>
            <m:r>
              <m:rPr/>
              <m:t>,</m:t>
            </m:r>
            <m:r>
              <m:rPr/>
              <m:t>T</m:t>
            </m:r>
          </m:sub>
        </m:sSub>
      </m:oMath>
      <w:r>
        <w:t xml:space="preserve"> </w:t>
      </w:r>
      <w:r>
        <w:t xml:space="preserve">was positively correlated with estimates of both whole tree C (R</w:t>
      </w:r>
      <w:r>
        <w:rPr>
          <w:vertAlign w:val="superscript"/>
        </w:rPr>
        <w:t xml:space="preserve">2</w:t>
      </w:r>
      <w:r>
        <w:t xml:space="preserve"> </w:t>
      </w:r>
      <w:r>
        <w:t xml:space="preserve">= 0.74, Figure 4.2a) and</w:t>
      </w:r>
      <w:r>
        <w:t xml:space="preserve"> </w:t>
      </w:r>
      <m:oMath>
        <m:sSub>
          <m:e>
            <m:r>
              <m:rPr>
                <m:sty m:val="p"/>
              </m:rPr>
              <m:t>C</m:t>
            </m:r>
          </m:e>
          <m:sub>
            <m:r>
              <m:rPr/>
              <m:t>a</m:t>
            </m:r>
            <m:r>
              <m:rPr/>
              <m:t>b</m:t>
            </m:r>
          </m:sub>
        </m:sSub>
      </m:oMath>
      <w:r>
        <w:t xml:space="preserve"> </w:t>
      </w:r>
      <w:r>
        <w:t xml:space="preserve">(R</w:t>
      </w:r>
      <w:r>
        <w:rPr>
          <w:vertAlign w:val="superscript"/>
        </w:rPr>
        <w:t xml:space="preserve">2</w:t>
      </w:r>
      <w:r>
        <w:t xml:space="preserve"> </w:t>
      </w:r>
      <w:r>
        <w:t xml:space="preserve">= 0.69, Figure 4.2b) over the same time period. Whole tree C mass increment estimated during the chamber flux period represented ca. 75 % of total harvested tree C mass. As the majority of biomass production occurred during this period, the allometric estimates of whole tree C were used for comparison to</w:t>
      </w:r>
      <w:r>
        <w:t xml:space="preserve"> </w:t>
      </w:r>
      <m:oMath>
        <m:sSub>
          <m:e>
            <m:r>
              <m:rPr>
                <m:sty m:val="p"/>
              </m:rPr>
              <m:t>F</m:t>
            </m:r>
          </m:e>
          <m:sub>
            <m:r>
              <m:rPr/>
              <m:t>c</m:t>
            </m:r>
            <m:r>
              <m:rPr/>
              <m:t>,</m:t>
            </m:r>
            <m:r>
              <m:rPr/>
              <m:t>T</m:t>
            </m:r>
          </m:sub>
        </m:sSub>
      </m:oMath>
      <w:r>
        <w:t xml:space="preserve">.</w:t>
      </w:r>
    </w:p>
    <w:p>
      <w:pPr>
        <w:pStyle w:val="BodyText"/>
      </w:pPr>
      <w:r>
        <w:br w:type="textWrapping"/>
      </w:r>
      <w:r>
        <w:rPr>
          <w:b/>
        </w:rPr>
        <w:t xml:space="preserve">Table 4.1</w:t>
      </w:r>
      <w:r>
        <w:t xml:space="preserve">. Final harvest C mass of above and belowground tissues, cumulative aboveground tree C uptake (</w:t>
      </w:r>
      <m:oMath>
        <m:sSub>
          <m:e>
            <m:r>
              <m:rPr>
                <m:sty m:val="p"/>
              </m:rPr>
              <m:t>F</m:t>
            </m:r>
          </m:e>
          <m:sub>
            <m:r>
              <m:rPr/>
              <m:t>c</m:t>
            </m:r>
            <m:r>
              <m:rPr/>
              <m:t>,</m:t>
            </m:r>
            <m:r>
              <m:rPr/>
              <m:t>T</m:t>
            </m:r>
          </m:sub>
        </m:sSub>
      </m:oMath>
      <w:r>
        <w:t xml:space="preserve">) and specific leaf area (SLA). Each value represents the mean (± 1 standard error) for each treatment combination. Units for C mass and</w:t>
      </w:r>
      <w:r>
        <w:t xml:space="preserve"> </w:t>
      </w:r>
      <m:oMath>
        <m:sSub>
          <m:e>
            <m:r>
              <m:rPr>
                <m:sty m:val="p"/>
              </m:rPr>
              <m:t>F</m:t>
            </m:r>
          </m:e>
          <m:sub>
            <m:r>
              <m:rPr/>
              <m:t>c</m:t>
            </m:r>
            <m:r>
              <m:rPr/>
              <m:t>,</m:t>
            </m:r>
            <m:r>
              <m:rPr/>
              <m:t>T</m:t>
            </m:r>
          </m:sub>
        </m:sSub>
      </m:oMath>
      <w:r>
        <w:t xml:space="preserve"> </w:t>
      </w:r>
      <w:r>
        <w:t xml:space="preserve">are g C, while SLA is cm</w:t>
      </w:r>
      <w:r>
        <w:rPr>
          <w:vertAlign w:val="superscript"/>
        </w:rPr>
        <w:t xml:space="preserve">2</w:t>
      </w:r>
      <w:r>
        <w:t xml:space="preserve"> </w:t>
      </w:r>
      <w:r>
        <w:t xml:space="preserve">g</w:t>
      </w:r>
      <w:r>
        <w:rPr>
          <w:vertAlign w:val="superscript"/>
        </w:rPr>
        <w:t xml:space="preserve">-1</w:t>
      </w:r>
      <w:r>
        <w:t xml:space="preserve">. For each variable, different letters represent significant differences between treatments from the overall model which includes CO</w:t>
      </w:r>
      <w:r>
        <w:rPr>
          <w:vertAlign w:val="subscript"/>
        </w:rPr>
        <w:t xml:space="preserve">2</w:t>
      </w:r>
      <w:r>
        <w:t xml:space="preserve"> </w:t>
      </w:r>
      <w:r>
        <w:t xml:space="preserve">* drought interactions. P values represent overall differences of CO</w:t>
      </w:r>
      <w:r>
        <w:rPr>
          <w:vertAlign w:val="subscript"/>
        </w:rPr>
        <w:t xml:space="preserve">2</w:t>
      </w:r>
      <w:r>
        <w:t xml:space="preserve"> </w:t>
      </w:r>
      <w:r>
        <w:t xml:space="preserve">or drought main effects and the CO</w:t>
      </w:r>
      <w:r>
        <w:rPr>
          <w:vertAlign w:val="subscript"/>
        </w:rPr>
        <w:t xml:space="preserve">2</w:t>
      </w:r>
      <w:r>
        <w:t xml:space="preserve"> </w:t>
      </w:r>
      <w:r>
        <w:t xml:space="preserve">* drought interaction.</w:t>
      </w:r>
    </w:p>
    <w:tbl>
      <w:tblPr>
        <w:tblStyle w:val="TableNormal"/>
        <w:tblW w:type="pct" w:w="10138.88888888889"/>
        <w:tblLook w:firstRow="1"/>
      </w:tblPr>
      <w:tblGrid>
        <w:gridCol w:w="2310"/>
        <w:gridCol w:w="2090"/>
        <w:gridCol w:w="1980"/>
        <w:gridCol w:w="1980"/>
        <w:gridCol w:w="1980"/>
        <w:gridCol w:w="1980"/>
        <w:gridCol w:w="2200"/>
        <w:gridCol w:w="1540"/>
      </w:tblGrid>
      <w:tr>
        <w:trPr>
          <w:cnfStyle w:firstRow="1"/>
        </w:trP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c>
          <w:tcPr>
            <w:tcBorders>
              <w:bottom w:val="single"/>
            </w:tcBorders>
            <w:vAlign w:val="bottom"/>
          </w:tcPr>
          <w:p>
            <w:pPr>
              <w:pStyle w:val="Compact"/>
              <w:jc w:val="left"/>
            </w:pPr>
            <w:r>
              <w:rPr>
                <w:b/>
              </w:rPr>
              <w:t xml:space="preserve">SLA</w:t>
            </w:r>
          </w:p>
        </w:tc>
      </w:tr>
      <w:tr>
        <w:tc>
          <w:p>
            <w:pPr>
              <w:pStyle w:val="Compact"/>
              <w:jc w:val="left"/>
            </w:pPr>
            <w:r>
              <w:t xml:space="preserve">aCO</w:t>
            </w:r>
            <w:r>
              <w:rPr>
                <w:vertAlign w:val="subscript"/>
              </w:rPr>
              <w:t xml:space="preserve">2</w:t>
            </w:r>
            <w:r>
              <w:t xml:space="preserve">-dry</w:t>
            </w:r>
          </w:p>
        </w:tc>
        <w:tc>
          <w:p>
            <w:pPr>
              <w:pStyle w:val="Compact"/>
              <w:jc w:val="left"/>
            </w:pPr>
            <w:r>
              <w:t xml:space="preserve">5231.8 (687.0) b</w:t>
            </w:r>
          </w:p>
        </w:tc>
        <w:tc>
          <w:p>
            <w:pPr>
              <w:pStyle w:val="Compact"/>
              <w:jc w:val="left"/>
            </w:pPr>
            <w:r>
              <w:t xml:space="preserve">2799.2 (628.3)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3052.9 (500.2) a</w:t>
            </w:r>
          </w:p>
        </w:tc>
        <w:tc>
          <w:p>
            <w:pPr>
              <w:pStyle w:val="Compact"/>
              <w:jc w:val="left"/>
            </w:pPr>
            <w:r>
              <w:t xml:space="preserve">19394.2 (2169.5) a</w:t>
            </w:r>
          </w:p>
        </w:tc>
        <w:tc>
          <w:p>
            <w:pPr>
              <w:pStyle w:val="Compact"/>
              <w:jc w:val="left"/>
            </w:pPr>
            <w:r>
              <w:t xml:space="preserve">83.2 (3.3) a</w:t>
            </w:r>
          </w:p>
        </w:tc>
      </w:tr>
      <w:tr>
        <w:tc>
          <w:p>
            <w:pPr>
              <w:pStyle w:val="Compact"/>
              <w:jc w:val="left"/>
            </w:pPr>
            <w:r>
              <w:t xml:space="preserve">aCO</w:t>
            </w:r>
            <w:r>
              <w:rPr>
                <w:vertAlign w:val="subscript"/>
              </w:rPr>
              <w:t xml:space="preserve">2</w:t>
            </w:r>
            <w:r>
              <w:t xml:space="preserve">-wet</w:t>
            </w:r>
          </w:p>
        </w:tc>
        <w:tc>
          <w:p>
            <w:pPr>
              <w:pStyle w:val="Compact"/>
              <w:jc w:val="left"/>
            </w:pPr>
            <w:r>
              <w:t xml:space="preserve">7785.1 (267.1) ab</w:t>
            </w:r>
          </w:p>
        </w:tc>
        <w:tc>
          <w:p>
            <w:pPr>
              <w:pStyle w:val="Compact"/>
              <w:jc w:val="left"/>
            </w:pPr>
            <w:r>
              <w:t xml:space="preserve">3154.6 (687.1)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3677.4 (316.8) a</w:t>
            </w:r>
          </w:p>
        </w:tc>
        <w:tc>
          <w:p>
            <w:pPr>
              <w:pStyle w:val="Compact"/>
              <w:jc w:val="left"/>
            </w:pPr>
            <w:r>
              <w:t xml:space="preserve">23556.5 (1689.0) a</w:t>
            </w:r>
          </w:p>
        </w:tc>
        <w:tc>
          <w:p>
            <w:pPr>
              <w:pStyle w:val="Compact"/>
              <w:jc w:val="left"/>
            </w:pPr>
            <w:r>
              <w:t xml:space="preserve">87.9 (2.8) a</w:t>
            </w:r>
          </w:p>
        </w:tc>
      </w:tr>
      <w:tr>
        <w:tc>
          <w:p>
            <w:pPr>
              <w:pStyle w:val="Compact"/>
              <w:jc w:val="left"/>
            </w:pPr>
            <w:r>
              <w:t xml:space="preserve">eCO</w:t>
            </w:r>
            <w:r>
              <w:rPr>
                <w:vertAlign w:val="subscript"/>
              </w:rPr>
              <w:t xml:space="preserve">2</w:t>
            </w:r>
            <w:r>
              <w:t xml:space="preserve">-dry</w:t>
            </w:r>
          </w:p>
        </w:tc>
        <w:tc>
          <w:p>
            <w:pPr>
              <w:pStyle w:val="Compact"/>
              <w:jc w:val="left"/>
            </w:pPr>
            <w:r>
              <w:t xml:space="preserve">4080.5 (682.5) a</w:t>
            </w:r>
          </w:p>
        </w:tc>
        <w:tc>
          <w:p>
            <w:pPr>
              <w:pStyle w:val="Compact"/>
              <w:jc w:val="left"/>
            </w:pPr>
            <w:r>
              <w:t xml:space="preserve">1926.0 (369.4)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2518.7 (481.6) a</w:t>
            </w:r>
          </w:p>
        </w:tc>
        <w:tc>
          <w:p>
            <w:pPr>
              <w:pStyle w:val="Compact"/>
              <w:jc w:val="left"/>
            </w:pPr>
            <w:r>
              <w:t xml:space="preserve">14620.7 (3456.2) a</w:t>
            </w:r>
          </w:p>
        </w:tc>
        <w:tc>
          <w:p>
            <w:pPr>
              <w:pStyle w:val="Compact"/>
              <w:jc w:val="left"/>
            </w:pPr>
            <w:r>
              <w:t xml:space="preserve">70.6 (3.6) a</w:t>
            </w:r>
          </w:p>
        </w:tc>
      </w:tr>
      <w:tr>
        <w:tc>
          <w:p>
            <w:pPr>
              <w:pStyle w:val="Compact"/>
              <w:jc w:val="left"/>
            </w:pPr>
            <w:r>
              <w:t xml:space="preserve">eCO</w:t>
            </w:r>
            <w:r>
              <w:rPr>
                <w:vertAlign w:val="subscript"/>
              </w:rPr>
              <w:t xml:space="preserve">2</w:t>
            </w:r>
            <w:r>
              <w:t xml:space="preserve">-wet</w:t>
            </w:r>
          </w:p>
        </w:tc>
        <w:tc>
          <w:p>
            <w:pPr>
              <w:pStyle w:val="Compact"/>
              <w:jc w:val="left"/>
            </w:pPr>
            <w:r>
              <w:t xml:space="preserve">4026.3 (783.3) a</w:t>
            </w:r>
          </w:p>
        </w:tc>
        <w:tc>
          <w:p>
            <w:pPr>
              <w:pStyle w:val="Compact"/>
              <w:jc w:val="left"/>
            </w:pPr>
            <w:r>
              <w:t xml:space="preserve">1856.8 (474.5)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2213.9 (705.8) a</w:t>
            </w:r>
          </w:p>
        </w:tc>
        <w:tc>
          <w:p>
            <w:pPr>
              <w:pStyle w:val="Compact"/>
              <w:jc w:val="left"/>
            </w:pPr>
            <w:r>
              <w:t xml:space="preserve">15197.9 (3253.5) a</w:t>
            </w:r>
          </w:p>
        </w:tc>
        <w:tc>
          <w:p>
            <w:pPr>
              <w:pStyle w:val="Compact"/>
              <w:jc w:val="left"/>
            </w:pPr>
            <w:r>
              <w:t xml:space="preserve">81.8 (6.1)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c>
          <w:p>
            <w:pPr>
              <w:pStyle w:val="Compact"/>
              <w:jc w:val="left"/>
            </w:pPr>
            <w:r>
              <w:t xml:space="preserve">0.053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c>
          <w:p>
            <w:pPr>
              <w:pStyle w:val="Compact"/>
              <w:jc w:val="left"/>
            </w:pPr>
            <w:r>
              <w:t xml:space="preserve">0.089</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c>
          <w:p>
            <w:pPr>
              <w:pStyle w:val="Compact"/>
              <w:jc w:val="left"/>
            </w:pPr>
            <w:r>
              <w:t xml:space="preserve">0.454</w:t>
            </w:r>
          </w:p>
        </w:tc>
      </w:tr>
    </w:tbl>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39"/>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4.2</w:t>
      </w:r>
      <w:r>
        <w:t xml:space="preserve">. Whole tree C mass as a function of cumulative aboveground C flux for each WTC tree. Values of cumulative aboveground net C flux were measured over the final eleven months of the experiment. Whole tree C mass represents the sum of bole, branch, leaf and root C mass from allometric estimates over the same time period. The dotted line is the 1:1 relationship and the solid line represents the significant overall linear model fit from the equation y = 0.56x + 878.2 (R</w:t>
      </w:r>
      <w:r>
        <w:rPr>
          <w:vertAlign w:val="superscript"/>
        </w:rPr>
        <w:t xml:space="preserve">2</w:t>
      </w:r>
      <w:r>
        <w:t xml:space="preserve"> </w:t>
      </w:r>
      <w:r>
        <w:t xml:space="preserve">= 0.86).</w:t>
      </w:r>
    </w:p>
    <w:p>
      <w:pPr>
        <w:pStyle w:val="BodyText"/>
      </w:pPr>
      <w:r>
        <w:br w:type="textWrapping"/>
      </w:r>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4.3). Specific leaf area was reduced by 10.9 % in eC</w:t>
      </w:r>
      <w:r>
        <w:rPr>
          <w:vertAlign w:val="subscript"/>
        </w:rPr>
        <w:t xml:space="preserve">a</w:t>
      </w:r>
      <w:r>
        <w:t xml:space="preserve"> </w:t>
      </w:r>
      <w:r>
        <w:t xml:space="preserve">treatments (P = 0.053), and by 8.9 % in drought treatments (P = 0.089, Table 4.1). Overall,</w:t>
      </w:r>
      <w:r>
        <w:t xml:space="preserve"> </w:t>
      </w:r>
      <m:oMath>
        <m:sSub>
          <m:e>
            <m:r>
              <m:rPr>
                <m:sty m:val="p"/>
              </m:rPr>
              <m:t>F</m:t>
            </m:r>
          </m:e>
          <m:sub>
            <m:r>
              <m:rPr/>
              <m:t>c</m:t>
            </m:r>
            <m:r>
              <m:rPr/>
              <m:t>,</m:t>
            </m:r>
            <m:r>
              <m:rPr/>
              <m:t>T</m:t>
            </m:r>
          </m:sub>
        </m:sSub>
      </m:oMath>
      <w:r>
        <w:t xml:space="preserve"> </w:t>
      </w:r>
      <w:r>
        <w:t xml:space="preserve">was positively correlated with mean leaf area (P &lt; 0.001, Figure 4.4). Intercepts and slopes between separate linear regressions of</w:t>
      </w:r>
      <w:r>
        <w:t xml:space="preserve"> </w:t>
      </w:r>
      <m:oMath>
        <m:sSub>
          <m:e>
            <m:r>
              <m:rPr>
                <m:sty m:val="p"/>
              </m:rPr>
              <m:t>F</m:t>
            </m:r>
          </m:e>
          <m:sub>
            <m:r>
              <m:rPr/>
              <m:t>c</m:t>
            </m:r>
            <m:r>
              <m:rPr/>
              <m:t>,</m:t>
            </m:r>
            <m:r>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 were not different, however, there was negligible overlap of data between treatments. Thus, we were unable to determine if reductions in</w:t>
      </w:r>
      <w:r>
        <w:t xml:space="preserve"> </w:t>
      </w:r>
      <m:oMath>
        <m:sSub>
          <m:e>
            <m:r>
              <m:rPr>
                <m:sty m:val="p"/>
              </m:rPr>
              <m:t>F</m:t>
            </m:r>
          </m:e>
          <m:sub>
            <m:r>
              <m:rPr/>
              <m:t>c</m:t>
            </m:r>
            <m:r>
              <m:rPr/>
              <m:t>,</m:t>
            </m:r>
            <m:r>
              <m:rPr/>
              <m:t>T</m:t>
            </m:r>
          </m:sub>
        </m:sSub>
      </m:oMath>
      <w:r>
        <w:t xml:space="preserve"> </w:t>
      </w:r>
      <w:r>
        <w:t xml:space="preserve">in eC</w:t>
      </w:r>
      <w:r>
        <w:rPr>
          <w:vertAlign w:val="subscript"/>
        </w:rPr>
        <w:t xml:space="preserve">a</w:t>
      </w:r>
      <w:r>
        <w:t xml:space="preserve"> </w:t>
      </w:r>
      <w:r>
        <w:t xml:space="preserve">treatments were a function of lower mean leaf area or shifts in</w:t>
      </w:r>
      <w:r>
        <w:t xml:space="preserve"> </w:t>
      </w:r>
      <w:r>
        <w:rPr>
          <w:i/>
        </w:rPr>
        <w:t xml:space="preserve">A</w:t>
      </w:r>
      <w:r>
        <w:rPr>
          <w:vertAlign w:val="subscript"/>
          <w:i/>
        </w:rPr>
        <w:t xml:space="preserve">n</w:t>
      </w:r>
      <w:r>
        <w:t xml:space="preserve"> </w:t>
      </w:r>
      <w:r>
        <w:t xml:space="preserve">and tissue respiration rates.</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0"/>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4.3</w:t>
      </w:r>
      <w:r>
        <w:t xml:space="preserve">. Estimated canopy leaf area for each WTC tree over the final eleven months of the experiment (April 2008 to March 2009). Estimates are based on height growth, litterfall rates and two leaf area estimates following Barton et al.</w:t>
      </w:r>
      <w:r>
        <w:t xml:space="preserve"> </w:t>
      </w:r>
      <w:r>
        <w:t xml:space="preserve">(2012)</w:t>
      </w:r>
      <w:r>
        <w:t xml:space="preserve">. Color and line type distinguish the treatment combination for each WTC.</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1"/>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4.4</w:t>
      </w:r>
      <w:r>
        <w:t xml:space="preserve">. Treatment means of cumulative aboveground C flux as a function of mean daily canopy leaf area over the final eleven months of the experiment. The solid line represents the significant overall linear model fit (R</w:t>
      </w:r>
      <w:r>
        <w:rPr>
          <w:vertAlign w:val="superscript"/>
        </w:rPr>
        <w:t xml:space="preserve">2</w:t>
      </w:r>
      <w:r>
        <w:t xml:space="preserve"> </w:t>
      </w:r>
      <w:r>
        <w:t xml:space="preserve">= 0.77) from the equation: y = 611.9x + 2791.2. Separate 95% confidence intervals are shown for linear regression between</w:t>
      </w:r>
      <w:r>
        <w:t xml:space="preserve"> </w:t>
      </w:r>
      <m:oMath>
        <m:sSub>
          <m:e>
            <m:r>
              <m:rPr>
                <m:sty m:val="p"/>
              </m:rPr>
              <m:t>F</m:t>
            </m:r>
          </m:e>
          <m:sub>
            <m:r>
              <m:rPr/>
              <m:t>c</m:t>
            </m:r>
            <m:r>
              <m:rPr/>
              <m:t>,</m:t>
            </m:r>
            <m:r>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w:t>
      </w:r>
    </w:p>
    <w:p>
      <w:pPr>
        <w:pStyle w:val="Heading2"/>
      </w:pPr>
      <w:bookmarkStart w:id="42" w:name="harvested-tissue-carbon-mass-and-biomass-partitioning"/>
      <w:bookmarkEnd w:id="42"/>
      <w:r>
        <w:t xml:space="preserve">4.4.2 Harvested tissue carbon mass and biomass partitioning</w:t>
      </w:r>
    </w:p>
    <w:p>
      <w:pPr>
        <w:pStyle w:val="FirstParagraph"/>
      </w:pPr>
      <w:r>
        <w:t xml:space="preserve">At the end of this two year experiment, harvested C mass of tissue components was affected in eC</w:t>
      </w:r>
      <w:r>
        <w:rPr>
          <w:vertAlign w:val="subscript"/>
        </w:rPr>
        <w:t xml:space="preserve">a</w:t>
      </w:r>
      <w:r>
        <w:t xml:space="preserve"> </w:t>
      </w:r>
      <w:r>
        <w:t xml:space="preserve">but not drought treatments (Table 4.1). Aboveground wood C mass was reduced by 37 % in eC</w:t>
      </w:r>
      <w:r>
        <w:rPr>
          <w:vertAlign w:val="subscript"/>
        </w:rPr>
        <w:t xml:space="preserve">a</w:t>
      </w:r>
      <w:r>
        <w:t xml:space="preserve"> </w:t>
      </w:r>
      <w:r>
        <w:t xml:space="preserve">treatments (P = 0.015), driven mostly by eC</w:t>
      </w:r>
      <w:r>
        <w:rPr>
          <w:vertAlign w:val="subscript"/>
        </w:rPr>
        <w:t xml:space="preserve">a</w:t>
      </w:r>
      <w:r>
        <w:t xml:space="preserve"> </w:t>
      </w:r>
      <w:r>
        <w:t xml:space="preserve">effects on bole wood. Neither standing crop leaf C mass or total litterfall C mass over the study period differed between CO</w:t>
      </w:r>
      <w:r>
        <w:rPr>
          <w:vertAlign w:val="subscript"/>
        </w:rPr>
        <w:t xml:space="preserve">2</w:t>
      </w:r>
      <w:r>
        <w:t xml:space="preserve"> </w:t>
      </w:r>
      <w:r>
        <w:t xml:space="preserve">treatments. Total root C mass was reduced by 29% in eC</w:t>
      </w:r>
      <w:r>
        <w:rPr>
          <w:vertAlign w:val="subscript"/>
        </w:rPr>
        <w:t xml:space="preserve">a</w:t>
      </w:r>
      <w:r>
        <w:t xml:space="preserve"> </w:t>
      </w:r>
      <w:r>
        <w:t xml:space="preserve">treatments (P = 0.091).</w:t>
      </w:r>
    </w:p>
    <w:p>
      <w:pPr>
        <w:pStyle w:val="BodyText"/>
      </w:pPr>
      <w:r>
        <w:br w:type="textWrapping"/>
      </w:r>
      <w:r>
        <w:t xml:space="preserve">Leaf mass fraction (LMF) increased by 15.0 % in eC</w:t>
      </w:r>
      <w:r>
        <w:rPr>
          <w:vertAlign w:val="subscript"/>
        </w:rPr>
        <w:t xml:space="preserve">a</w:t>
      </w:r>
      <w:r>
        <w:t xml:space="preserve"> </w:t>
      </w:r>
      <w:r>
        <w:t xml:space="preserve">treatments (P = 0.011) but was not affected by the drought treatment. Leaf mass fraction was negatively correlated with whole tree C mass (P= 0.007, Figure 4.5a). Stem mass fraction (SMF) was marginally reduced by 6.0 % under eC</w:t>
      </w:r>
      <w:r>
        <w:rPr>
          <w:vertAlign w:val="subscript"/>
        </w:rPr>
        <w:t xml:space="preserve">a</w:t>
      </w:r>
      <w:r>
        <w:t xml:space="preserve"> </w:t>
      </w:r>
      <w:r>
        <w:t xml:space="preserve">(P = 0.077), with no effect of the drought treatment detected. Stem mass fraction had a weak positive correlation with whole tree C mass (P = 0.08, Figure 4.5c). Root mass fraction (RMF) was not affected by either treatment and was not correlated to whole tree C mass (Figure 4.5e).</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3"/>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4.5</w:t>
      </w:r>
      <w:r>
        <w:t xml:space="preserve">. Treatment means of C mass fractions of leaves (a), stems (branches+boles) (c) and roots (e) as a function of tree size, via whole tree C mass. Treatment means of C allocation to leaves (b) and stems (d) as a function of cumulative aboveground net C flux. Root C allocation could not be estimated as root turnover was not known. Values for C mass fractions are calculated from final harvest biomass totals. Values for C allocation are estimated from cumulative total aboveground net C flux over the final eleven months of the experiment. Solid lines represent overall linear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pPr>
        <w:pStyle w:val="Heading2"/>
      </w:pPr>
      <w:bookmarkStart w:id="44" w:name="aboveground-carbon-allocation"/>
      <w:bookmarkEnd w:id="44"/>
      <w:r>
        <w:t xml:space="preserve">4.4.3 Aboveground carbon allocation</w:t>
      </w:r>
    </w:p>
    <w:p>
      <w:pPr>
        <w:pStyle w:val="FirstParagraph"/>
      </w:pPr>
      <w:r>
        <w:t xml:space="preserve">Treatment effects on tissue C allocation were determined from C mass estimates obtained from allometry over the final eleven months of the experiment and</w:t>
      </w:r>
      <w:r>
        <w:t xml:space="preserve"> </w:t>
      </w:r>
      <m:oMath>
        <m:sSub>
          <m:e>
            <m:r>
              <m:rPr>
                <m:sty m:val="p"/>
              </m:rPr>
              <m:t>F</m:t>
            </m:r>
          </m:e>
          <m:sub>
            <m:r>
              <m:rPr/>
              <m:t>c</m:t>
            </m:r>
            <m:r>
              <m:rPr/>
              <m:t>,</m:t>
            </m:r>
            <m:r>
              <m:rPr/>
              <m:t>T</m:t>
            </m:r>
          </m:sub>
        </m:sSub>
      </m:oMath>
      <w:r>
        <w:t xml:space="preserve"> </w:t>
      </w:r>
      <w:r>
        <w:t xml:space="preserve">over the same time period. Total C allocation to leaves increased by 28% in eC</w:t>
      </w:r>
      <w:r>
        <w:rPr>
          <w:vertAlign w:val="subscript"/>
        </w:rPr>
        <w:t xml:space="preserve">a</w:t>
      </w:r>
      <w:r>
        <w:t xml:space="preserve"> </w:t>
      </w:r>
      <w:r>
        <w:t xml:space="preserve">treatments (P = 0.052), with no effect of the drought treatment detected. Leaf C allocation was negatively correlated with</w:t>
      </w:r>
      <w:r>
        <w:t xml:space="preserve"> </w:t>
      </w:r>
      <m:oMath>
        <m:sSub>
          <m:e>
            <m:r>
              <m:rPr>
                <m:sty m:val="p"/>
              </m:rPr>
              <m:t>F</m:t>
            </m:r>
          </m:e>
          <m:sub>
            <m:r>
              <m:rPr/>
              <m:t>c</m:t>
            </m:r>
            <m:r>
              <m:rPr/>
              <m:t>,</m:t>
            </m:r>
            <m:r>
              <m:rPr/>
              <m:t>T</m:t>
            </m:r>
          </m:sub>
        </m:sSub>
      </m:oMath>
      <w:r>
        <w:t xml:space="preserve"> </w:t>
      </w:r>
      <w:r>
        <w:t xml:space="preserve">(P = 0.031, Figure 4.5b). Alternatively, C allocation to aboveground wood was not affected by either treatment and was not correlated to whole tree C (Figure 4.5d).</w:t>
      </w:r>
    </w:p>
    <w:p>
      <w:pPr>
        <w:pStyle w:val="Heading2"/>
      </w:pPr>
      <w:bookmarkStart w:id="45" w:name="belowground-carbon-allocation"/>
      <w:bookmarkEnd w:id="45"/>
      <w:r>
        <w:t xml:space="preserve">4.4.4 Belowground carbon allocation</w:t>
      </w:r>
    </w:p>
    <w:p>
      <w:pPr>
        <w:pStyle w:val="FirstParagraph"/>
      </w:pPr>
      <w:r>
        <w:t xml:space="preserve">Across all treatment combinations, the total C mass of boles, branches, leaves and roots produced through the course of the measured flux measurement period was on average 61.0±0.02 % of</w:t>
      </w:r>
      <w:r>
        <w:t xml:space="preserve"> </w:t>
      </w:r>
      <m:oMath>
        <m:sSub>
          <m:e>
            <m:r>
              <m:rPr>
                <m:sty m:val="p"/>
              </m:rPr>
              <m:t>F</m:t>
            </m:r>
          </m:e>
          <m:sub>
            <m:r>
              <m:rPr/>
              <m:t>c</m:t>
            </m:r>
            <m:r>
              <m:rPr/>
              <m:t>,</m:t>
            </m:r>
            <m:r>
              <m:rPr/>
              <m:t>T</m:t>
            </m:r>
          </m:sub>
        </m:sSub>
      </m:oMath>
      <w:r>
        <w:t xml:space="preserve"> </w:t>
      </w:r>
      <w:r>
        <w:t xml:space="preserve">(Figure 4.6). As mass balance must be achieved, TBCA and the residual belowground C flux (</w:t>
      </w:r>
      <m:oMath>
        <m:sSub>
          <m:e>
            <m:r>
              <m:rPr>
                <m:sty m:val="p"/>
              </m:rPr>
              <m:t>F</m:t>
            </m:r>
          </m:e>
          <m:sub>
            <m:r>
              <m:rPr/>
              <m:t>c</m:t>
            </m:r>
            <m:r>
              <m:rPr/>
              <m:t>,</m:t>
            </m:r>
            <m:r>
              <m:rPr/>
              <m:t>r</m:t>
            </m:r>
          </m:sub>
        </m:sSub>
      </m:oMath>
      <w:r>
        <w:t xml:space="preserve">) were estimated from Figure 4.6 as residuals between</w:t>
      </w:r>
      <w:r>
        <w:t xml:space="preserve"> </w:t>
      </w:r>
      <m:oMath>
        <m:sSub>
          <m:e>
            <m:r>
              <m:rPr>
                <m:sty m:val="p"/>
              </m:rPr>
              <m:t>F</m:t>
            </m:r>
          </m:e>
          <m:sub>
            <m:r>
              <m:rPr/>
              <m:t>c</m:t>
            </m:r>
            <m:r>
              <m:rPr/>
              <m:t>,</m:t>
            </m:r>
            <m:r>
              <m:rPr/>
              <m:t>T</m:t>
            </m:r>
          </m:sub>
        </m:sSub>
      </m:oMath>
      <w:r>
        <w:t xml:space="preserve"> </w:t>
      </w:r>
      <w:r>
        <w:t xml:space="preserve">and whole tree mass excluding and including estimates of roots over the flux measurement period, respectively. Total belowground C allocation was on average 49.9±0.02 of</w:t>
      </w:r>
      <w:r>
        <w:t xml:space="preserve"> </w:t>
      </w:r>
      <m:oMath>
        <m:sSub>
          <m:e>
            <m:r>
              <m:rPr>
                <m:sty m:val="p"/>
              </m:rPr>
              <m:t>F</m:t>
            </m:r>
          </m:e>
          <m:sub>
            <m:r>
              <m:rPr/>
              <m:t>c</m:t>
            </m:r>
            <m:r>
              <m:rPr/>
              <m:t>,</m:t>
            </m:r>
            <m:r>
              <m:rPr/>
              <m:t>T</m:t>
            </m:r>
          </m:sub>
        </m:sSub>
      </m:oMath>
      <w:r>
        <w:t xml:space="preserve"> </w:t>
      </w:r>
      <w:r>
        <w:t xml:space="preserve">and ranged from 46.1 to 54.9 % across treatment combinations. Across a large range in tree size among the treatment combinations and replicate WTCs, similar patterns were detected for each tree (Figure 4.S2). Neither cumulative TBCA nor</w:t>
      </w:r>
      <w:r>
        <w:t xml:space="preserve"> </w:t>
      </w:r>
      <m:oMath>
        <m:sSub>
          <m:e>
            <m:r>
              <m:rPr>
                <m:sty m:val="p"/>
              </m:rPr>
              <m:t>F</m:t>
            </m:r>
          </m:e>
          <m:sub>
            <m:r>
              <m:rPr/>
              <m:t>c</m:t>
            </m:r>
            <m:r>
              <m:rPr/>
              <m:t>,</m:t>
            </m:r>
            <m:r>
              <m:rPr/>
              <m:t>r</m:t>
            </m:r>
          </m:sub>
        </m:sSub>
      </m:oMath>
      <w:r>
        <w:t xml:space="preserve"> </w:t>
      </w:r>
      <w:r>
        <w:t xml:space="preserve">were affected by CO</w:t>
      </w:r>
      <w:r>
        <w:rPr>
          <w:vertAlign w:val="subscript"/>
        </w:rPr>
        <w:t xml:space="preserve">2</w:t>
      </w:r>
      <w:r>
        <w:t xml:space="preserve"> </w:t>
      </w:r>
      <w:r>
        <w:t xml:space="preserve">or drought treatments (Figure 4.7). The time course of cumulative daily TBCA and</w:t>
      </w:r>
      <w:r>
        <w:t xml:space="preserve"> </w:t>
      </w:r>
      <m:oMath>
        <m:sSub>
          <m:e>
            <m:r>
              <m:rPr>
                <m:sty m:val="p"/>
              </m:rPr>
              <m:t>F</m:t>
            </m:r>
          </m:e>
          <m:sub>
            <m:r>
              <m:rPr/>
              <m:t>c</m:t>
            </m:r>
            <m:r>
              <m:rPr/>
              <m:t>,</m:t>
            </m:r>
            <m:r>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stable through time and between treatments (Figure 4.8).</w:t>
      </w:r>
    </w:p>
    <w:p>
      <w:pPr>
        <w:pStyle w:val="BodyText"/>
      </w:pPr>
      <w:r>
        <w:br w:type="textWrapping"/>
      </w:r>
      <w:r>
        <w:drawing>
          <wp:inline>
            <wp:extent cx="5422900" cy="7757760"/>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6"/>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4.6</w:t>
      </w:r>
      <w:r>
        <w:t xml:space="preserve">. Cumulative aboveground net C flux and additive C allocation to individual tree components from 15 April 2008 to 16 March 2009. Each panel represents mean values for each treatment combination (n=3). Both aboveground net C flux and tissue C allocation where set to 0 on 15 April 2008 in order to track the allocation of C in daily time steps. Root C mass, predicted from the logarithmic relationship between above and belowground mass partitioning of pre-planting seedlings and harvested trees, is shown on the last date.</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47"/>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4.7</w:t>
      </w:r>
      <w:r>
        <w:t xml:space="preserve">. Treatment means ± 1 standard error of cumulative aboveground net C flux, TBCA, and the residual belowground C flux (</w:t>
      </w:r>
      <m:oMath>
        <m:sSub>
          <m:e>
            <m:r>
              <m:rPr>
                <m:sty m:val="p"/>
              </m:rPr>
              <m:t>F</m:t>
            </m:r>
          </m:e>
          <m:sub>
            <m:r>
              <m:rPr/>
              <m:t>c</m:t>
            </m:r>
            <m:r>
              <m:rPr/>
              <m:t>,</m:t>
            </m:r>
            <m:r>
              <m:rPr/>
              <m:t>r</m:t>
            </m:r>
          </m:sub>
        </m:sSub>
      </m:oMath>
      <w:r>
        <w:t xml:space="preserve">). Values of cumulative aboveground net C flux were measured over the final eleven months of the experiment. Values for TBCA are the residual between the cumulative C flux and total C mass aboveground estimated from allometric surveys over the same time period. Values for</w:t>
      </w:r>
      <w:r>
        <w:t xml:space="preserve"> </w:t>
      </w:r>
      <m:oMath>
        <m:sSub>
          <m:e>
            <m:r>
              <m:rPr>
                <m:sty m:val="p"/>
              </m:rPr>
              <m:t>F</m:t>
            </m:r>
          </m:e>
          <m:sub>
            <m:r>
              <m:rPr/>
              <m:t>c</m:t>
            </m:r>
            <m:r>
              <m:rPr/>
              <m:t>,</m:t>
            </m:r>
            <m:r>
              <m:rPr/>
              <m:t>r</m:t>
            </m:r>
          </m:sub>
        </m:sSub>
      </m:oMath>
      <w:r>
        <w:t xml:space="preserve"> </w:t>
      </w:r>
      <w:r>
        <w:t xml:space="preserve">were calculated as the residual between TBCA and root C mass predicted on the last date of the eleven month period.</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4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4.8</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lines represent treatment means, with color and line type distinguishing treatment</w:t>
      </w:r>
    </w:p>
    <w:p>
      <w:pPr>
        <w:pStyle w:val="Heading1"/>
      </w:pPr>
      <w:bookmarkStart w:id="49" w:name="discussion"/>
      <w:bookmarkEnd w:id="49"/>
      <w:r>
        <w:t xml:space="preserve">4.5 Discussion</w:t>
      </w:r>
    </w:p>
    <w:p>
      <w:pPr>
        <w:pStyle w:val="FirstParagraph"/>
      </w:pPr>
      <w:r>
        <w:t xml:space="preserve">A whole-tree chamber experiment provided a unique opportunity to study the C balance of</w:t>
      </w:r>
      <w:r>
        <w:t xml:space="preserve"> </w:t>
      </w:r>
      <w:r>
        <w:rPr>
          <w:i/>
        </w:rPr>
        <w:t xml:space="preserve">Eucalyptus</w:t>
      </w:r>
      <w:r>
        <w:t xml:space="preserve"> </w:t>
      </w:r>
      <w:r>
        <w:t xml:space="preserve">trees. We found that biomass partitioning and C allocation of component tissues were differentially affected by eC</w:t>
      </w:r>
      <w:r>
        <w:rPr>
          <w:vertAlign w:val="subscript"/>
        </w:rPr>
        <w:t xml:space="preserve">a</w:t>
      </w:r>
      <w:r>
        <w:t xml:space="preserve">. Despite previous findings of negative impacts of drought on leaf and canopy physiology in this study</w:t>
      </w:r>
      <w:r>
        <w:t xml:space="preserve"> </w:t>
      </w:r>
      <w:r>
        <w:t xml:space="preserve">(see Crous et al. 2011, 2012, Duursma et al. 2011)</w:t>
      </w:r>
      <w:r>
        <w:t xml:space="preserve">, minimal effects of a four month drought were detected on total tree C flux, biomass partitioning and tissue C allocation. Using a novel methodological framework, we show that TBCA may be less sensitive to climate change factors than previously assumed. As reliable estimates of TBCA are notoriously hard to obtain, we provide essential empirical data that can be compared to model predictions where C allocation is represented.</w:t>
      </w:r>
    </w:p>
    <w:p>
      <w:pPr>
        <w:pStyle w:val="Heading2"/>
      </w:pPr>
      <w:bookmarkStart w:id="50" w:name="relationships-between-tree-c-flux-leaf-area-and-tree-c-mass"/>
      <w:bookmarkEnd w:id="50"/>
      <w:r>
        <w:t xml:space="preserve">4.5.1 Relationships between tree C flux, leaf area and tree C mass</w:t>
      </w:r>
    </w:p>
    <w:p>
      <w:pPr>
        <w:pStyle w:val="FirstParagraph"/>
      </w:pPr>
      <w:r>
        <w:t xml:space="preserve">A novel aspect of this study was the ability to measure whole tree C fluxes directly and compare these fluxes to observed patterns in leaf area and growth. Tree C uptake and growth were strongly coordinated across this two year experiment. The net C uptake of plants should be a function of the canopy leaf area and light interception</w:t>
      </w:r>
      <w:r>
        <w:t xml:space="preserve"> </w:t>
      </w:r>
      <w:r>
        <w:t xml:space="preserve">(Wilson 1965, Monsi and Saeki 2005)</w:t>
      </w:r>
      <w:r>
        <w:t xml:space="preserve"> </w:t>
      </w:r>
      <w:r>
        <w:t xml:space="preserve">and correlate to canopy assimilation and tree productivity</w:t>
      </w:r>
      <w:r>
        <w:t xml:space="preserve"> </w:t>
      </w:r>
      <w:r>
        <w:t xml:space="preserve">(Waring 1983, McCarthy et al. 2006, Lindroth et al. 2008)</w:t>
      </w:r>
      <w:r>
        <w:t xml:space="preserve">. Estimates of tree canopy C flux, however, are limited by simple upscaling of single leaf measurements</w:t>
      </w:r>
      <w:r>
        <w:t xml:space="preserve"> </w:t>
      </w:r>
      <w:r>
        <w:t xml:space="preserve">(Amthor 1994)</w:t>
      </w:r>
      <w:r>
        <w:t xml:space="preserve">, oversimplification of big leaf models</w:t>
      </w:r>
      <w:r>
        <w:t xml:space="preserve"> </w:t>
      </w:r>
      <w:r>
        <w:t xml:space="preserve">(De Pury and Farquhar 1997)</w:t>
      </w:r>
      <w:r>
        <w:t xml:space="preserve"> </w:t>
      </w:r>
      <w:r>
        <w:t xml:space="preserve">or parameterization of more complex models with assumptions of canopy behavior</w:t>
      </w:r>
      <w:r>
        <w:t xml:space="preserve"> </w:t>
      </w:r>
      <w:r>
        <w:t xml:space="preserve">(Leuning et al. 1995)</w:t>
      </w:r>
      <w:r>
        <w:t xml:space="preserve">. We found that leaf area was consistently reduced in eC</w:t>
      </w:r>
      <w:r>
        <w:rPr>
          <w:vertAlign w:val="subscript"/>
        </w:rPr>
        <w:t xml:space="preserve">a</w:t>
      </w:r>
      <w:r>
        <w:t xml:space="preserve"> </w:t>
      </w:r>
      <w:r>
        <w:t xml:space="preserve">treatments, likely leading to reductions in both tree C uptake and whole tree C mass of near identical magnitudes (ca. 30 %).</w:t>
      </w:r>
    </w:p>
    <w:p>
      <w:pPr>
        <w:pStyle w:val="BodyText"/>
      </w:pPr>
      <w:r>
        <w:br w:type="textWrapping"/>
      </w:r>
      <w:r>
        <w:t xml:space="preserve">A shortage of empirically measured whole tree C fluxes also makes inferring relationships with biomass or C allocation difficult. Biomass and C fluxes have been found to be poorly related in forest ecosystems due to difficulty in accounting for C retention of different tissues</w:t>
      </w:r>
      <w:r>
        <w:t xml:space="preserve"> </w:t>
      </w:r>
      <w:r>
        <w:t xml:space="preserve">(Litton et al. 2007)</w:t>
      </w:r>
      <w:r>
        <w:t xml:space="preserve">. This partial accounting of C likely inhibits the ability of many studies to precisely test the coordination between canopy</w:t>
      </w:r>
      <w:r>
        <w:t xml:space="preserve"> </w:t>
      </w:r>
      <w:r>
        <w:rPr>
          <w:i/>
        </w:rPr>
        <w:t xml:space="preserve">A</w:t>
      </w:r>
      <w:r>
        <w:rPr>
          <w:vertAlign w:val="subscript"/>
          <w:i/>
        </w:rPr>
        <w:t xml:space="preserve">n</w:t>
      </w:r>
      <w:r>
        <w:t xml:space="preserve"> </w:t>
      </w:r>
      <w:r>
        <w:t xml:space="preserve">and growth. The advantage of the WTC approach is the ability to compare cumulative whole tree C fluxes to absolute biomass production over long time periods. Here, we show empirically measured aboveground tree C uptake (F</w:t>
      </w:r>
      <w:r>
        <w:rPr>
          <w:vertAlign w:val="subscript"/>
        </w:rPr>
        <w:t xml:space="preserve">c</w:t>
      </w:r>
      <w:r>
        <w:t xml:space="preserve">) was strongly correlated to tree biomass production across a 2.5 fold size range in</w:t>
      </w:r>
      <w:r>
        <w:t xml:space="preserve"> </w:t>
      </w:r>
      <w:r>
        <w:rPr>
          <w:i/>
        </w:rPr>
        <w:t xml:space="preserve">Eucalyptus</w:t>
      </w:r>
      <w:r>
        <w:t xml:space="preserve"> </w:t>
      </w:r>
      <w:r>
        <w:t xml:space="preserve">trees.</w:t>
      </w:r>
    </w:p>
    <w:p>
      <w:pPr>
        <w:pStyle w:val="Heading2"/>
      </w:pPr>
      <w:bookmarkStart w:id="51" w:name="responses-of-biomass-partitioning-and-c-allocation-to-climate-change"/>
      <w:bookmarkEnd w:id="51"/>
      <w:r>
        <w:t xml:space="preserve">4.5.2 Responses of biomass partitioning and C allocation to climate change</w:t>
      </w:r>
    </w:p>
    <w:p>
      <w:pPr>
        <w:pStyle w:val="FirstParagraph"/>
      </w:pPr>
      <w:r>
        <w:t xml:space="preserve">We first used final harvest biomass to determine patterns of biomass partitioning to leaves, stems and roots. We then combined cumulative tree C fluxes with tissue biomass production and turnover to measure C allocation to stems, leaves and TBCA, via mass balance. This approach allowed us to evaluate the impacts of climate change treatments on tree growth through potential shifts in tissue biomass production or C allocation. This is because there are many possible fates for C assimilates beyond just the production of plant biomass</w:t>
      </w:r>
      <w:r>
        <w:t xml:space="preserve"> </w:t>
      </w:r>
      <w:r>
        <w:t xml:space="preserve">(Körner et al. 2005)</w:t>
      </w:r>
      <w:r>
        <w:t xml:space="preserve">. Changes in C allocation encompass effects of tissue turnover, the storage and use of carbohydrates and root exudation to stimulate microbial activity, with each representing significant tree or ecosystem responses to environmental change. Thus, patterns in biomass partitioning and C allocation may not be consistent with respect to the tissue in question, which contributes to the current uncertainty in modelling tree growth responses to interacting climate change factors.</w:t>
      </w:r>
    </w:p>
    <w:p>
      <w:pPr>
        <w:pStyle w:val="BodyText"/>
      </w:pPr>
      <w:r>
        <w:br w:type="textWrapping"/>
      </w:r>
      <w:r>
        <w:t xml:space="preserve">We found that stem C mass was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(Körner et al. 2005)</w:t>
      </w:r>
      <w:r>
        <w:t xml:space="preserve"> </w:t>
      </w:r>
      <w:r>
        <w:t xml:space="preserve">and a positive enhancement in a loblolly pine forest at duke FACE</w:t>
      </w:r>
      <w:r>
        <w:t xml:space="preserve"> </w:t>
      </w:r>
      <w:r>
        <w:t xml:space="preserve">(DeLucia et al. 2005)</w:t>
      </w:r>
      <w:r>
        <w:t xml:space="preserve">. It is possible that observed patterns in stem C mass were related to allometric trajectories as a function of plant size</w:t>
      </w:r>
      <w:r>
        <w:t xml:space="preserve"> </w:t>
      </w:r>
      <w:r>
        <w:t xml:space="preserve">(Tjoelker et al. 1998, Müller et al. 2000)</w:t>
      </w:r>
      <w:r>
        <w:t xml:space="preserve"> </w:t>
      </w:r>
      <w:r>
        <w:t xml:space="preserve">more than direct effects of eC</w:t>
      </w:r>
      <w:r>
        <w:rPr>
          <w:vertAlign w:val="subscript"/>
        </w:rPr>
        <w:t xml:space="preserve">a</w:t>
      </w:r>
      <w:r>
        <w:t xml:space="preserve"> </w:t>
      </w:r>
      <w:r>
        <w:t xml:space="preserve">on stem biomass production. Stem mass fractions (SMF) were found to increase with total plant size and were marginally reduced in eC</w:t>
      </w:r>
      <w:r>
        <w:rPr>
          <w:vertAlign w:val="subscript"/>
        </w:rPr>
        <w:t xml:space="preserve">a</w:t>
      </w:r>
      <w:r>
        <w:t xml:space="preserve"> </w:t>
      </w:r>
      <w:r>
        <w:t xml:space="preserve">treatments. Carbon allocation to stems was unaffected in eC</w:t>
      </w:r>
      <w:r>
        <w:rPr>
          <w:vertAlign w:val="subscript"/>
        </w:rPr>
        <w:t xml:space="preserve">a</w:t>
      </w:r>
      <w:r>
        <w:t xml:space="preserve"> </w:t>
      </w:r>
      <w:r>
        <w:t xml:space="preserve">treatments, however, inferring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treatments negatively affected other tree processes which first decreased overall tree size.</w:t>
      </w:r>
    </w:p>
    <w:p>
      <w:pPr>
        <w:pStyle w:val="BodyText"/>
      </w:pPr>
      <w:r>
        <w:br w:type="textWrapping"/>
      </w:r>
      <w:r>
        <w:t xml:space="preserve">Contrary to expectation, we found that both LMF and C allocation to leaves increased in eC</w:t>
      </w:r>
      <w:r>
        <w:rPr>
          <w:vertAlign w:val="subscript"/>
        </w:rPr>
        <w:t xml:space="preserve">a</w:t>
      </w:r>
      <w:r>
        <w:t xml:space="preserve"> </w:t>
      </w:r>
      <w:r>
        <w:t xml:space="preserve">treatments independent of tree size effects.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Previously reported increases in leaf respiration under eC</w:t>
      </w:r>
      <w:r>
        <w:rPr>
          <w:vertAlign w:val="subscript"/>
        </w:rPr>
        <w:t xml:space="preserve">a</w:t>
      </w:r>
      <w:r>
        <w:t xml:space="preserve"> </w:t>
      </w:r>
      <w:r>
        <w:t xml:space="preserve">treatments</w:t>
      </w:r>
      <w:r>
        <w:t xml:space="preserve"> </w:t>
      </w:r>
      <w:r>
        <w:t xml:space="preserve">(Crous et al. 2011, 2012)</w:t>
      </w:r>
      <w:r>
        <w:t xml:space="preserve"> </w:t>
      </w:r>
      <w:r>
        <w:t xml:space="preserve">are intrinsically included in the measurement of</w:t>
      </w:r>
      <w:r>
        <w:t xml:space="preserve"> </w:t>
      </w:r>
      <m:oMath>
        <m:sSub>
          <m:e>
            <m:r>
              <m:rPr>
                <m:sty m:val="p"/>
              </m:rPr>
              <m:t>F</m:t>
            </m:r>
          </m:e>
          <m:sub>
            <m:r>
              <m:rPr/>
              <m:t>c</m:t>
            </m:r>
            <m:r>
              <m:rPr/>
              <m:t>,</m:t>
            </m:r>
            <m:r>
              <m:rPr/>
              <m:t>d</m:t>
            </m:r>
          </m:sub>
        </m:sSub>
      </m:oMath>
      <w:r>
        <w:t xml:space="preserve">, thus observed increases in leaf C allocation in terms of leaf biomass production are independent of shifts in respiration. Decreases in SLA were detected in WTC trees under eC</w:t>
      </w:r>
      <w:r>
        <w:rPr>
          <w:vertAlign w:val="subscript"/>
        </w:rPr>
        <w:t xml:space="preserve">a</w:t>
      </w:r>
      <w:r>
        <w:t xml:space="preserve"> </w:t>
      </w:r>
      <w:r>
        <w:t xml:space="preserve">treatments, which is often found across eC</w:t>
      </w:r>
      <w:r>
        <w:rPr>
          <w:vertAlign w:val="subscript"/>
        </w:rPr>
        <w:t xml:space="preserve">a</w:t>
      </w:r>
      <w:r>
        <w:t xml:space="preserve"> </w:t>
      </w:r>
      <w:r>
        <w:t xml:space="preserve">enrichment studies</w:t>
      </w:r>
      <w:r>
        <w:t xml:space="preserve"> </w:t>
      </w:r>
      <w:r>
        <w:t xml:space="preserve">(Yin 2002, Ainsworth and Long 2005, Wang et al. 2012)</w:t>
      </w:r>
      <w:r>
        <w:t xml:space="preserve">. Concentrations of leaf non-structural carbohydrates (TNC) often increase under eC</w:t>
      </w:r>
      <w:r>
        <w:rPr>
          <w:vertAlign w:val="subscript"/>
        </w:rPr>
        <w:t xml:space="preserve">a</w:t>
      </w:r>
      <w:r>
        <w:t xml:space="preserve"> </w:t>
      </w:r>
      <w:r>
        <w:t xml:space="preserve">(Roden and Ball 1996, Picon et al. 1997, Poorter et al. 1997, Loewe et al. 2000, Walter et al. 2005)</w:t>
      </w:r>
      <w:r>
        <w:t xml:space="preserve"> </w:t>
      </w:r>
      <w:r>
        <w:t xml:space="preserve">and are often associated with subsequent decreases in SLA in trees</w:t>
      </w:r>
      <w:r>
        <w:t xml:space="preserve"> </w:t>
      </w:r>
      <w:r>
        <w:t xml:space="preserve">(Barron-Gafford et al. 2005, Körner et al. 2005)</w:t>
      </w:r>
      <w:r>
        <w:t xml:space="preserve">. Here, increased C allocation to leaves may have resulted in the observed increase in leaf TNC under eC</w:t>
      </w:r>
      <w:r>
        <w:rPr>
          <w:vertAlign w:val="subscript"/>
        </w:rPr>
        <w:t xml:space="preserve">a</w:t>
      </w:r>
      <w:r>
        <w:t xml:space="preserve"> </w:t>
      </w:r>
      <w:r>
        <w:t xml:space="preserve">(see Crous et al. 2011)</w:t>
      </w:r>
      <w:r>
        <w:t xml:space="preserve"> </w:t>
      </w:r>
      <w:r>
        <w:t xml:space="preserve">to fulfill increased canopy respiratory demands or meet sink demands of other tissues. Taken together, results for aboveground tissues highlight the importance of separating impacts on measured biomass from those of total C allocation associated with growth when evaluating tree responses to climate change.</w:t>
      </w:r>
    </w:p>
    <w:p>
      <w:pPr>
        <w:pStyle w:val="Heading2"/>
      </w:pPr>
      <w:bookmarkStart w:id="52" w:name="tbca-response-to-climate-change-in-a-single-tree-ecosystem"/>
      <w:bookmarkEnd w:id="52"/>
      <w:r>
        <w:t xml:space="preserve">4.5.3 TBCA response to climate change in a single-tree ecosystem</w:t>
      </w:r>
    </w:p>
    <w:p>
      <w:pPr>
        <w:pStyle w:val="FirstParagraph"/>
      </w:pPr>
      <w:r>
        <w:t xml:space="preserve">Despite increased attention to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in eC</w:t>
      </w:r>
      <w:r>
        <w:rPr>
          <w:vertAlign w:val="subscript"/>
        </w:rPr>
        <w:t xml:space="preserve">a</w:t>
      </w:r>
      <w:r>
        <w:t xml:space="preserve"> </w:t>
      </w:r>
      <w:r>
        <w:t xml:space="preserve">treatments 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w:t>
      </w:r>
      <w:r>
        <w:t xml:space="preserve"> </w:t>
      </w:r>
      <w:r>
        <w:t xml:space="preserve">(Palmroth et al. 2006)</w:t>
      </w:r>
      <w:r>
        <w:t xml:space="preserve"> </w:t>
      </w:r>
      <w:r>
        <w:t xml:space="preserve">but the single-tree ecosystem design of the WTC allowed us to evaluate the effects of climate change factors without the inherent environmental complexity of a forest community. The unique design of the WTC allowed us to track TBCA as a cumulative total and across daily time steps, both of which can be used to validate and constrain models where C allocation is represented.</w:t>
      </w:r>
    </w:p>
    <w:p>
      <w:pPr>
        <w:pStyle w:val="BodyText"/>
      </w:pPr>
      <w:r>
        <w:br w:type="textWrapping"/>
      </w:r>
      <w:r>
        <w:t xml:space="preserve">With high resolution flux data and reliable estimates of aboveground dry mass production we show that TBCA was not affected by eC</w:t>
      </w:r>
      <w:r>
        <w:rPr>
          <w:vertAlign w:val="subscript"/>
        </w:rPr>
        <w:t xml:space="preserve">a</w:t>
      </w:r>
      <w:r>
        <w:t xml:space="preserve"> </w:t>
      </w:r>
      <w:r>
        <w:t xml:space="preserve">or drought treatments over the final eleven months of the experiment. Contrary to expectation, we detected minimal effects of eC</w:t>
      </w:r>
      <w:r>
        <w:rPr>
          <w:vertAlign w:val="subscript"/>
        </w:rPr>
        <w:t xml:space="preserve">a</w:t>
      </w:r>
      <w:r>
        <w:t xml:space="preserve"> </w:t>
      </w:r>
      <w:r>
        <w:t xml:space="preserve">or drought treatments on root biomass partitioning, although it was not possible to differentiate fine and coarse root production and turnover. Although these findings disagree with TBCA results from forested FACE experiments</w:t>
      </w:r>
      <w:r>
        <w:t xml:space="preserve"> </w:t>
      </w:r>
      <w:r>
        <w:t xml:space="preserve">(see Palmroth et al. 2006)</w:t>
      </w:r>
      <w:r>
        <w:t xml:space="preserve">, comparisons between single-tree studies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 However, a lack of cumulative change in TBCA does not imply that belowground processes were unaffected by either treatment. For example, trees under drought stress may increase C allocation to root systems to alleviate water stress</w:t>
      </w:r>
      <w:r>
        <w:t xml:space="preserve"> </w:t>
      </w:r>
      <w:r>
        <w:t xml:space="preserve">(Poorter and Nagel 2000)</w:t>
      </w:r>
      <w:r>
        <w:t xml:space="preserve">, but this increase could be offset by reduced root exudation</w:t>
      </w:r>
      <w:r>
        <w:t xml:space="preserve"> </w:t>
      </w:r>
      <w:r>
        <w:t xml:space="preserve">(Iversen and Norby 2014)</w:t>
      </w:r>
      <w:r>
        <w:t xml:space="preserve">, reduced C demand via decreases in root respiration rates</w:t>
      </w:r>
      <w:r>
        <w:t xml:space="preserve"> </w:t>
      </w:r>
      <w:r>
        <w:t xml:space="preserve">(Burton et al. 1998)</w:t>
      </w:r>
      <w:r>
        <w:t xml:space="preserve"> </w:t>
      </w:r>
      <w:r>
        <w:t xml:space="preserve">or increased root mortality and turnover</w:t>
      </w:r>
      <w:r>
        <w:t xml:space="preserve"> </w:t>
      </w:r>
      <w:r>
        <w:t xml:space="preserve">(Marshall 1986, Meier and Leuschner 2008)</w:t>
      </w:r>
      <w:r>
        <w:t xml:space="preserve">.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increased root production and exudation.</w:t>
      </w:r>
    </w:p>
    <w:p>
      <w:pPr>
        <w:pStyle w:val="BodyText"/>
      </w:pPr>
      <w:r>
        <w:br w:type="textWrapping"/>
      </w:r>
      <w:r>
        <w:t xml:space="preserve">With an estimation of daily aboveground C mass gain and measured cumulative whole tree C uptake we were able to uniquely track dynamic short term effects of eC</w:t>
      </w:r>
      <w:r>
        <w:rPr>
          <w:vertAlign w:val="subscript"/>
        </w:rPr>
        <w:t xml:space="preserve">a</w:t>
      </w:r>
      <w:r>
        <w:t xml:space="preserve"> </w:t>
      </w:r>
      <w:r>
        <w:t xml:space="preserve">or drought on TBCA. Across daily time steps, we observed a relatively stable fraction of total tree C flux distributed to TBCA over a period of eleven months. The ability to calculate TBCA as a simple residual between measured aboveground processes gives us reliable estimates of the absolute amount of C distributed belowground each day, which appears to be insensitive to sustained exposure to eC</w:t>
      </w:r>
      <w:r>
        <w:rPr>
          <w:vertAlign w:val="subscript"/>
        </w:rPr>
        <w:t xml:space="preserve">a</w:t>
      </w:r>
      <w:r>
        <w:t xml:space="preserve"> </w:t>
      </w:r>
      <w:r>
        <w:t xml:space="preserve">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residence time in any tissue or soil component. As a result, the lack of a cumulative response of TBCA raises questions about the consistency of belowground responses to climate change factors often reported. Our results confirm the need for more reliable estimates of TBCA in future studies, which are crucial for predicting forest responses to climate change.</w:t>
      </w:r>
    </w:p>
    <w:p>
      <w:pPr>
        <w:pStyle w:val="Heading2"/>
      </w:pPr>
      <w:bookmarkStart w:id="53" w:name="conclusions"/>
      <w:bookmarkEnd w:id="53"/>
      <w:r>
        <w:t xml:space="preserve">4.5.4 Conclusions</w:t>
      </w:r>
    </w:p>
    <w:p>
      <w:pPr>
        <w:pStyle w:val="FirstParagraph"/>
      </w:pPr>
      <w:r>
        <w:t xml:space="preserve">Here we use novel aspects of the WTC experimental facility to show that whole tree C flux and tree growth were highly correlated, while patterns in biomass partitioning alone were insufficient to explain eC</w:t>
      </w:r>
      <w:r>
        <w:rPr>
          <w:vertAlign w:val="subscript"/>
        </w:rPr>
        <w:t xml:space="preserve">a</w:t>
      </w:r>
      <w:r>
        <w:t xml:space="preserve"> </w:t>
      </w:r>
      <w:r>
        <w:t xml:space="preserve">effects on tree growth. With individual</w:t>
      </w:r>
      <w:r>
        <w:t xml:space="preserve"> </w:t>
      </w:r>
      <w:r>
        <w:rPr>
          <w:i/>
        </w:rPr>
        <w:t xml:space="preserve">Eucalyptus saligna</w:t>
      </w:r>
      <w:r>
        <w:t xml:space="preserve"> </w:t>
      </w:r>
      <w:r>
        <w:t xml:space="preserve">trees we show different responses of above and belowground C allocation to eC</w:t>
      </w:r>
      <w:r>
        <w:rPr>
          <w:vertAlign w:val="subscript"/>
        </w:rPr>
        <w:t xml:space="preserve">a</w:t>
      </w:r>
      <w:r>
        <w:t xml:space="preserve"> </w:t>
      </w:r>
      <w:r>
        <w:t xml:space="preserve">treatments, which may have important implications for how C allocation should be represented in process-based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(De Kauwe et al. 2014)</w:t>
      </w:r>
      <w:r>
        <w:t xml:space="preserve">. Continuing to apply novel approaches to better evaluate TBCA and empirically measure whole tree C fluxes, such as the WTC experiment, are the way forward in addressing questions regarding the fate of assimilated C under global climate change.</w:t>
      </w:r>
    </w:p>
    <w:p>
      <w:pPr>
        <w:pStyle w:val="Heading1"/>
      </w:pPr>
      <w:bookmarkStart w:id="54" w:name="supporting-information"/>
      <w:bookmarkEnd w:id="54"/>
      <w:r>
        <w:t xml:space="preserve">4.6 Supporting Information</w:t>
      </w:r>
    </w:p>
    <w:p>
      <w:pPr>
        <w:pStyle w:val="FirstParagraph"/>
      </w:pPr>
      <w:r>
        <w:drawing>
          <wp:inline>
            <wp:extent cx="5422900" cy="5422900"/>
            <wp:effectExtent b="0" l="0" r="0" t="0"/>
            <wp:docPr descr="" id="1" name="Picture"/>
            <a:graphic>
              <a:graphicData uri="http://schemas.openxmlformats.org/drawingml/2006/picture">
                <pic:pic>
                  <pic:nvPicPr>
                    <pic:cNvPr descr="wtc1_manuscript_files/figure-docx/rootshoot-1.png" id="0" name="Picture"/>
                    <pic:cNvPicPr>
                      <a:picLocks noChangeArrowheads="1" noChangeAspect="1"/>
                    </pic:cNvPicPr>
                  </pic:nvPicPr>
                  <pic:blipFill>
                    <a:blip r:embed="rId55"/>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4.S1</w:t>
      </w:r>
      <w:r>
        <w:t xml:space="preserve">. Root mass as a function of shoot mass in</w:t>
      </w:r>
      <w:r>
        <w:t xml:space="preserve"> </w:t>
      </w:r>
      <w:r>
        <w:rPr>
          <w:i/>
        </w:rPr>
        <w:t xml:space="preserve">Eucalyptus saligna</w:t>
      </w:r>
      <w:r>
        <w:t xml:space="preserve"> </w:t>
      </w:r>
      <w:r>
        <w:t xml:space="preserve">for potted seedlings harvested before planting of WTC trees (n=17) and WTC trees harvested after 2 years (n=12). Potted seedlings were grown in 25 l pots inside each WTC, while chamber [CO</w:t>
      </w:r>
      <w:r>
        <w:rPr>
          <w:vertAlign w:val="subscript"/>
        </w:rPr>
        <w:t xml:space="preserve">2</w:t>
      </w:r>
      <w:r>
        <w:t xml:space="preserve">] treatments conditions were maintained. The solid line represents the significant log-log model fit (R</w:t>
      </w:r>
      <w:r>
        <w:rPr>
          <w:vertAlign w:val="superscript"/>
        </w:rPr>
        <w:t xml:space="preserve">2</w:t>
      </w:r>
      <w:r>
        <w:t xml:space="preserve"> </w:t>
      </w:r>
      <w:r>
        <w:t xml:space="preserve">= 0.98) from the equation: log(x) = 0.77(log(y)) + 0.43.</w:t>
      </w:r>
    </w:p>
    <w:p>
      <w:pPr>
        <w:pStyle w:val="BodyText"/>
      </w:pPr>
      <w:r>
        <w:drawing>
          <wp:inline>
            <wp:extent cx="5422900" cy="7465902"/>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6"/>
                    <a:stretch>
                      <a:fillRect/>
                    </a:stretch>
                  </pic:blipFill>
                  <pic:spPr bwMode="auto">
                    <a:xfrm>
                      <a:off x="0" y="0"/>
                      <a:ext cx="5422900" cy="7465902"/>
                    </a:xfrm>
                    <a:prstGeom prst="rect">
                      <a:avLst/>
                    </a:prstGeom>
                    <a:noFill/>
                    <a:ln w="9525">
                      <a:noFill/>
                      <a:headEnd/>
                      <a:tailEnd/>
                    </a:ln>
                  </pic:spPr>
                </pic:pic>
              </a:graphicData>
            </a:graphic>
          </wp:inline>
        </w:drawing>
      </w:r>
      <w:r>
        <w:br w:type="textWrapping"/>
      </w:r>
      <w:r>
        <w:rPr>
          <w:b/>
        </w:rPr>
        <w:t xml:space="preserve">Figure 4.S2</w:t>
      </w:r>
      <w:r>
        <w:t xml:space="preserve">. Cumulative aboveground net C flux and additive C allocation to individual tree components from 15 April 2008 to 16 March 2009. Panels represent each individual WTC. Both aboveground net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57" w:name="references"/>
      <w:bookmarkEnd w:id="57"/>
      <w:r>
        <w:t xml:space="preserve">References</w:t>
      </w:r>
    </w:p>
    <w:p>
      <w:pPr>
        <w:pStyle w:val="Bibliography"/>
      </w:pPr>
      <w:r>
        <w:t xml:space="preserve">Abramowitz G (2005) Towards a benchmark for land surface models. Geophysical Research Letters 32</w:t>
      </w:r>
    </w:p>
    <w:p>
      <w:pPr>
        <w:pStyle w:val="Bibliography"/>
      </w:pPr>
      <w:r>
        <w:t xml:space="preserve">Adair EC, Reich PB, Hobbie SE, Knops JMH (2009) Interactive effects of time, CO</w:t>
      </w:r>
      <w:r>
        <w:rPr>
          <w:vertAlign w:val="subscript"/>
        </w:rPr>
        <w:t xml:space="preserve">2</w:t>
      </w:r>
      <w:r>
        <w:t xml:space="preserve">, N, and diversity on total belowground carbon allocation and ecosystem carbon storage in a grassland community. Ecosystems 12:1037–1052.</w:t>
      </w:r>
    </w:p>
    <w:p>
      <w:pPr>
        <w:pStyle w:val="Bibliography"/>
      </w:pPr>
      <w:r>
        <w:t xml:space="preserve">Ainsworth EA, Long SP (2005) What have we learned from 15 years of free-air CO</w:t>
      </w:r>
      <w:r>
        <w:rPr>
          <w:vertAlign w:val="subscript"/>
        </w:rPr>
        <w:t xml:space="preserve">2</w:t>
      </w:r>
      <w:r>
        <w:t xml:space="preserve"> </w:t>
      </w:r>
      <w:r>
        <w:t xml:space="preserve">enrichment (FACE)? A meta-analytic review of the responses of photosynthesis, canopy properties and plant production to rising CO</w:t>
      </w:r>
      <w:r>
        <w:rPr>
          <w:vertAlign w:val="subscript"/>
        </w:rPr>
        <w:t xml:space="preserve">2</w:t>
      </w:r>
      <w:r>
        <w:t xml:space="preserve">. New Phytologist 165:351–372.</w:t>
      </w:r>
    </w:p>
    <w:p>
      <w:pPr>
        <w:pStyle w:val="Bibliography"/>
      </w:pPr>
      <w:r>
        <w:t xml:space="preserve">Amthor JS (1994) Scaling CO</w:t>
      </w:r>
      <w:r>
        <w:rPr>
          <w:vertAlign w:val="subscript"/>
        </w:rPr>
        <w:t xml:space="preserve">2</w:t>
      </w:r>
      <w:r>
        <w:t xml:space="preserve">-photosynthesis relationships from the leaf to the canopy. Photosynthesis Research 39:321–350.</w:t>
      </w:r>
    </w:p>
    <w:p>
      <w:pPr>
        <w:pStyle w:val="Bibliography"/>
      </w:pPr>
      <w:r>
        <w:t xml:space="preserve">Anderegg WRL (2012) Complex aspen forest carbon and root dynamics during drought. Climatic Change 111:983–991.</w:t>
      </w:r>
    </w:p>
    <w:p>
      <w:pPr>
        <w:pStyle w:val="Bibliography"/>
      </w:pPr>
      <w:r>
        <w:t xml:space="preserve">Atwell BJ, Henery ML, Rogers GS, Seneweera SP, Treadwell M, Conroy JP (2007) Canopy development and hydraulic function in</w:t>
      </w:r>
      <w:r>
        <w:t xml:space="preserve"> </w:t>
      </w:r>
      <w:r>
        <w:rPr>
          <w:i/>
        </w:rPr>
        <w:t xml:space="preserve">Eucalyptus tereticornis</w:t>
      </w:r>
      <w:r>
        <w:t xml:space="preserve"> </w:t>
      </w:r>
      <w:r>
        <w:t xml:space="preserve">grown in drought in CO</w:t>
      </w:r>
      <w:r>
        <w:rPr>
          <w:vertAlign w:val="subscript"/>
        </w:rPr>
        <w:t xml:space="preserve">2</w:t>
      </w:r>
      <w:r>
        <w:t xml:space="preserve">-enriched atmospheres. Functional Plant Biology 34:1137–1149.</w:t>
      </w:r>
    </w:p>
    <w:p>
      <w:pPr>
        <w:pStyle w:val="Bibliography"/>
      </w:pPr>
      <w:r>
        <w:t xml:space="preserve">Barron-Gafford G, Martens D, Grieve K, Biel K, Kudeyarov V, McLain JET, Lipson D, Murthy R (2005) Growth of Eastern Cottonwoods (</w:t>
      </w:r>
      <w:r>
        <w:rPr>
          <w:i/>
        </w:rPr>
        <w:t xml:space="preserve">Populus deltoides</w:t>
      </w:r>
      <w:r>
        <w:t xml:space="preserve">) in elevated [CO</w:t>
      </w:r>
      <w:r>
        <w:rPr>
          <w:vertAlign w:val="subscript"/>
        </w:rPr>
        <w:t xml:space="preserve">2</w:t>
      </w:r>
      <w:r>
        <w:t xml:space="preserve">] stimulates stand-level respiration and rhizodeposition of carbohydrates, accelerates soil nutrient depletion, yet stimulates above-and belowground biomass production. Global Change Biology 11:1220–1233.</w:t>
      </w:r>
    </w:p>
    <w:p>
      <w:pPr>
        <w:pStyle w:val="Bibliography"/>
      </w:pPr>
      <w:r>
        <w:t xml:space="preserve">Barton CVM, Duursma RA, Medlyn BE, Ellsworth DS, Eamus D, Tissue DT, Adams MA, Conroy J, Crous KY, Liberloo M, Others (2012) Effects of elevated atmospheric [CO</w:t>
      </w:r>
      <w:r>
        <w:rPr>
          <w:vertAlign w:val="subscript"/>
        </w:rPr>
        <w:t xml:space="preserve">2</w:t>
      </w:r>
      <w:r>
        <w:t xml:space="preserve">] on instantaneous transpiration efficiency at leaf and canopy scales in</w:t>
      </w:r>
      <w:r>
        <w:t xml:space="preserve"> </w:t>
      </w:r>
      <w:r>
        <w:rPr>
          <w:i/>
        </w:rPr>
        <w:t xml:space="preserve">Eucalyptus saligna</w:t>
      </w:r>
      <w:r>
        <w:t xml:space="preserve">. Global Change Biology 18:585–595.</w:t>
      </w:r>
    </w:p>
    <w:p>
      <w:pPr>
        <w:pStyle w:val="Bibliography"/>
      </w:pPr>
      <w:r>
        <w:t xml:space="preserve">Barton CVM, Ellsworth DS, Medlyn BE, Duursma RA, Tissue DT, Adams MA, Eamus D, Conroy JP, McMurtrie RE, Parsby J, Others (2010) Whole-tree chambers for elevated atmospheric CO</w:t>
      </w:r>
      <w:r>
        <w:rPr>
          <w:vertAlign w:val="subscript"/>
        </w:rPr>
        <w:t xml:space="preserve">2</w:t>
      </w:r>
      <w:r>
        <w:t xml:space="preserve"> </w:t>
      </w:r>
      <w:r>
        <w:t xml:space="preserve">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New Phytologist 167:297–307.</w:t>
      </w:r>
    </w:p>
    <w:p>
      <w:pPr>
        <w:pStyle w:val="Bibliography"/>
      </w:pPr>
      <w:r>
        <w:t xml:space="preserve">Crous KY, Zaragoza-Castells J, Ellsworth DS, Duursma RA, Loew M, Tissue DT, Atkin OK (2012) Light inhibition of leaf respiration in field-grown</w:t>
      </w:r>
      <w:r>
        <w:t xml:space="preserve"> </w:t>
      </w:r>
      <w:r>
        <w:rPr>
          <w:i/>
        </w:rPr>
        <w:t xml:space="preserve">Eucalyptus saligna</w:t>
      </w:r>
      <w:r>
        <w:t xml:space="preserve"> </w:t>
      </w:r>
      <w:r>
        <w:t xml:space="preserve">in whole-tree chambers under elevated atmospheric CO</w:t>
      </w:r>
      <w:r>
        <w:rPr>
          <w:vertAlign w:val="subscript"/>
        </w:rPr>
        <w:t xml:space="preserve">2</w:t>
      </w:r>
      <w:r>
        <w:t xml:space="preserve"> </w:t>
      </w:r>
      <w:r>
        <w:t xml:space="preserve">and summer drought. Plant, cell &amp; environment 35:966–981.</w:t>
      </w:r>
    </w:p>
    <w:p>
      <w:pPr>
        <w:pStyle w:val="Bibliography"/>
      </w:pPr>
      <w:r>
        <w:t xml:space="preserve">Crous KY, Zaragoza-Castells J, Loew M, Ellsworth DS, Tissue DT, Tjoelker MG, Barton CVM, Gimeno TE, Atkin OK (2011) Seasonal acclimation of leaf respiration in</w:t>
      </w:r>
      <w:r>
        <w:t xml:space="preserve"> </w:t>
      </w:r>
      <w:r>
        <w:rPr>
          <w:i/>
        </w:rPr>
        <w:t xml:space="preserve">Eucalyptus saligna</w:t>
      </w:r>
      <w:r>
        <w:t xml:space="preserve"> </w:t>
      </w:r>
      <w:r>
        <w:t xml:space="preserve">trees: impacts of elevated atmospheric CO</w:t>
      </w:r>
      <w:r>
        <w:rPr>
          <w:vertAlign w:val="subscript"/>
        </w:rPr>
        <w:t xml:space="preserve">2</w:t>
      </w:r>
      <w:r>
        <w:t xml:space="preserve"> </w:t>
      </w:r>
      <w:r>
        <w:t xml:space="preserve">and summer drought. Global Change Biology 17:1560–1576.</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 MG, Medlyn BE, Zaehle S, Walker AP, Dietze MC, Wang Y-P, Luo Y, Jain AK, El-Masri B, Hickler T, Others (2014) Where does the carbon go? A model–data intercomparison of vegetation carbon allocation and turnover processes at two temperate forest free-air CO</w:t>
      </w:r>
      <w:r>
        <w:rPr>
          <w:vertAlign w:val="subscript"/>
        </w:rPr>
        <w:t xml:space="preserve">2</w:t>
      </w:r>
      <w:r>
        <w:t xml:space="preserve"> </w:t>
      </w:r>
      <w:r>
        <w:t xml:space="preserve">enrichment sites. New Phytologist 203:883–899.</w:t>
      </w:r>
    </w:p>
    <w:p>
      <w:pPr>
        <w:pStyle w:val="Bibliography"/>
      </w:pPr>
      <w:r>
        <w:t xml:space="preserve">De Pury DGG, Farquhar GD (1997) Simple scaling of photosynthesis from leaves to canopies without the errors of big-leaf models. Plant Cell and Environment 20:537–557.</w:t>
      </w:r>
    </w:p>
    <w:p>
      <w:pPr>
        <w:pStyle w:val="Bibliography"/>
      </w:pPr>
      <w:r>
        <w:t xml:space="preserve">DeLucia EH, Moore DJ, Norby RJ (2005) Contrasting responses of forest ecosystems to rising atmospheric CO</w:t>
      </w:r>
      <w:r>
        <w:rPr>
          <w:vertAlign w:val="subscript"/>
        </w:rPr>
        <w:t xml:space="preserve">2</w:t>
      </w:r>
      <w:r>
        <w:t xml:space="preserve">: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w:t>
      </w:r>
      <w:r>
        <w:rPr>
          <w:vertAlign w:val="subscript"/>
        </w:rPr>
        <w:t xml:space="preserve">2</w:t>
      </w:r>
      <w:r>
        <w:t xml:space="preserve">] x drought interaction in</w:t>
      </w:r>
      <w:r>
        <w:t xml:space="preserve"> </w:t>
      </w:r>
      <w:r>
        <w:rPr>
          <w:i/>
        </w:rPr>
        <w:t xml:space="preserve">Eucalyptus saligna</w:t>
      </w:r>
      <w:r>
        <w:t xml:space="preserve">. Tree physiology 31:922–931.</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Körner C (2014) Moving beyond photosynthesis: from carbon source to sink-driven vegetation modeling. New Phytologist 201:1086–1095.</w:t>
      </w:r>
    </w:p>
    <w:p>
      <w:pPr>
        <w:pStyle w:val="Bibliography"/>
      </w:pPr>
      <w:r>
        <w:t xml:space="preserve">Franklin O, Johansson J, Dewar RC, Dieckmann U, McMurtrie RE, Brännström Å, Dybzinski R (2012) Modeling carbon allocation in trees: a search for principles. Tree Physiology 32:648–666.</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w:t>
      </w:r>
      <w:r>
        <w:t xml:space="preserve"> </w:t>
      </w:r>
      <w:r>
        <w:rPr>
          <w:i/>
        </w:rPr>
        <w:t xml:space="preserve">Eucalyptus</w:t>
      </w:r>
      <w:r>
        <w:t xml:space="preserve"> </w:t>
      </w:r>
      <w:r>
        <w:t xml:space="preserve">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Health J, Kerstiens G (1997) Effects of elevated CO</w:t>
      </w:r>
      <w:r>
        <w:rPr>
          <w:vertAlign w:val="subscript"/>
        </w:rPr>
        <w:t xml:space="preserve">2</w:t>
      </w:r>
      <w:r>
        <w:t xml:space="preserve"> </w:t>
      </w:r>
      <w:r>
        <w:t xml:space="preserve">on leaf gas exchange in beech and oak at two levels of nutrient supply: consequences for sensitivity to drought in beech. Plant Cell and Environment 20:57–67.</w:t>
      </w:r>
    </w:p>
    <w:p>
      <w:pPr>
        <w:pStyle w:val="Bibliography"/>
      </w:pPr>
      <w:r>
        <w:t xml:space="preserve">Iversen CM (2010) Digging deeper: fine-root responses to rising atmospheric CO</w:t>
      </w:r>
      <w:r>
        <w:rPr>
          <w:vertAlign w:val="subscript"/>
        </w:rPr>
        <w:t xml:space="preserve">2</w:t>
      </w:r>
      <w:r>
        <w:t xml:space="preserve"> </w:t>
      </w:r>
      <w:r>
        <w:t xml:space="preserve">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Körner C, Asshoff R, Bignucolo O, Hättenschwiler S, Keel SG, Peláez-Riedl S, Pepin S, Siegwolf RTW, Zotz G (2005) Carbon flux and growth in mature deciduous forest trees exposed to elevated CO</w:t>
      </w:r>
      <w:r>
        <w:rPr>
          <w:vertAlign w:val="subscript"/>
        </w:rPr>
        <w:t xml:space="preserve">2</w:t>
      </w:r>
      <w:r>
        <w:t xml:space="preserve">.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Leuning R, Kelliher FM, Pury DGG de, Schulze E-D (1995) Leaf nitrogen, photosynthesis, conductance and transpiration: scaling from leaves to canopies. Plant, Cell &amp; Environment 18:1183–1200.</w:t>
      </w:r>
    </w:p>
    <w:p>
      <w:pPr>
        <w:pStyle w:val="Bibliography"/>
      </w:pPr>
      <w:r>
        <w:t xml:space="preserve">Lindroth A, Lagergren F, Aurela M, Bjarnadottir B, Christensen T, Dellwik E, Grelle A, Ibrom A, Johansson T, Lankreijer H, Others (2008) Leaf area index is the principal scaling parameter for both gross photosynthesis and ecosystem respiration of Northern deciduous and coniferous forests. Tellus B 60:129–142.</w:t>
      </w:r>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w:t>
      </w:r>
      <w:r>
        <w:rPr>
          <w:vertAlign w:val="subscript"/>
        </w:rPr>
        <w:t xml:space="preserve">2</w:t>
      </w:r>
      <w:r>
        <w:t xml:space="preserve"> </w:t>
      </w:r>
      <w:r>
        <w:t xml:space="preserve">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Mäkelä A (1997) A carbon balance model of growth and self-pruning in trees based on structural relationships. Forest Science 43:7–24.</w:t>
      </w:r>
    </w:p>
    <w:p>
      <w:pPr>
        <w:pStyle w:val="Bibliography"/>
      </w:pPr>
      <w:r>
        <w:t xml:space="preserve">Mäkelä A (2012) On guiding principles for carbon allocation in eco-physiological growth models. Tree physiology 32:644–647.</w:t>
      </w:r>
    </w:p>
    <w:p>
      <w:pPr>
        <w:pStyle w:val="Bibliography"/>
      </w:pPr>
      <w:r>
        <w:t xml:space="preserve">McCarthy HR, Oren R, Finzi AC, Johnsen KH (2006) Canopy leaf area constrains [CO</w:t>
      </w:r>
      <w:r>
        <w:rPr>
          <w:vertAlign w:val="subscript"/>
        </w:rPr>
        <w:t xml:space="preserve">2</w:t>
      </w:r>
      <w:r>
        <w:t xml:space="preserve">]-induced enhancement of productivity and partitioning among aboveground carbon pools. Proceedings of the National Academy of Sciences 103:19356–19361.</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Müller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w:t>
      </w:r>
      <w:r>
        <w:rPr>
          <w:vertAlign w:val="subscript"/>
        </w:rPr>
        <w:t xml:space="preserve">2</w:t>
      </w:r>
      <w:r>
        <w:t xml:space="preserve">]-induced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w:t>
      </w:r>
      <w:r>
        <w:rPr>
          <w:vertAlign w:val="subscript"/>
        </w:rPr>
        <w:t xml:space="preserve">2</w:t>
      </w:r>
      <w:r>
        <w:t xml:space="preserve"> </w:t>
      </w:r>
      <w:r>
        <w:t xml:space="preserve">fumigation. Ecology letters 14:187–194.</w:t>
      </w:r>
    </w:p>
    <w:p>
      <w:pPr>
        <w:pStyle w:val="Bibliography"/>
      </w:pPr>
      <w:r>
        <w:t xml:space="preserve">Picon C, Ferhi A, Guehl J-M (1997) Journal of Experimental Botany 48:1547–1556.</w:t>
      </w:r>
    </w:p>
    <w:p>
      <w:pPr>
        <w:pStyle w:val="Bibliography"/>
      </w:pPr>
      <w:r>
        <w:t xml:space="preserve">Poorter H, Nagel O (2000) The role of biomass allocation in the growth response of plants to different levels of light, CO</w:t>
      </w:r>
      <w:r>
        <w:rPr>
          <w:vertAlign w:val="subscript"/>
        </w:rPr>
        <w:t xml:space="preserve">2</w:t>
      </w:r>
      <w:r>
        <w:t xml:space="preserve">,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 208:736–749.</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 Van Berkel Y, Baxter R, Den Hertog J, Dijkstra P, Gifford RM, Griffin KL, Roumet C, Roy J, Wong SC (1997) The effect of elevated CO</w:t>
      </w:r>
      <w:r>
        <w:rPr>
          <w:vertAlign w:val="subscript"/>
        </w:rPr>
        <w:t xml:space="preserve">2</w:t>
      </w:r>
      <w:r>
        <w:t xml:space="preserve"> </w:t>
      </w:r>
      <w:r>
        <w:t xml:space="preserve">on the chemical composition and construction costs of leaves of 27 C3 species. Plant, Cell &amp; Environment 20:472–482.</w:t>
      </w:r>
    </w:p>
    <w:p>
      <w:pPr>
        <w:pStyle w:val="Bibliography"/>
      </w:pPr>
      <w:r>
        <w:t xml:space="preserve">R Development Core Team R (2011) R: A Language and Environment for Statistical Computing Team RDC (ed). 1:409.</w:t>
      </w:r>
      <w:r>
        <w:t xml:space="preserve"> </w:t>
      </w:r>
      <w:hyperlink r:id="rId58">
        <w:r>
          <w:rPr>
            <w:rStyle w:val="Hyper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w:t>
      </w:r>
      <w:r>
        <w:rPr>
          <w:vertAlign w:val="subscript"/>
        </w:rPr>
        <w:t xml:space="preserve">2</w:t>
      </w:r>
      <w:r>
        <w:t xml:space="preserve">] on Growth and Photosynthesis of Two Eucalyptus Species Exposed to High Temperatures and Water Deficits. Plant Physiology 111:909–919.</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w:t>
      </w:r>
      <w:r>
        <w:t xml:space="preserve"> </w:t>
      </w:r>
      <w:r>
        <w:rPr>
          <w:i/>
        </w:rPr>
        <w:t xml:space="preserve">Eucalyptus</w:t>
      </w:r>
      <w:r>
        <w:t xml:space="preserve"> </w:t>
      </w:r>
      <w:r>
        <w:t xml:space="preserve">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Thomas SC, Martin AR (2012a) Data from: Carbon content of tree tissues: a synthesis.</w:t>
      </w:r>
      <w:r>
        <w:t xml:space="preserve"> </w:t>
      </w:r>
      <w:hyperlink r:id="rId59">
        <w:r>
          <w:rPr>
            <w:rStyle w:val="Hyperlink"/>
          </w:rPr>
          <w:t xml:space="preserve">http://dx.doi.org/10.5061/dryad.69sg2</w:t>
        </w:r>
      </w:hyperlink>
    </w:p>
    <w:p>
      <w:pPr>
        <w:pStyle w:val="Bibliography"/>
      </w:pPr>
      <w:r>
        <w:t xml:space="preserve">Thomas SC, Martin AR (2012b) Carbon content of tree tissues: a synthesis. Forests 3:332–352.</w:t>
      </w:r>
    </w:p>
    <w:p>
      <w:pPr>
        <w:pStyle w:val="Bibliography"/>
      </w:pPr>
      <w:r>
        <w:t xml:space="preserve">Tjoelker MG, Oleksyn J, Reich PB (1998) Temperature and ontogeny mediate growth response to elevated CO</w:t>
      </w:r>
      <w:r>
        <w:rPr>
          <w:vertAlign w:val="subscript"/>
        </w:rPr>
        <w:t xml:space="preserve">2</w:t>
      </w:r>
      <w:r>
        <w:t xml:space="preserve"> </w:t>
      </w:r>
      <w:r>
        <w:t xml:space="preserve">in seedlings of five boreal tree species. New Phytologist 140:197–210.</w:t>
      </w:r>
    </w:p>
    <w:p>
      <w:pPr>
        <w:pStyle w:val="Bibliography"/>
      </w:pPr>
      <w:r>
        <w:t xml:space="preserve">Walter A, Christ MM, Barron-gafford GA, Grieve KA, Murthy R, Rascher U (2005) The effect of elevated CO</w:t>
      </w:r>
      <w:r>
        <w:rPr>
          <w:vertAlign w:val="subscript"/>
        </w:rPr>
        <w:t xml:space="preserve">2</w:t>
      </w:r>
      <w:r>
        <w:t xml:space="preserve"> </w:t>
      </w:r>
      <w:r>
        <w:t xml:space="preserve">on diel leaf growth cycle, leaf carbohydrate content and canopy growth performance of</w:t>
      </w:r>
      <w:r>
        <w:t xml:space="preserve"> </w:t>
      </w:r>
      <w:r>
        <w:rPr>
          <w:i/>
        </w:rPr>
        <w:t xml:space="preserve">Populus deltoides</w:t>
      </w:r>
      <w:r>
        <w:t xml:space="preserve">. Global Change Biology 11:1207–1219.</w:t>
      </w:r>
    </w:p>
    <w:p>
      <w:pPr>
        <w:pStyle w:val="Bibliography"/>
      </w:pPr>
      <w:r>
        <w:t xml:space="preserve">Wang D, Heckathorn SA, Wang X, Philpott SM (2012) A meta-analysis of plant physiological and growth responses to temperature and elevated CO</w:t>
      </w:r>
      <w:r>
        <w:rPr>
          <w:vertAlign w:val="subscript"/>
        </w:rPr>
        <w:t xml:space="preserve">2</w:t>
      </w:r>
      <w:r>
        <w:t xml:space="preserve">. Oecologia 169:1–13.</w:t>
      </w:r>
    </w:p>
    <w:p>
      <w:pPr>
        <w:pStyle w:val="Bibliography"/>
      </w:pPr>
      <w:r>
        <w:t xml:space="preserve">Waring RH (1983) Estimating forest growth and efficiency in relation to canopy leaf area. Adv Ecol Res 13:327–354.</w:t>
      </w:r>
    </w:p>
    <w:p>
      <w:pPr>
        <w:pStyle w:val="Bibliography"/>
      </w:pPr>
      <w:r>
        <w:t xml:space="preserve">Warren JM, Iversen CM, Garten CT, Norby RJ, Childs J, Brice D, Evans RM, Gu L, Thornton P, Weston DJ (2012) Tree physiology 32:799–813.</w:t>
      </w:r>
    </w:p>
    <w:p>
      <w:pPr>
        <w:pStyle w:val="Bibliography"/>
      </w:pPr>
      <w:r>
        <w:t xml:space="preserve">Wilson JW (1965) Stand structure and light penetration. I. Analysis by point quadrats. Journal of applied Ecology:383–390.</w:t>
      </w:r>
    </w:p>
    <w:p>
      <w:pPr>
        <w:pStyle w:val="Bibliography"/>
      </w:pPr>
      <w:r>
        <w:t xml:space="preserve">Yin X (2002) Responses of leaf nitrogen concentration and specific leaf area to atmospheric CO</w:t>
      </w:r>
      <w:r>
        <w:rPr>
          <w:vertAlign w:val="subscript"/>
        </w:rPr>
        <w:t xml:space="preserve">2</w:t>
      </w:r>
      <w:r>
        <w:t xml:space="preserve"> </w:t>
      </w:r>
      <w:r>
        <w:t xml:space="preserve">enrichment: a retrospective synthesis across 62 species. Global Change Biology 8:631–642.</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bcc774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55" Target="media/rId55.png" /><Relationship Type="http://schemas.openxmlformats.org/officeDocument/2006/relationships/image" Id="rId48" Target="media/rId48.png" /><Relationship Type="http://schemas.openxmlformats.org/officeDocument/2006/relationships/hyperlink" Id="rId59" Target="http://dx.doi.org/10.5061/dryad.69sg2" TargetMode="External" /><Relationship Type="http://schemas.openxmlformats.org/officeDocument/2006/relationships/hyperlink" Id="rId58" Target="http://www.r-project.org" TargetMode="External" /></Relationships>
</file>

<file path=word/_rels/footnotes.xml.rels><?xml version="1.0" encoding="UTF-8"?>
<Relationships xmlns="http://schemas.openxmlformats.org/package/2006/relationships"><Relationship Type="http://schemas.openxmlformats.org/officeDocument/2006/relationships/hyperlink" Id="rId59" Target="http://dx.doi.org/10.5061/dryad.69sg2" TargetMode="External" /><Relationship Type="http://schemas.openxmlformats.org/officeDocument/2006/relationships/hyperlink" Id="rId58" Target="http://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4 Elevated atmospheric CO2 and drought does not alter total belowground carbon allocation in Eucalyptus saligna</dc:title>
  <dc:creator/>
</cp:coreProperties>
</file>