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1"/>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Models dont agree on how to represent allocations or its response to CO2, drought..........</w:t>
      </w:r>
    </w:p>
    <w:p>
      <w:r>
        <w:t xml:space="preserve">The representation of C allocation is rudimentary compared to photosynthesis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 to a particular component, are often used in process-based models of forest C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total belowground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Overall, the effects of drought and elevated C</w:t>
      </w:r>
      <w:r>
        <w:rPr>
          <w:vertAlign w:val="subscript"/>
        </w:rPr>
        <w:t xml:space="preserve">a</w:t>
      </w:r>
      <w:r>
        <w:t xml:space="preserve"> </w:t>
      </w:r>
      <w:r>
        <w:t xml:space="preserve">were expected to alter partitioning of C among biomass components.</w:t>
      </w:r>
    </w:p>
    <w:p>
      <w:r>
        <w:br w:type="textWrapping"/>
      </w:r>
      <w:r>
        <w:t xml:space="preserve">(2) As carbon uptake and growth must be coordinated over long time periods, we expected harvested tree C mass to correlate with cumulative total aboveground net canopy C uptake.</w:t>
      </w:r>
    </w:p>
    <w:p>
      <w:r>
        <w:br w:type="textWrapping"/>
      </w:r>
      <w:r>
        <w:t xml:space="preserve">(3) Hypothesis about expectations from daily fluxes and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to compare to harvested tree C mass.</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First, the basal area and length of every individual branch was from the final harvest was multipled to estimate individual branch volume, which was summed for each tree (V</w:t>
      </w:r>
      <w:r>
        <w:rPr>
          <w:vertAlign w:val="subscript"/>
        </w:rPr>
        <w:t xml:space="preserve">br</w:t>
      </w:r>
      <w:r>
        <w:t xml:space="preserve">, cm</w:t>
      </w:r>
      <w:r>
        <w:rPr>
          <w:vertAlign w:val="superscript"/>
        </w:rPr>
        <w:t xml:space="preserve">3</w:t>
      </w:r>
      <w:r>
        <w:t xml:space="preserve">). The product of two parameters, a geometric form factor from Mäkelä et al.</w:t>
      </w:r>
      <w:r>
        <w:t xml:space="preserve"> </w:t>
      </w:r>
      <w:r>
        <w:t xml:space="preserve">(1997)</w:t>
      </w:r>
      <w:r>
        <w:t xml:space="preserve"> </w:t>
      </w:r>
      <w:r>
        <w:t xml:space="preserve">(</w:t>
      </w:r>
      <m:oMath>
        <m:sSub>
          <m:e>
            <m:r>
              <m:rPr>
                <m:sty m:val="p"/>
              </m:rPr>
              <m:t>ϕ</m:t>
            </m:r>
          </m:e>
          <m:sub>
            <m:r>
              <m:rPr>
                <m:sty m:val="p"/>
              </m:rPr>
              <m:t>b</m:t>
            </m:r>
            <m:r>
              <m:rPr>
                <m:sty m:val="p"/>
              </m:rPr>
              <m:t>r</m:t>
            </m:r>
          </m:sub>
        </m:sSub>
      </m:oMath>
      <w:r>
        <w:t xml:space="preserve">) and the total branch density (</w:t>
      </w:r>
      <m:oMath>
        <m:sSub>
          <m:e>
            <m:r>
              <m:rPr>
                <m:sty m:val="p"/>
              </m:rPr>
              <m:t>ρ</m:t>
            </m:r>
          </m:e>
          <m:sub>
            <m:r>
              <m:rPr>
                <m:sty m:val="p"/>
              </m:rPr>
              <m:t>b</m:t>
            </m:r>
            <m:r>
              <m:rPr>
                <m:sty m:val="p"/>
              </m:rPr>
              <m:t>r</m:t>
            </m:r>
          </m:sub>
        </m:sSub>
      </m:oMath>
      <w:r>
        <w:t xml:space="preserve">, g cm</w:t>
      </w:r>
      <w:r>
        <w:rPr>
          <w:vertAlign w:val="superscript"/>
        </w:rPr>
        <w:t xml:space="preserve">-3</w:t>
      </w:r>
      <w:r>
        <w:t xml:space="preserve">) was calculated as:</w:t>
      </w:r>
      <w:r>
        <w:br w:type="textWrapping"/>
      </w:r>
      <w:r>
        <w:t xml:space="preserve">(1)</w:t>
      </w:r>
    </w:p>
    <w:p>
      <m:oMathPara>
        <m:oMathParaPr>
          <m:jc m:val="center"/>
        </m:oMathParaPr>
        <m:oMath>
          <m:sSub>
            <m:e>
              <m:r>
                <m:rPr>
                  <m:sty m:val="p"/>
                </m:rPr>
                <m:t>ϕ</m:t>
              </m:r>
            </m:e>
            <m:sub>
              <m:r>
                <m:rPr>
                  <m:sty m:val="p"/>
                </m:rPr>
                <m:t>b</m:t>
              </m:r>
              <m:r>
                <m:rPr>
                  <m:sty m:val="p"/>
                </m:rPr>
                <m:t>r</m:t>
              </m:r>
            </m:sub>
          </m:sSub>
          <m:sSub>
            <m:e>
              <m:r>
                <m:rPr>
                  <m:sty m:val="p"/>
                </m:rPr>
                <m:t>ρ</m:t>
              </m:r>
            </m:e>
            <m:sub>
              <m:r>
                <m:rPr>
                  <m:sty m:val="p"/>
                </m:rPr>
                <m:t>b</m:t>
              </m:r>
              <m:r>
                <m:rPr>
                  <m:sty m:val="p"/>
                </m:rPr>
                <m:t>r</m:t>
              </m:r>
            </m:sub>
          </m:sSub>
          <m:r>
            <m:rPr>
              <m:sty m:val="p"/>
            </m:rPr>
            <m:t>=</m:t>
          </m:r>
          <m:f>
            <m:fPr>
              <m:type m:val="bar"/>
            </m:fPr>
            <m:num>
              <m:sSub>
                <m:e>
                  <m:r>
                    <m:rPr>
                      <m:sty m:val="p"/>
                    </m:rPr>
                    <m:t>M</m:t>
                  </m:r>
                </m:e>
                <m:sub>
                  <m:r>
                    <m:rPr>
                      <m:sty m:val="p"/>
                    </m:rPr>
                    <m:t>b</m:t>
                  </m:r>
                  <m:r>
                    <m:rPr>
                      <m:sty m:val="p"/>
                    </m:rPr>
                    <m:t>r</m:t>
                  </m:r>
                </m:sub>
              </m:sSub>
            </m:num>
            <m:den>
              <m:sSub>
                <m:e>
                  <m:r>
                    <m:rPr>
                      <m:sty m:val="p"/>
                    </m:rPr>
                    <m:t>V</m:t>
                  </m:r>
                </m:e>
                <m:sub>
                  <m:r>
                    <m:rPr>
                      <m:sty m:val="p"/>
                    </m:rPr>
                    <m:t>b</m:t>
                  </m:r>
                  <m:r>
                    <m:rPr>
                      <m:sty m:val="p"/>
                    </m:rPr>
                    <m:t>r</m:t>
                  </m:r>
                </m:sub>
              </m:sSub>
            </m:den>
          </m:f>
        </m:oMath>
      </m:oMathPara>
    </w:p>
    <w:p>
      <w:r>
        <w:t xml:space="preserve">where M</w:t>
      </w:r>
      <w:r>
        <w:rPr>
          <w:vertAlign w:val="subscript"/>
        </w:rPr>
        <w:t xml:space="preserve">br</w:t>
      </w:r>
      <w:r>
        <w:t xml:space="preserve"> </w:t>
      </w:r>
      <w:r>
        <w:t xml:space="preserve">is summed dry mass of harvested branches,</w:t>
      </w:r>
      <w:r>
        <w:t xml:space="preserve"> </w:t>
      </w:r>
      <m:oMath>
        <m:r>
          <m:rPr>
            <m:sty m:val="p"/>
          </m:rPr>
          <m:t>ϕ</m:t>
        </m:r>
      </m:oMath>
      <w:r>
        <w:t xml:space="preserve"> </w:t>
      </w:r>
      <w:r>
        <w:t xml:space="preserve">corrects branch volume estimates to an intermediate shape between a cone and a cylinder and</w:t>
      </w:r>
      <w:r>
        <w:t xml:space="preserve"> </w:t>
      </w:r>
      <m:oMath>
        <m:sSub>
          <m:e>
            <m:r>
              <m:rPr>
                <m:sty m:val="p"/>
              </m:rPr>
              <m:t>ρ</m:t>
            </m:r>
          </m:e>
          <m:sub>
            <m:r>
              <m:rPr>
                <m:sty m:val="p"/>
              </m:rPr>
              <m:t>b</m:t>
            </m:r>
            <m:r>
              <m:rPr>
                <m:sty m:val="p"/>
              </m:rPr>
              <m:t>r</m:t>
            </m:r>
          </m:sub>
        </m:sSub>
      </m:oMath>
      <w:r>
        <w:t xml:space="preserve"> </w:t>
      </w:r>
      <w:r>
        <w:t xml:space="preserve">resprsents the combined density of wood and bark.</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the product of</w:t>
      </w:r>
      <w:r>
        <w:t xml:space="preserve"> </w:t>
      </w:r>
      <m:oMath>
        <m:sSub>
          <m:e>
            <m:r>
              <m:rPr>
                <m:sty m:val="p"/>
              </m:rPr>
              <m:t>ϕ</m:t>
            </m:r>
          </m:e>
          <m:sub>
            <m:r>
              <m:rPr>
                <m:sty m:val="p"/>
              </m:rPr>
              <m:t>b</m:t>
            </m:r>
            <m:r>
              <m:rPr>
                <m:sty m:val="p"/>
              </m:rPr>
              <m:t>r</m:t>
            </m:r>
          </m:sub>
        </m:sSub>
      </m:oMath>
      <w:r>
        <w:t xml:space="preserve"> </w:t>
      </w:r>
      <w:r>
        <w:t xml:space="preserve">and</w:t>
      </w:r>
      <w:r>
        <w:t xml:space="preserve"> </w:t>
      </w:r>
      <m:oMath>
        <m:sSub>
          <m:e>
            <m:r>
              <m:rPr>
                <m:sty m:val="p"/>
              </m:rPr>
              <m:t>ρ</m:t>
            </m:r>
          </m:e>
          <m:sub>
            <m:r>
              <m:rPr>
                <m:sty m:val="p"/>
              </m:rPr>
              <m:t>b</m:t>
            </m:r>
            <m:r>
              <m:rPr>
                <m:sty m:val="p"/>
              </m:rPr>
              <m:t>r</m:t>
            </m:r>
          </m:sub>
        </m:sSub>
      </m:oMath>
      <w:r>
        <w:t xml:space="preserve">, specific to each WTC.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able to be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t</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at final harvest.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 mass balance were visualized by combining estimates of bole, branch, leaf and litterfall C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The allocation of C to boles and branches were seen by linear interpolation between survey measurements, starting at the first branch survey (April 2008), and the final harvest. Daily modeled estimates of leaf and litter C were then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Importantly,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were reduced under eC</w:t>
      </w:r>
      <w:r>
        <w:rPr>
          <w:vertAlign w:val="subscript"/>
        </w:rPr>
        <w:t xml:space="preserve">a</w:t>
      </w:r>
      <w:r>
        <w:t xml:space="preserve"> </w:t>
      </w:r>
      <w:r>
        <w:t xml:space="preserve">by ca. 32 % (both P &lt; 0.03). Leaf area at the final harvest was significantly reduced by by 31.3% under eC</w:t>
      </w:r>
      <w:r>
        <w:rPr>
          <w:vertAlign w:val="subscript"/>
        </w:rPr>
        <w:t xml:space="preserve">a</w:t>
      </w:r>
      <w:r>
        <w:t xml:space="preserve"> </w:t>
      </w:r>
      <w:r>
        <w:t xml:space="preserve">(p &lt; 0.001), which was evident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w:t>
      </w:r>
      <w:r>
        <w:rPr>
          <w:vertAlign w:val="subscript"/>
        </w:rPr>
        <w:t xml:space="preserve">a</w:t>
      </w:r>
      <w:r>
        <w:t xml:space="preserve"> </w:t>
      </w:r>
      <w:r>
        <w:t xml:space="preserve">and drought treatments (Table 1). There was a marginal interaction of eC</w:t>
      </w:r>
      <w:r>
        <w:rPr>
          <w:vertAlign w:val="subscript"/>
        </w:rPr>
        <w:t xml:space="preserve">a</w:t>
      </w:r>
      <w:r>
        <w:t xml:space="preserve"> </w:t>
      </w:r>
      <w:r>
        <w:t xml:space="preserve">and drought on harvested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Final LMF was increased by 15.2% under eC</w:t>
      </w:r>
      <w:r>
        <w:rPr>
          <w:vertAlign w:val="subscript"/>
        </w:rPr>
        <w:t xml:space="preserve">a</w:t>
      </w:r>
      <w:r>
        <w:t xml:space="preserve"> </w:t>
      </w:r>
      <w:r>
        <w:t xml:space="preserve">(P = 0.031) but was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2" w:name="list-of-figures"/>
      <w:bookmarkEnd w:id="42"/>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42d951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