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1.png" ContentType="image/png"/>
  <Override PartName="/word/media/rId52.png" ContentType="image/png"/>
  <Override PartName="/word/media/rId56.png" ContentType="image/png"/>
  <Override PartName="/word/media/rId50.png" ContentType="image/png"/>
  <Override PartName="/word/media/rId48.png" ContentType="image/png"/>
  <Override PartName="/word/media/rId49.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rPr>
          <w:i/>
        </w:rPr>
        <w:t xml:space="preserve">Eucalyptus tereticornis</w:t>
      </w:r>
      <w:r>
        <w:t xml:space="preserve"> </w:t>
      </w:r>
      <w:r>
        <w:t xml:space="preserve">trees, which were expected to correlate to harvested tree C mass. This study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previously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guiding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allocation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as well as a geometric shape factor</w:t>
      </w:r>
      <w:r>
        <w:t xml:space="preserve"> </w:t>
      </w:r>
      <w:r>
        <w:t xml:space="preserve">(see Mäkelä 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 and</w:t>
      </w:r>
      <w:r>
        <w:t xml:space="preserve"> </w:t>
      </w:r>
      <m:oMath>
        <m:r>
          <m:rPr>
            <m:sty m:val="p"/>
          </m:rPr>
          <m:t>ϕ</m:t>
        </m:r>
      </m:oMath>
      <w:r>
        <w:t xml:space="preserve"> </w:t>
      </w:r>
      <w:r>
        <w:t xml:space="preserve">corrects branch volume estimates to an intermediate shape between a cone and a cylinder.</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 and</w:t>
      </w:r>
      <w:r>
        <w:t xml:space="preserve"> </w:t>
      </w:r>
      <m:oMath>
        <m:sSub>
          <m:e>
            <m:r>
              <m:rPr>
                <m:sty m:val="p"/>
              </m:rPr>
              <m:t>λ</m:t>
            </m:r>
          </m:e>
          <m:sub>
            <m:r>
              <m:rPr>
                <m:sty m:val="p"/>
              </m:rPr>
              <m:t>c</m:t>
            </m:r>
          </m:sub>
        </m:sSub>
      </m:oMath>
      <w:r>
        <w:t xml:space="preserve"> </w:t>
      </w:r>
      <w:r>
        <w:t xml:space="preserve">is the component specific turnover (g C).</w:t>
      </w:r>
    </w:p>
    <w:p>
      <w:r>
        <w:br w:type="textWrapping"/>
      </w:r>
      <w:r>
        <w:t xml:space="preserve">In this experiment, total C allocation to leaves and aboveground wood (branches + stems) could be represented as:</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gross aboveground primary productivity (g C) of each tree minus respiration of leaves, stems and branches. For example, C allocation (</w:t>
      </w:r>
      <m:oMath>
        <m:sSub>
          <m:e>
            <m:r>
              <m:rPr>
                <m:sty m:val="p"/>
              </m:rPr>
              <m:t>a</m:t>
            </m:r>
          </m:e>
          <m:sub>
            <m:r>
              <m:rPr>
                <m:sty m:val="p"/>
              </m:rPr>
              <m:t>l</m:t>
            </m:r>
          </m:sub>
        </m:sSub>
      </m:oMath>
      <w:r>
        <w:t xml:space="preserve">) to leaves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however,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 At the end of the eleven month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w:t>
      </w:r>
    </w:p>
    <w:p>
      <w:r>
        <w:t xml:space="preserve">Leaf area at the final harvest was significantly reduced by by 31.3%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Figure 3).</w:t>
      </w:r>
    </w:p>
    <w:p>
      <w:pPr>
        <w:pStyle w:val="Heading2"/>
      </w:pPr>
      <w:bookmarkStart w:id="40" w:name="tree-carbon-mass-partitioning"/>
      <w:bookmarkEnd w:id="40"/>
      <w:r>
        <w:t xml:space="preserve">Tree carbon mass partitioning</w:t>
      </w:r>
    </w:p>
    <w:p>
      <w:r>
        <w:t xml:space="preserve">Carbon mass partitioning to individual tissue components, at then end of the experiment, was affected differentially under eC</w:t>
      </w:r>
      <w:r>
        <w:rPr>
          <w:vertAlign w:val="subscript"/>
        </w:rPr>
        <w:t xml:space="preserve">a</w:t>
      </w:r>
      <w:r>
        <w:t xml:space="preserve"> </w:t>
      </w:r>
      <w:r>
        <w:t xml:space="preserve">(Table 1). Aboveground woody C mass was (boles+branches) was reduced 37%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The C mass fractions of leaves, stems and roots, at then end of the experiment, were also affected differentially under eC</w:t>
      </w:r>
      <w:r>
        <w:rPr>
          <w:vertAlign w:val="subscript"/>
        </w:rPr>
        <w:t xml:space="preserve">a</w:t>
      </w:r>
      <w:r>
        <w:t xml:space="preserve">. Leaf mass fraction was increased by 15.2% under eC</w:t>
      </w:r>
      <w:r>
        <w:rPr>
          <w:vertAlign w:val="subscript"/>
        </w:rPr>
        <w:t xml:space="preserve">a</w:t>
      </w:r>
      <w:r>
        <w:t xml:space="preserve"> </w:t>
      </w:r>
      <w:r>
        <w:t xml:space="preserve">(P = 0.031) but was not affected by the drought treatment. Leaf mass fraction was negatively correlated with whole tree C (P= 0.004, Figure 4a). Stem mass fraction was reduced by 8% under elevated CO</w:t>
      </w:r>
      <w:r>
        <w:rPr>
          <w:vertAlign w:val="subscript"/>
        </w:rPr>
        <w:t xml:space="preserve">2</w:t>
      </w:r>
      <w:r>
        <w:t xml:space="preserve"> </w:t>
      </w:r>
      <w:r>
        <w:t xml:space="preserve">(P = 0.014), with no effect of the drought treatment detected. Stem mass fraction was was positively correlated with whole tree C (P = 0.008, Figure 4c). Root mass fraction was not affected by either treatment and was not correlated to whole tree C (Figure 4e). Over the final eleven months of the experiment, leaf mass fraction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-0.54, P = 0.006). Neither SMF nor RMF were correlated with F</w:t>
      </w:r>
      <w:r>
        <w:rPr>
          <w:vertAlign w:val="subscript"/>
        </w:rPr>
        <w:t xml:space="preserve">[c,t]</w:t>
      </w:r>
      <w:r>
        <w:t xml:space="preserve"> </w:t>
      </w:r>
      <w:r>
        <w:t xml:space="preserve">during this time period.</w:t>
      </w:r>
    </w:p>
    <w:p>
      <w:pPr>
        <w:pStyle w:val="Heading2"/>
      </w:pPr>
      <w:bookmarkStart w:id="41" w:name="aboveground-carbon-allocation"/>
      <w:bookmarkEnd w:id="41"/>
      <w:r>
        <w:t xml:space="preserve">Aboveground carbon allocation</w:t>
      </w:r>
    </w:p>
    <w:p>
      <w:r>
        <w:t xml:space="preserve">At the end of the experiment, the total C allocation to leaves increased by 28% under eC</w:t>
      </w:r>
      <w:r>
        <w:rPr>
          <w:vertAlign w:val="subscript"/>
        </w:rPr>
        <w:t xml:space="preserve">a</w:t>
      </w:r>
      <w:r>
        <w:t xml:space="preserve"> </w:t>
      </w:r>
      <w:r>
        <w:t xml:space="preserve">(P = 0.037),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 adjusted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pPr>
        <w:pStyle w:val="Heading1"/>
      </w:pPr>
      <w:bookmarkStart w:id="44" w:name="list-of-tables"/>
      <w:bookmarkEnd w:id="44"/>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5" w:name="list-of-figures"/>
      <w:bookmarkEnd w:id="45"/>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at final harvest as a function of tree size, via total tree C mass. Treatment means of total C allocation to leaves (b) and stems (d) as a function of total aboveground net C flux. Root C allocation could not be estimated as root turnover was not known. Solid lines represent overall model fit for leaf, stem and root mass fractions (R</w:t>
      </w:r>
      <w:r>
        <w:rPr>
          <w:vertAlign w:val="superscript"/>
        </w:rPr>
        <w:t xml:space="preserve">2</w:t>
      </w:r>
      <w:r>
        <w:t xml:space="preserve"> </w:t>
      </w:r>
      <w:r>
        <w:t xml:space="preserve">= -0.57, 0.52 and 0.02,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6" w:name="tables"/>
      <w:bookmarkEnd w:id="46"/>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7" w:name="figures"/>
      <w:bookmarkEnd w:id="47"/>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5" w:name="supporting-information"/>
      <w:bookmarkEnd w:id="55"/>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8">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18216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8"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