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(10 m high) was grown for 2 years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[leco?hie] elemental analyzer. Mass fractions of leaves, boles+branches and roots were calculated by dividing their respective carbon mass by total carbon mass for each tree.</w:t>
      </w:r>
    </w:p>
    <w:p>
      <w:pPr>
        <w:pStyle w:val="Heading2"/>
      </w:pPr>
      <w:bookmarkStart w:id="29" w:name="tree-allometric-relationships"/>
      <w:bookmarkEnd w:id="29"/>
      <w:r>
        <w:t xml:space="preserve">Tree Allometric Relationships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r>
        <w:br w:type="textWrapping"/>
      </w:r>
      <w:r>
        <w:t xml:space="preserve">During the final harvest 1 cm sections were removed from the bole, along regular intervals, to determine the mass contributions of bark and wood for each tree. The mean total bole density for each tree (</w:t>
      </w:r>
      <m:oMath>
        <m:sSub>
          <m:e>
            <m:r>
              <m:rPr>
                <m:sty m:val="p"/>
              </m:rPr>
              <m:t>ρ</m:t>
            </m:r>
          </m:e>
          <m:sub>
            <m:r>
              <m:rPr>
                <m:sty m:val="p"/>
              </m:rPr>
              <m:t>b</m:t>
            </m:r>
            <m:r>
              <m:rPr>
                <m:sty m:val="p"/>
              </m:rPr>
              <m:t>o</m:t>
            </m:r>
          </m:sub>
        </m:sSub>
      </m:oMath>
      <w:r>
        <w:t xml:space="preserve">) was calculated as the contribution of bark mass and wood mass, weighted by the total diameter of each section. 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Additionally, prior to the initiation of the experiment a subset of additional potted plants of</w:t>
      </w:r>
      <w:r>
        <w:t xml:space="preserve"> </w:t>
      </w:r>
      <w:r>
        <w:rPr>
          <w:i/>
        </w:rPr>
        <w:t xml:space="preserve">Eucalyptus saligna</w:t>
      </w:r>
      <w:r>
        <w:t xml:space="preserve"> </w:t>
      </w:r>
      <w:r>
        <w:t xml:space="preserve">(n=17) were harvested to develop relationships between above and belowground biomass. These seedlings were grown in (20 l?) pots inside each WTC, while chamber conditions were maintained, until the experiment was started.</w:t>
      </w:r>
    </w:p>
    <w:p>
      <w:pPr>
        <w:pStyle w:val="Heading2"/>
      </w:pPr>
      <w:bookmarkStart w:id="30" w:name="bole-carbon"/>
      <w:bookmarkEnd w:id="30"/>
      <w:r>
        <w:t xml:space="preserve">Bole Carbon</w:t>
      </w:r>
    </w:p>
    <w:p>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son the final date.</w:t>
      </w:r>
    </w:p>
    <w:p>
      <w:pPr>
        <w:pStyle w:val="Heading2"/>
      </w:pPr>
      <w:bookmarkStart w:id="35" w:name="data-analysis"/>
      <w:bookmarkEnd w:id="35"/>
      <w:r>
        <w:t xml:space="preserve">Data analysis</w:t>
      </w:r>
    </w:p>
    <w:p>
      <w:r>
        <w:t xml:space="preserve">All models were tested for significant treatment effects, using two-way ANOVA. All statistical analyse were performed in R (_).</w:t>
      </w:r>
    </w:p>
    <w:p>
      <w:r>
        <w:t xml:space="preserve">planned comparisons with interactions with p-values adjusted Benjamin &amp; Hochberg (1995) ("BH")</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 F</w:t>
      </w:r>
      <w:r>
        <w:rPr>
          <w:vertAlign w:val="subscript"/>
        </w:rPr>
        <w:t xml:space="preserve">[c,t]</w:t>
      </w:r>
      <w:r>
        <w:t xml:space="preserve"> </w:t>
      </w:r>
      <w:r>
        <w:t xml:space="preserve">and both whole tree carbon (R</w:t>
      </w:r>
      <w:r>
        <w:rPr>
          <w:vertAlign w:val="superscript"/>
        </w:rPr>
        <w:t xml:space="preserve">2</w:t>
      </w:r>
      <w:r>
        <w:t xml:space="preserve"> </w:t>
      </w:r>
      <w:r>
        <w:t xml:space="preserve">= 0.86, Figure 1,a) and M</w:t>
      </w:r>
      <w:r>
        <w:rPr>
          <w:vertAlign w:val="subscript"/>
        </w:rPr>
        <w:t xml:space="preserve">[ab,t]</w:t>
      </w:r>
      <w:r>
        <w:t xml:space="preserve"> </w:t>
      </w:r>
      <w:r>
        <w:t xml:space="preserve">(R</w:t>
      </w:r>
      <w:r>
        <w:rPr>
          <w:vertAlign w:val="superscript"/>
        </w:rPr>
        <w:t xml:space="preserve">2</w:t>
      </w:r>
      <w:r>
        <w:t xml:space="preserve"> </w:t>
      </w:r>
      <w:r>
        <w:t xml:space="preserve">= 0.78, Figure 1,b). F</w:t>
      </w:r>
      <w:r>
        <w:rPr>
          <w:vertAlign w:val="subscript"/>
        </w:rPr>
        <w:t xml:space="preserve">[c,t]</w:t>
      </w:r>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 M</w:t>
      </w:r>
      <w:r>
        <w:rPr>
          <w:vertAlign w:val="subscript"/>
        </w:rPr>
        <w:t xml:space="preserve">[ab,t]</w:t>
      </w:r>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 F</w:t>
      </w:r>
      <w:r>
        <w:rPr>
          <w:vertAlign w:val="subscript"/>
        </w:rPr>
        <w:t xml:space="preserve">[c,t]</w:t>
      </w:r>
      <w:r>
        <w:t xml:space="preserve"> </w:t>
      </w:r>
      <w:r>
        <w:t xml:space="preserve">was positively correlated with mean daily leaf area (P &lt; 0.001, R2 = 0.77, Figure 3).</w:t>
      </w:r>
    </w:p>
    <w:p>
      <w:pPr>
        <w:pStyle w:val="Heading2"/>
      </w:pPr>
      <w:bookmarkStart w:id="38" w:name="tree-carbon-allocation-harvest"/>
      <w:bookmarkEnd w:id="38"/>
      <w:r>
        <w:t xml:space="preserve">Tree carbon allocation (harvest)</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not affected by drought. Neither leaf or litter carbon mass were affected by elevated CO</w:t>
      </w:r>
      <w:r>
        <w:rPr>
          <w:vertAlign w:val="subscript"/>
        </w:rPr>
        <w:t xml:space="preserve">2</w:t>
      </w:r>
      <w:r>
        <w:t xml:space="preserve"> </w:t>
      </w:r>
      <w:r>
        <w:t xml:space="preserve">and drought treatments. Toot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 F</w:t>
      </w:r>
      <w:r>
        <w:rPr>
          <w:vertAlign w:val="subscript"/>
        </w:rPr>
        <w:t xml:space="preserve">[c,t]</w:t>
      </w:r>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 F</w:t>
      </w:r>
      <w:r>
        <w:rPr>
          <w:vertAlign w:val="subscript"/>
        </w:rPr>
        <w:t xml:space="preserve">[c,t]</w:t>
      </w:r>
      <w:r>
        <w:t xml:space="preserve"> </w:t>
      </w:r>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 F</w:t>
      </w:r>
      <w:r>
        <w:rPr>
          <w:vertAlign w:val="subscript"/>
        </w:rPr>
        <w:t xml:space="preserve">[c,t]</w:t>
      </w:r>
      <w:r>
        <w:t xml:space="preserve"> </w:t>
      </w:r>
      <w:r>
        <w:t xml:space="preserve">(Figure 5). Across a large range in tree size, similar patterns were detected in each individual WTC (Figure S1). It was therefore necessary to account for allocation to both TBCA and F</w:t>
      </w:r>
      <w:r>
        <w:rPr>
          <w:vertAlign w:val="subscript"/>
        </w:rPr>
        <w:t xml:space="preserve">[s,r]</w:t>
      </w:r>
      <w:r>
        <w:t xml:space="preserve">. Neither TBCA nor F</w:t>
      </w:r>
      <w:r>
        <w:rPr>
          <w:vertAlign w:val="subscript"/>
        </w:rPr>
        <w:t xml:space="preserve">[s,r]</w:t>
      </w:r>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 F</w:t>
      </w:r>
      <w:r>
        <w:rPr>
          <w:vertAlign w:val="subscript"/>
        </w:rPr>
        <w:t xml:space="preserve">[c,t]</w:t>
      </w:r>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aCO2-wet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eCO2-dry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eCO2-wet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Mäkelä A (1997) A carbon balance model of growth and self-pruning in trees based on structural relationships. Forest Science 43:7–24.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cabd25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