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Plants should maximize growth by allocating resources to support leaf growth to increase C acquisition</w:t>
      </w:r>
      <w:r>
        <w:t xml:space="preserve"> </w:t>
      </w:r>
      <w:r>
        <w:t xml:space="preserve">(Monsi and Saeki 2005)</w:t>
      </w:r>
      <w:r>
        <w:t xml:space="preserve">, however, fluctuations in water, nutrient and light availability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inhibited by the availability of a limited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net tree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net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which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smaller final tree sizes in eC</w:t>
      </w:r>
      <w:r>
        <w:rPr>
          <w:vertAlign w:val="subscript"/>
        </w:rPr>
        <w:t xml:space="preserve">a</w:t>
      </w:r>
      <w:r>
        <w:t xml:space="preserve"> </w:t>
      </w:r>
      <w:r>
        <w:t xml:space="preserve">trees were attributed to an early setback in growth, which may or may not have resulted from effects of the eC</w:t>
      </w:r>
      <w:r>
        <w:rPr>
          <w:vertAlign w:val="subscript"/>
        </w:rPr>
        <w:t xml:space="preserve">a</w:t>
      </w:r>
      <w:r>
        <w:t xml:space="preserve"> </w:t>
      </w:r>
      <w:r>
        <w:t xml:space="preserve">treatment.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t xml:space="preserve">Carbon allocation terminology commonly employed in ecosystem literature is inconsistent</w:t>
      </w:r>
      <w:r>
        <w:t xml:space="preserve"> </w:t>
      </w:r>
      <w:r>
        <w:t xml:space="preserve">(Litton et al. 2007)</w:t>
      </w:r>
      <w:r>
        <w:t xml:space="preserve">. Here, important distinctions are made between patterns in live tree biomass and the distribution of photosynthate to all tree components. Clarification of these two terms is essential in accurately quantifying and representing C allocation in this work and in future studies.</w:t>
      </w:r>
      <w:r>
        <w:br w:type="textWrapping"/>
      </w: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Neutron probe soil water measurements were utilized to show that trees in this experiment were able extract water deeper than the soil hard layer</w:t>
      </w:r>
      <w:r>
        <w:t xml:space="preserve"> </w:t>
      </w:r>
      <w:r>
        <w:t xml:space="preserve">(Duursma et al. 2011)</w:t>
      </w:r>
      <w:r>
        <w:t xml:space="preserve">. Soils at the WTC facility are an alluvial formation of low-fertility sandy loam, with clay deposits at a depth of about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aboveground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in which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Fine root biomass (&lt;2 mm diameter) was first estimated by scaling-up dry root biomass collected from cores to total chamber area, but highly variable root biomass across cores resulted in unreliable estimates. As a result, root biomass from cores was added back to the standing crop total instead of scaling-up fine root biomass. Consequently, the fine root biomass pool is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were harvested to develop relationships between above and belowground biomass (n=17, mean height of 217±17 cm).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height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tree-specific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2</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dry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the method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derived from the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cumultaive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Mass pools of leaves, wood and roots include tissue turnover.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in response to the interactice effects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increment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is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Crous et al. 2011, 2012, Duursma et al. 2011)</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A shortage of empirically measured whole tree C fluxes also makes inferring relationships with biomass or C allocation difficult.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w:t>
      </w:r>
      <w:r>
        <w:t xml:space="preserve"> </w:t>
      </w:r>
      <w:r>
        <w:rPr>
          <w:i/>
        </w:rPr>
        <w:t xml:space="preserve">A</w:t>
      </w:r>
      <w:r>
        <w:rPr>
          <w:vertAlign w:val="subscript"/>
          <w:i/>
        </w:rPr>
        <w:t xml:space="preserve">n</w:t>
      </w:r>
      <w:r>
        <w:t xml:space="preserve"> </w:t>
      </w:r>
      <w:r>
        <w:t xml:space="preserve">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2011,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the observed increase in leaf TNC under eC</w:t>
      </w:r>
      <w:r>
        <w:rPr>
          <w:vertAlign w:val="subscript"/>
        </w:rPr>
        <w:t xml:space="preserve">a</w:t>
      </w:r>
      <w:r>
        <w:t xml:space="preserve"> </w:t>
      </w:r>
      <w:r>
        <w:t xml:space="preserve">(see Crous et al. 2011)</w:t>
      </w:r>
      <w:r>
        <w:t xml:space="preserve"> </w:t>
      </w:r>
      <w:r>
        <w:t xml:space="preserve">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imply that belowground processes were unaffected by either treatment. For example, trees under drought stress may increase C allocation to root systems to alleviate water stress</w:t>
      </w:r>
      <w:r>
        <w:t xml:space="preserve"> </w:t>
      </w:r>
      <w:r>
        <w:t xml:space="preserve">(Poorter and Nagel 2000)</w:t>
      </w:r>
      <w:r>
        <w:t xml:space="preserve">, but this increase could be offset by reduced root exudation</w:t>
      </w:r>
      <w:r>
        <w:t xml:space="preserve"> </w:t>
      </w:r>
      <w:r>
        <w:t xml:space="preserve">(Iversen and Norby 2014)</w:t>
      </w:r>
      <w:r>
        <w:t xml:space="preserve">, reduced C demand via decreases in root respiration rates</w:t>
      </w:r>
      <w:r>
        <w:t xml:space="preserve"> </w:t>
      </w:r>
      <w:r>
        <w:t xml:space="preserve">(Burton et al. 1998)</w:t>
      </w:r>
      <w:r>
        <w:t xml:space="preserve"> </w:t>
      </w:r>
      <w:r>
        <w:t xml:space="preserve">or increased root mortality and turnover</w:t>
      </w:r>
      <w:r>
        <w:t xml:space="preserve"> </w:t>
      </w:r>
      <w:r>
        <w:t xml:space="preserve">(Marshall 1986, Meier and Leuschner 2008)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an estimation of daily aboveground C mass gain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consistency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may have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to individual tree components from 15 April 2008 to 16 March 2009.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w:t>
      </w:r>
      <w:r>
        <w:rPr>
          <w:vertAlign w:val="subscript"/>
        </w:rPr>
        <w:t xml:space="preserve">2</w:t>
      </w:r>
      <w:r>
        <w:t xml:space="preserve">, N, and diversity on total belowground carbon allocation and ecosystem carbon storage in a grassland community. Ecosystems 12:1037–1052.</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Amthor JS (1994) Scaling CO</w:t>
      </w:r>
      <w:r>
        <w:rPr>
          <w:vertAlign w:val="subscript"/>
        </w:rPr>
        <w:t xml:space="preserve">2</w:t>
      </w:r>
      <w:r>
        <w:t xml:space="preserve">-photosynthesis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w:t>
      </w:r>
      <w:r>
        <w:rPr>
          <w:vertAlign w:val="subscript"/>
        </w:rPr>
        <w:t xml:space="preserve">2</w:t>
      </w:r>
      <w:r>
        <w:t xml:space="preserve">-enriched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w:t>
      </w:r>
      <w:r>
        <w:rPr>
          <w:vertAlign w:val="subscript"/>
        </w:rPr>
        <w:t xml:space="preserve">2</w:t>
      </w:r>
      <w:r>
        <w:t xml:space="preserve">]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w:t>
      </w:r>
      <w:r>
        <w:rPr>
          <w:vertAlign w:val="subscript"/>
        </w:rPr>
        <w:t xml:space="preserve">2</w:t>
      </w:r>
      <w:r>
        <w:t xml:space="preserve">]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w:t>
      </w:r>
      <w:r>
        <w:rPr>
          <w:vertAlign w:val="subscript"/>
        </w:rPr>
        <w:t xml:space="preserve">2</w:t>
      </w:r>
      <w:r>
        <w:t xml:space="preserve"> </w:t>
      </w:r>
      <w:r>
        <w:t xml:space="preserve">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 Plant, cell &amp; environment 35:966–981.</w:t>
      </w:r>
    </w:p>
    <w:p>
      <w:pPr>
        <w:pStyle w:val="Bibliography"/>
      </w:pPr>
      <w:r>
        <w:t xml:space="preserve">Crous KY, Zaragoza-Castells J, Loew M, Ellsworth DS, Tissue DT, Tjoelker MG, Barton CVM, Gimeno TE, Atkin OK (2011) Seasonal acclimation of leaf respiration in</w:t>
      </w:r>
      <w:r>
        <w:t xml:space="preserve"> </w:t>
      </w:r>
      <w:r>
        <w:rPr>
          <w:i/>
        </w:rPr>
        <w:t xml:space="preserve">Eucalyptus saligna</w:t>
      </w:r>
      <w:r>
        <w:t xml:space="preserve"> </w:t>
      </w:r>
      <w:r>
        <w:t xml:space="preserve">trees: impacts of elevated atmospheric CO</w:t>
      </w:r>
      <w:r>
        <w:rPr>
          <w:vertAlign w:val="subscript"/>
        </w:rPr>
        <w:t xml:space="preserve">2</w:t>
      </w:r>
      <w:r>
        <w:t xml:space="preserve"> </w:t>
      </w:r>
      <w:r>
        <w:t xml:space="preserve">and summer drought. Global Change Biology 17:1560–1576.</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w:t>
      </w:r>
      <w:r>
        <w:rPr>
          <w:vertAlign w:val="subscript"/>
        </w:rPr>
        <w:t xml:space="preserve">2</w:t>
      </w:r>
      <w:r>
        <w:t xml:space="preserve"> </w:t>
      </w:r>
      <w:r>
        <w:t xml:space="preserve">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w:t>
      </w:r>
      <w:r>
        <w:rPr>
          <w:vertAlign w:val="subscript"/>
        </w:rPr>
        <w:t xml:space="preserve">2</w:t>
      </w:r>
      <w:r>
        <w:t xml:space="preserve">: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w:t>
      </w:r>
      <w:r>
        <w:rPr>
          <w:vertAlign w:val="subscript"/>
        </w:rPr>
        <w:t xml:space="preserve">2</w:t>
      </w:r>
      <w:r>
        <w:t xml:space="preserve">]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w:t>
      </w:r>
      <w:r>
        <w:rPr>
          <w:vertAlign w:val="subscript"/>
        </w:rPr>
        <w:t xml:space="preserve">2</w:t>
      </w:r>
      <w:r>
        <w:t xml:space="preserve"> </w:t>
      </w:r>
      <w:r>
        <w:t xml:space="preserve">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w:t>
      </w:r>
      <w:r>
        <w:rPr>
          <w:vertAlign w:val="subscript"/>
        </w:rPr>
        <w:t xml:space="preserve">2</w:t>
      </w:r>
      <w:r>
        <w:t xml:space="preserve"> </w:t>
      </w:r>
      <w:r>
        <w:t xml:space="preserve">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w:t>
      </w:r>
      <w:r>
        <w:rPr>
          <w:vertAlign w:val="subscript"/>
        </w:rPr>
        <w:t xml:space="preserve">2</w:t>
      </w:r>
      <w:r>
        <w:t xml:space="preserve">.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w:t>
      </w:r>
      <w:r>
        <w:rPr>
          <w:vertAlign w:val="subscript"/>
        </w:rPr>
        <w:t xml:space="preserve">2</w:t>
      </w:r>
      <w:r>
        <w:t xml:space="preserve"> </w:t>
      </w:r>
      <w:r>
        <w:t xml:space="preserve">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w:t>
      </w:r>
      <w:r>
        <w:rPr>
          <w:vertAlign w:val="subscript"/>
        </w:rPr>
        <w:t xml:space="preserve">2</w:t>
      </w:r>
      <w:r>
        <w:t xml:space="preserve">]-induced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w:t>
      </w:r>
      <w:r>
        <w:rPr>
          <w:vertAlign w:val="subscript"/>
        </w:rPr>
        <w:t xml:space="preserve">2</w:t>
      </w:r>
      <w:r>
        <w:t xml:space="preserve">]-induced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w:t>
      </w:r>
      <w:r>
        <w:rPr>
          <w:vertAlign w:val="subscript"/>
        </w:rPr>
        <w:t xml:space="preserve">2</w:t>
      </w:r>
      <w:r>
        <w:t xml:space="preserve"> </w:t>
      </w:r>
      <w:r>
        <w:t xml:space="preserve">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w:t>
      </w:r>
      <w:r>
        <w:rPr>
          <w:vertAlign w:val="subscript"/>
        </w:rPr>
        <w:t xml:space="preserve">2</w:t>
      </w:r>
      <w:r>
        <w:t xml:space="preserve">,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w:t>
      </w:r>
      <w:r>
        <w:rPr>
          <w:vertAlign w:val="subscript"/>
        </w:rPr>
        <w:t xml:space="preserve">2</w:t>
      </w:r>
      <w:r>
        <w:t xml:space="preserve"> </w:t>
      </w:r>
      <w:r>
        <w:t xml:space="preserve">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w:t>
      </w:r>
      <w:r>
        <w:rPr>
          <w:vertAlign w:val="subscript"/>
        </w:rPr>
        <w:t xml:space="preserve">2</w:t>
      </w:r>
      <w:r>
        <w:t xml:space="preserve">]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w:t>
      </w:r>
      <w:r>
        <w:rPr>
          <w:vertAlign w:val="subscript"/>
        </w:rPr>
        <w:t xml:space="preserve">2</w:t>
      </w:r>
      <w:r>
        <w:t xml:space="preserve"> </w:t>
      </w:r>
      <w:r>
        <w:t xml:space="preserve">in seedlings of five boreal tree species. New Phytologist 140:197–210.</w:t>
      </w:r>
    </w:p>
    <w:p>
      <w:pPr>
        <w:pStyle w:val="Bibliography"/>
      </w:pPr>
      <w:r>
        <w:t xml:space="preserve">Walter A, Christ MM, Barron-gafford GA, Grieve KA, Murthy R, Rascher U (2005) The effect of elevated CO</w:t>
      </w:r>
      <w:r>
        <w:rPr>
          <w:vertAlign w:val="subscript"/>
        </w:rPr>
        <w:t xml:space="preserve">2</w:t>
      </w:r>
      <w:r>
        <w:t xml:space="preserve"> </w:t>
      </w:r>
      <w:r>
        <w:t xml:space="preserve">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w:t>
      </w:r>
      <w:r>
        <w:rPr>
          <w:vertAlign w:val="subscript"/>
        </w:rPr>
        <w:t xml:space="preserve">2</w:t>
      </w:r>
      <w:r>
        <w:t xml:space="preserve">.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w:t>
      </w:r>
      <w:r>
        <w:rPr>
          <w:vertAlign w:val="subscript"/>
        </w:rPr>
        <w:t xml:space="preserve">2</w:t>
      </w:r>
      <w:r>
        <w:t xml:space="preserve"> </w:t>
      </w:r>
      <w:r>
        <w:t xml:space="preserve">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ef2da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