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48.png" ContentType="image/png"/>
  <Override PartName="/word/media/rId49.png" ContentType="image/png"/>
  <Override PartName="/word/media/rId53.png" ContentType="image/png"/>
  <Override PartName="/word/media/rId47.png" ContentType="image/png"/>
  <Override PartName="/word/media/rId45.png" ContentType="image/png"/>
  <Override PartName="/word/media/rId46.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alters</w:t>
      </w:r>
      <w:r>
        <w:t xml:space="preserve"> </w:t>
      </w:r>
      <w:r>
        <w:t xml:space="preserve">carbon</w:t>
      </w:r>
      <w:r>
        <w:t xml:space="preserve"> </w:t>
      </w:r>
      <w:r>
        <w:t xml:space="preserve">allocation</w:t>
      </w:r>
      <w:r>
        <w:t xml:space="preserve"> </w:t>
      </w:r>
      <w:r>
        <w:t xml:space="preserve">patterns</w:t>
      </w:r>
      <w:r>
        <w:t xml:space="preserve"> </w:t>
      </w:r>
      <w:r>
        <w:t xml:space="preserve">in</w:t>
      </w:r>
      <w:r>
        <w:t xml:space="preserve"> </w:t>
      </w:r>
      <w:r>
        <w:rPr>
          <w:i/>
        </w:rPr>
        <w:t xml:space="preserve">Eucalyptus</w:t>
      </w:r>
      <w:r>
        <w:rPr>
          <w:i/>
        </w:rPr>
        <w:t xml:space="preserve"> </w:t>
      </w:r>
      <w:r>
        <w:rPr>
          <w:i/>
        </w:rPr>
        <w:t xml:space="preserve">saligna</w:t>
      </w:r>
      <w:r>
        <w:t xml:space="preserve">.</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pPr>
        <w:pStyle w:val="Heading1"/>
      </w:pPr>
      <w:bookmarkStart w:id="23" w:name="key-words"/>
      <w:bookmarkEnd w:id="23"/>
      <w:r>
        <w:t xml:space="preserve">Key Words</w:t>
      </w:r>
    </w:p>
    <w:p>
      <w:pPr>
        <w:pStyle w:val="Heading1"/>
      </w:pPr>
      <w:bookmarkStart w:id="24" w:name="introduction"/>
      <w:bookmarkEnd w:id="24"/>
      <w:r>
        <w:t xml:space="preserve">Introduction</w:t>
      </w:r>
    </w:p>
    <w:p>
      <w:pPr>
        <w:pStyle w:val="Heading1"/>
      </w:pPr>
      <w:bookmarkStart w:id="25" w:name="methods"/>
      <w:bookmarkEnd w:id="25"/>
      <w:r>
        <w:t xml:space="preserve">Methods</w:t>
      </w:r>
    </w:p>
    <w:p>
      <w:pPr>
        <w:pStyle w:val="Heading2"/>
      </w:pPr>
      <w:bookmarkStart w:id="26" w:name="whole-tree-chamber-experimental-design"/>
      <w:bookmarkEnd w:id="26"/>
      <w:r>
        <w:t xml:space="preserve">Whole tree chamber experimental design</w:t>
      </w:r>
    </w:p>
    <w:p>
      <w:r>
        <w:t xml:space="preserve">From April 2007</w:t>
      </w:r>
      <w:r>
        <w:t xml:space="preserve"> </w:t>
      </w:r>
      <w:r>
        <w:rPr>
          <w:i/>
        </w:rPr>
        <w:t xml:space="preserve">Eucalyptus saligna</w:t>
      </w:r>
      <w:r>
        <w:t xml:space="preserve"> </w:t>
      </w:r>
      <w:r>
        <w:t xml:space="preserve">Sm. seedlings were grown in 12 whole tree chambers (WTC) at the Hawkesbury Forest Experiment in Richmond, Australia. One seedling per WTC (10 m high) was grown for 18 months and chamber conditions tracked outside air temperature and humidity. Each WTC was fitted with a root enclosure barrier that extended to the soil hard layer (1 m depth), separating WTC tree roots from neighboring trees. Roots were allowed to freely grow below 1 m. Full descriptions of the chamber design and operation are provided in Barton el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elevated C</w:t>
      </w:r>
      <w:r>
        <w:rPr>
          <w:vertAlign w:val="subscript"/>
        </w:rPr>
        <w:t xml:space="preserve">a</w:t>
      </w:r>
      <w:r>
        <w:t xml:space="preserve"> </w:t>
      </w:r>
      <w:r>
        <w:t xml:space="preserve">of +240 ppm above ambient (eC</w:t>
      </w:r>
      <w:r>
        <w:rPr>
          <w:vertAlign w:val="subscript"/>
        </w:rPr>
        <w:t xml:space="preserve">a</w:t>
      </w:r>
      <w:r>
        <w:t xml:space="preserve">). Through October 27</w:t>
      </w:r>
      <w:r>
        <w:rPr>
          <w:vertAlign w:val="superscript"/>
        </w:rPr>
        <w:t xml:space="preserve">th</w:t>
      </w:r>
      <w:r>
        <w:t xml:space="preserve">,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7" w:name="above-ground-chamber-co2-flux"/>
      <w:bookmarkEnd w:id="27"/>
      <w:r>
        <w:t xml:space="preserve">Above 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over the final year of the experiment. Chamber flux measurements were calculated as an hourly time step generated from the average of the raw 14 min (mol hour</w:t>
      </w:r>
      <w:r>
        <w:rPr>
          <w:vertAlign w:val="superscript"/>
        </w:rPr>
        <w:t xml:space="preserve">-1</w:t>
      </w:r>
      <w:r>
        <w:t xml:space="preserve">) from each chamber.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For this analysis, diurnal CO</w:t>
      </w:r>
      <w:r>
        <w:rPr>
          <w:vertAlign w:val="subscript"/>
        </w:rPr>
        <w:t xml:space="preserve">2</w:t>
      </w:r>
      <w:r>
        <w:t xml:space="preserve"> </w:t>
      </w:r>
      <w:r>
        <w:t xml:space="preserve">chamber fluxes were converted to grams of carbon per chamber flux area (10 m</w:t>
      </w:r>
      <w:r>
        <w:rPr>
          <w:vertAlign w:val="superscript"/>
        </w:rPr>
        <w:t xml:space="preserve">2</w:t>
      </w:r>
      <w:r>
        <w:t xml:space="preserve">). Cumulative daily carbon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were then generated over the last year of the experiment to compare with carbon allocation above and belowground.</w:t>
      </w:r>
    </w:p>
    <w:p>
      <w:pPr>
        <w:pStyle w:val="Heading2"/>
      </w:pPr>
      <w:bookmarkStart w:id="28" w:name="harvested-tree-carbon-mass"/>
      <w:bookmarkEnd w:id="28"/>
      <w:r>
        <w:t xml:space="preserve">Harvested tree carbon mass</w:t>
      </w:r>
    </w:p>
    <w:p>
      <w:r>
        <w:t xml:space="preserve">A final destructive harvest was completed in mid-March 2009. Each tree was harvested across 5 canopy layers, set from the floor height and extended through the top of the canopy. Dry biomass of leaves, branches and boles were measured for each layer and summed for each WTC. Root mass was obtained by excavating and seiving all soil inside each root exclusion barrier to the hard layer. Five roots cores (10 mm diameter)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(below) data. Leaf and litter carbon mass was calculated by multiplying harvested or estimated biomass by the WTC specific mean leaf carbon content (%). Leaf carbon content was determined from a subsample of leaves at the final harvest determined using a Leco TruSpec Micro elemental analyzer (LECO corporation, MI, USA). Mass fractions of leaves, boles+branches and roots were calculated by dividing their respective carbon mass by total carbon mass for each tree.</w:t>
      </w:r>
    </w:p>
    <w:p>
      <w:pPr>
        <w:pStyle w:val="Heading2"/>
      </w:pPr>
      <w:bookmarkStart w:id="29" w:name="tree-allometric-relationships"/>
      <w:bookmarkEnd w:id="29"/>
      <w:r>
        <w:t xml:space="preserve">Tree Allometric Relationships</w:t>
      </w:r>
    </w:p>
    <w:p>
      <w:r>
        <w:t xml:space="preserve">Tree height was measured bi-weekly and stem diameters were recorded monthly at regular intervals (30 cm) along the main bole and split stems. Tree diameters at 65 cm height were used as the standard diameter because none of the trees had split stems at this height. Diameter and length for every branch, including forked branches, were surveyed across seven dates over the final year of the experiment. Branch diameter measurements were recorded at 5 cm from their individual insertion points. Leaf litter was collected from the chambers bi-weekly, oven-dried and weighed.</w:t>
      </w:r>
    </w:p>
    <w:p>
      <w:r>
        <w:br w:type="textWrapping"/>
      </w:r>
      <w:r>
        <w:t xml:space="preserve">During the final harvest 1 cm sections were removed from the bole, along regular intervals, to determine the mass contributions of bark and wood for each tree. The mean total bole density for each tree (</w:t>
      </w:r>
      <m:oMath>
        <m:sSub>
          <m:e>
            <m:r>
              <m:rPr>
                <m:sty m:val="p"/>
              </m:rPr>
              <m:t>ρ</m:t>
            </m:r>
          </m:e>
          <m:sub>
            <m:r>
              <m:rPr>
                <m:sty m:val="p"/>
              </m:rPr>
              <m:t>b</m:t>
            </m:r>
            <m:r>
              <m:rPr>
                <m:sty m:val="p"/>
              </m:rPr>
              <m:t>o</m:t>
            </m:r>
          </m:sub>
        </m:sSub>
      </m:oMath>
      <w:r>
        <w:t xml:space="preserve">) was calculated as the contribution of bark mass and wood mass, weighted by the total diameter of each section. Additionally, final harvest basal area and length of each branch were measured and used to calculate the total branch volume. A volume shape factor, from Makela et al.</w:t>
      </w:r>
      <w:r>
        <w:t xml:space="preserve"> </w:t>
      </w:r>
      <w:r>
        <w:t xml:space="preserve">(1997)</w:t>
      </w:r>
      <w:r>
        <w:t xml:space="preserve">, was applied to each branch volume to designate each branch as an intermediate shape between a volumetric cone and a cylinder (</w:t>
      </w:r>
      <m:oMath>
        <m:sSub>
          <m:e>
            <m:r>
              <m:rPr>
                <m:sty m:val="p"/>
              </m:rPr>
              <m:t>ρ</m:t>
            </m:r>
          </m:e>
          <m:sub>
            <m:r>
              <m:rPr>
                <m:sty m:val="p"/>
              </m:rPr>
              <m:t>b</m:t>
            </m:r>
            <m:r>
              <m:rPr>
                <m:sty m:val="p"/>
              </m:rPr>
              <m:t>r</m:t>
            </m:r>
          </m:sub>
        </m:sSub>
      </m:oMath>
      <w:r>
        <w:t xml:space="preserve">, 0.75). A wood density parameter for branches (</w:t>
      </w:r>
      <m:oMath>
        <m:sSub>
          <m:e>
            <m:r>
              <m:rPr>
                <m:sty m:val="p"/>
              </m:rPr>
              <m:t>ρ</m:t>
            </m:r>
          </m:e>
          <m:sub>
            <m:r>
              <m:rPr>
                <m:sty m:val="p"/>
              </m:rPr>
              <m:t>b</m:t>
            </m:r>
            <m:r>
              <m:rPr>
                <m:sty m:val="p"/>
              </m:rPr>
              <m:t>r</m:t>
            </m:r>
          </m:sub>
        </m:sSub>
      </m:oMath>
      <w:r>
        <w:t xml:space="preserve">) in each WTC was calculated as the total branch dry mass divided by the cumulative branch volume. Due to a thin bark layer on branches a separate bark density parameter was not created.</w:t>
      </w:r>
    </w:p>
    <w:p>
      <w:r>
        <w:br w:type="textWrapping"/>
      </w:r>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Additionally, prior to the initiation of the experiment a subset of additional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30" w:name="bole-carbon"/>
      <w:bookmarkEnd w:id="30"/>
      <w:r>
        <w:t xml:space="preserve">Bole Carbon</w:t>
      </w:r>
    </w:p>
    <w:p>
      <w:r>
        <w:t xml:space="preserve">For boles, individual volume units were constructed as concentric cylinders between diameter intervals from base to tip for each monthly survey. This approach assumed any bole taper was accounted for in the difference in volume between bole sections. The last section including the top of the tree was calculated as a cone with a tip radius of .001 cm. The volume below the standard diameter (65 cm) was calculated separately in order to interpolate taper into this section. Using the height of the tree and the standard diameter, the diameters at 30cm and base were estimated by extending the length of the pre-existing cone. This resulted in two additional stem sections with taper assumed as previously stated. All volume units were then summed, including split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1" w:name="branch-carbon"/>
      <w:bookmarkEnd w:id="31"/>
      <w:r>
        <w:t xml:space="preserve">Branch Carbon</w:t>
      </w:r>
    </w:p>
    <w:p>
      <w:r>
        <w:t xml:space="preserve">To obtain branch mass during each survey period, volume of all individual branches were calculated as outlined above. As diameters were not recorded at branch insertion points, 5 cm were added back to each branch length in order to represent the entire branch volume. Branch mass, at any time point, was the individual branch volume multiplied by WTC specific</w:t>
      </w:r>
      <w:r>
        <w:t xml:space="preserve"> </w:t>
      </w:r>
      <m:oMath>
        <m:sSub>
          <m:e>
            <m:r>
              <m:rPr>
                <m:sty m:val="p"/>
              </m:rPr>
              <m:t>ρ</m:t>
            </m:r>
          </m:e>
          <m:sub>
            <m:r>
              <m:rPr>
                <m:sty m:val="p"/>
              </m:rPr>
              <m:t>b</m:t>
            </m:r>
            <m:r>
              <m:rPr>
                <m:sty m:val="p"/>
              </m:rPr>
              <m:t>r</m:t>
            </m:r>
          </m:sub>
        </m:sSub>
      </m:oMath>
      <w:r>
        <w:t xml:space="preserve">. We assumed that neither</w:t>
      </w:r>
      <w:r>
        <w:t xml:space="preserve"> </w:t>
      </w:r>
      <m:oMath>
        <m:sSub>
          <m:e>
            <m:r>
              <m:rPr>
                <m:sty m:val="p"/>
              </m:rPr>
              <m:t>ρ</m:t>
            </m:r>
          </m:e>
          <m:sub>
            <m:r>
              <m:rPr>
                <m:sty m:val="p"/>
              </m:rPr>
              <m:t>b</m:t>
            </m:r>
            <m:r>
              <m:rPr>
                <m:sty m:val="p"/>
              </m:rPr>
              <m:t>o</m:t>
            </m:r>
          </m:sub>
        </m:sSub>
      </m:oMath>
      <w:r>
        <w:t xml:space="preserve"> </w:t>
      </w:r>
      <w:r>
        <w:t xml:space="preserve">nor</w:t>
      </w:r>
      <w:r>
        <w:t xml:space="preserve"> </w:t>
      </w:r>
      <m:oMath>
        <m:sSub>
          <m:e>
            <m:r>
              <m:rPr>
                <m:sty m:val="p"/>
              </m:rPr>
              <m:t>ρ</m:t>
            </m:r>
          </m:e>
          <m:sub>
            <m:r>
              <m:rPr>
                <m:sty m:val="p"/>
              </m:rPr>
              <m:t>b</m:t>
            </m:r>
            <m:r>
              <m:rPr>
                <m:sty m:val="p"/>
              </m:rPr>
              <m:t>r</m:t>
            </m:r>
          </m:sub>
        </m:sSub>
      </m:oMath>
      <w:r>
        <w:t xml:space="preserve"> </w:t>
      </w:r>
      <w:r>
        <w:t xml:space="preserve">calculated from the final harvest changed through time.</w:t>
      </w:r>
    </w:p>
    <w:p>
      <w:pPr>
        <w:pStyle w:val="Heading2"/>
      </w:pPr>
      <w:bookmarkStart w:id="32" w:name="leaf-area-and-carbon"/>
      <w:bookmarkEnd w:id="32"/>
      <w:r>
        <w:t xml:space="preserve">Leaf area and carbon</w:t>
      </w:r>
    </w:p>
    <w:p>
      <w:r>
        <w:t xml:space="preserve">Canopy leaf area was modeled on daily times steps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(1)</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(2)</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3" w:name="total-belowground-carbon-allocation"/>
      <w:bookmarkEnd w:id="33"/>
      <w:r>
        <w:t xml:space="preserve">Total Belowground Carbon Allocation</w:t>
      </w:r>
    </w:p>
    <w:p>
      <w:r>
        <w:t xml:space="preserve">As the installation of chamber floors into each WTC separated the aboveground carbon uptake from the soil carbon efflux, total belowground carbon allocation (TBCA) at any time point was able to be calculated as:</w:t>
      </w:r>
    </w:p>
    <w:p>
      <w:r>
        <w:br w:type="textWrapping"/>
      </w:r>
      <w:r>
        <w:t xml:space="preserve">(3)</w:t>
      </w:r>
    </w:p>
    <w:p>
      <m:oMathPara>
        <m:oMathParaPr>
          <m:jc m:val="center"/>
        </m:oMathParaPr>
        <m:oMath>
          <m:r>
            <m:rPr>
              <m:sty m:val="p"/>
            </m:rPr>
            <m:t>T</m:t>
          </m:r>
          <m:r>
            <m:rPr>
              <m:sty m:val="p"/>
            </m:rPr>
            <m:t>B</m:t>
          </m:r>
          <m:r>
            <m:rPr>
              <m:sty m:val="p"/>
            </m:rPr>
            <m:t>C</m:t>
          </m:r>
          <m:r>
            <m:rPr>
              <m:sty m:val="p"/>
            </m:rPr>
            <m:t>A</m:t>
          </m:r>
          <m:r>
            <m:rPr>
              <m:sty m:val="p"/>
            </m:rPr>
            <m:t>=</m:t>
          </m:r>
          <m:sSub>
            <m:e>
              <m:r>
                <m:rPr>
                  <m:sty m:val="p"/>
                </m:rPr>
                <m:t>F</m:t>
              </m:r>
            </m:e>
            <m:sub>
              <m:r>
                <m:rPr>
                  <m:sty m:val="p"/>
                </m:rPr>
                <m:t>c</m:t>
              </m:r>
              <m:r>
                <m:rPr>
                  <m:sty m:val="p"/>
                </m:rPr>
                <m:t>,</m:t>
              </m:r>
              <m:r>
                <m:rPr>
                  <m:sty m:val="p"/>
                </m:rPr>
                <m:t>t</m:t>
              </m:r>
            </m:sub>
          </m:sSub>
          <m:r>
            <m:rPr>
              <m:sty m:val="p"/>
            </m:rPr>
            <m:t>−</m:t>
          </m:r>
          <m:sSub>
            <m:e>
              <m:r>
                <m:rPr>
                  <m:sty m:val="p"/>
                </m:rPr>
                <m:t>C</m:t>
              </m:r>
            </m:e>
            <m:sub>
              <m:r>
                <m:rPr>
                  <m:sty m:val="p"/>
                </m:rPr>
                <m:t>a</m:t>
              </m:r>
              <m:r>
                <m:rPr>
                  <m:sty m:val="p"/>
                </m:rPr>
                <m:t>b</m:t>
              </m:r>
              <m:r>
                <m:rPr>
                  <m:sty m:val="p"/>
                </m:rPr>
                <m:t>,</m:t>
              </m:r>
              <m:r>
                <m:rPr>
                  <m:sty m:val="p"/>
                </m:rPr>
                <m:t>t</m:t>
              </m:r>
            </m:sub>
          </m:sSub>
        </m:oMath>
      </m:oMathPara>
    </w:p>
    <w:p>
      <w:r>
        <w:t xml:space="preserve">where</w:t>
      </w:r>
      <w:r>
        <w:t xml:space="preserve"> </w:t>
      </w:r>
      <m:oMath>
        <m:sSub>
          <m:e>
            <m:r>
              <m:rPr>
                <m:sty m:val="p"/>
              </m:rPr>
              <m:t>F</m:t>
            </m:r>
          </m:e>
          <m:sub>
            <m:r>
              <m:rPr>
                <m:sty m:val="p"/>
              </m:rPr>
              <m:t>c</m:t>
            </m:r>
            <m:r>
              <m:rPr>
                <m:sty m:val="p"/>
              </m:rPr>
              <m:t>,</m:t>
            </m:r>
            <m:r>
              <m:rPr>
                <m:sty m:val="p"/>
              </m:rPr>
              <m:t>t</m:t>
            </m:r>
          </m:sub>
        </m:sSub>
      </m:oMath>
      <w:r>
        <w:t xml:space="preserve"> </w:t>
      </w:r>
      <w:r>
        <w:t xml:space="preserve">is the gross primary productivity (g C) of the each tree aboveground minus respiration of leaves, stems and branches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is the total standing crop carbon mass (g C) of stems, branches, leaves and cumulative leaf litterfall . As the final standing crop of root biomass was known, TBCA could be further broken down into the total carbon mass of roots (</w:t>
      </w:r>
      <m:oMath>
        <m:sSub>
          <m:e>
            <m:r>
              <m:rPr>
                <m:sty m:val="p"/>
              </m:rPr>
              <m:t>C</m:t>
            </m:r>
          </m:e>
          <m:sub>
            <m:r>
              <m:rPr>
                <m:sty m:val="p"/>
              </m:rPr>
              <m:t>r</m:t>
            </m:r>
            <m:r>
              <m:rPr>
                <m:sty m:val="p"/>
              </m:rPr>
              <m:t>,</m:t>
            </m:r>
            <m:r>
              <m:rPr>
                <m:sty m:val="p"/>
              </m:rPr>
              <m:t>t</m:t>
            </m:r>
          </m:sub>
        </m:sSub>
      </m:oMath>
      <w:r>
        <w:t xml:space="preserve">) and the residual belowground carbon flux (</w:t>
      </w:r>
      <m:oMath>
        <m:sSub>
          <m:e>
            <m:r>
              <m:rPr>
                <m:sty m:val="p"/>
              </m:rPr>
              <m:t>F</m:t>
            </m:r>
          </m:e>
          <m:sub>
            <m:r>
              <m:rPr>
                <m:sty m:val="p"/>
              </m:rPr>
              <m:t>c</m:t>
            </m:r>
            <m:r>
              <m:rPr>
                <m:sty m:val="p"/>
              </m:rPr>
              <m:t>,</m:t>
            </m:r>
            <m:r>
              <m:rPr>
                <m:sty m:val="p"/>
              </m:rPr>
              <m:t>r</m:t>
            </m:r>
          </m:sub>
        </m:sSub>
      </m:oMath>
      <w:r>
        <w:t xml:space="preserve">). The residual belowground carbon flux includes; root and soil respiration, root turnover, root exudation and any unaccounted for root carbon mass. The use of aboveground allometry to interpolate</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through time combined with F</w:t>
      </w:r>
      <w:r>
        <w:rPr>
          <w:vertAlign w:val="subscript"/>
        </w:rPr>
        <w:t xml:space="preserve">c</w:t>
      </w:r>
      <w:r>
        <w:t xml:space="preserve"> </w:t>
      </w:r>
      <w:r>
        <w:t xml:space="preserve">allowed TBCA to be estimated on daily time steps over the final year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4" w:name="visualizing-carbon-allocation-via-mass-balance"/>
      <w:bookmarkEnd w:id="34"/>
      <w:r>
        <w:t xml:space="preserve">Visualizing carbon allocation via mass balance</w:t>
      </w:r>
    </w:p>
    <w:p>
      <w:r>
        <w:t xml:space="preserve">The contributions of aboveground tissue components and TBCA to carbon mass balance were visualized by combining estimates of bole, branch, leaf and litterfall carbon with</w:t>
      </w:r>
      <w:r>
        <w:t xml:space="preserve"> </w:t>
      </w:r>
      <m:oMath>
        <m:sSub>
          <m:e>
            <m:r>
              <m:rPr>
                <m:sty m:val="p"/>
              </m:rPr>
              <m:t>F</m:t>
            </m:r>
          </m:e>
          <m:sub>
            <m:r>
              <m:rPr>
                <m:sty m:val="p"/>
              </m:rPr>
              <m:t>c</m:t>
            </m:r>
            <m:r>
              <m:rPr>
                <m:sty m:val="p"/>
              </m:rPr>
              <m:t>,</m:t>
            </m:r>
            <m:r>
              <m:rPr>
                <m:sty m:val="p"/>
              </m:rPr>
              <m:t>d</m:t>
            </m:r>
          </m:sub>
        </m:sSub>
      </m:oMath>
      <w:r>
        <w:t xml:space="preserve"> </w:t>
      </w:r>
      <w:r>
        <w:t xml:space="preserve">over the final 11 months of the experiment. 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carbon uptake for each WTC. The allocation of carbon to boles and branches were seen by linear interpolation between survey measurements and the final harvest. Daily modeled estimates of leaf and litter carbon were then added to bole and branch carbon mass to estimate</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on any given day. Importantly, the initial estimated carbon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The significant log-linear relationship between aboveground mass of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using</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son the final date.</w:t>
      </w:r>
    </w:p>
    <w:p>
      <w:pPr>
        <w:pStyle w:val="Heading2"/>
      </w:pPr>
      <w:bookmarkStart w:id="35" w:name="data-analysis"/>
      <w:bookmarkEnd w:id="35"/>
      <w:r>
        <w:t xml:space="preserve">Data analysis</w:t>
      </w:r>
    </w:p>
    <w:p>
      <w:r>
        <w:t xml:space="preserve">Differences in experimental parameters to the interaction of CO</w:t>
      </w:r>
      <w:r>
        <w:rPr>
          <w:vertAlign w:val="subscript"/>
        </w:rPr>
        <w:t xml:space="preserve">2</w:t>
      </w:r>
      <w:r>
        <w:t xml:space="preserve"> </w:t>
      </w:r>
      <w:r>
        <w:t xml:space="preserve">and drought treatments at the final harvest where analysed using two-way ANOVA in R</w:t>
      </w:r>
      <w:r>
        <w:t xml:space="preserve"> </w:t>
      </w:r>
      <w:r>
        <w:t xml:space="preserve">(</w:t>
      </w:r>
      <w:r>
        <w:t xml:space="preserve">R Development Core Team</w:t>
      </w:r>
      <w:r>
        <w:t xml:space="preserve"> </w:t>
      </w:r>
      <w:r>
        <w:t xml:space="preserve">2011)</w:t>
      </w:r>
      <w:r>
        <w:t xml:space="preserve">. If interactions were present, planned pairwise comparisons were analyzed using one-way ANOVA and p-values were adjusted as in Benjamini &amp; Hochberg</w:t>
      </w:r>
      <w:r>
        <w:t xml:space="preserve"> </w:t>
      </w:r>
      <w:r>
        <w:t xml:space="preserve">(1995)</w:t>
      </w:r>
      <w:r>
        <w:t xml:space="preserve">. Results were considered significant at P ≤ 0.05.</w:t>
      </w:r>
    </w:p>
    <w:p>
      <w:pPr>
        <w:pStyle w:val="Heading1"/>
      </w:pPr>
      <w:bookmarkStart w:id="36" w:name="results"/>
      <w:bookmarkEnd w:id="36"/>
      <w:r>
        <w:t xml:space="preserve">Results</w:t>
      </w:r>
    </w:p>
    <w:p>
      <w:pPr>
        <w:pStyle w:val="Heading2"/>
      </w:pPr>
      <w:bookmarkStart w:id="37" w:name="total-canopy-carbon-flux-leaf-area-and-whole-tree-carbon"/>
      <w:bookmarkEnd w:id="37"/>
      <w:r>
        <w:t xml:space="preserve">Total canopy carbon flux, leaf area and whole tree carbon</w:t>
      </w:r>
    </w:p>
    <w:p>
      <w:r>
        <w:t xml:space="preserve">There was a positive linear relationship between F</w:t>
      </w:r>
      <w:r>
        <w:rPr>
          <w:vertAlign w:val="subscript"/>
        </w:rPr>
        <w:t xml:space="preserve">[c,t]</w:t>
      </w:r>
      <w:r>
        <w:t xml:space="preserve"> </w:t>
      </w:r>
      <w:r>
        <w:t xml:space="preserve">and both whole tree carbon (R</w:t>
      </w:r>
      <w:r>
        <w:rPr>
          <w:vertAlign w:val="superscript"/>
        </w:rPr>
        <w:t xml:space="preserve">2</w:t>
      </w:r>
      <w:r>
        <w:t xml:space="preserve"> </w:t>
      </w:r>
      <w:r>
        <w:t xml:space="preserve">= 0.86, Figure 1,a) and M</w:t>
      </w:r>
      <w:r>
        <w:rPr>
          <w:vertAlign w:val="subscript"/>
        </w:rPr>
        <w:t xml:space="preserve">[ab,t]</w:t>
      </w:r>
      <w:r>
        <w:t xml:space="preserve"> </w:t>
      </w:r>
      <w:r>
        <w:t xml:space="preserve">(R</w:t>
      </w:r>
      <w:r>
        <w:rPr>
          <w:vertAlign w:val="superscript"/>
        </w:rPr>
        <w:t xml:space="preserve">2</w:t>
      </w:r>
      <w:r>
        <w:t xml:space="preserve"> </w:t>
      </w:r>
      <w:r>
        <w:t xml:space="preserve">= 0.78, Figure 1,b). F</w:t>
      </w:r>
      <w:r>
        <w:rPr>
          <w:vertAlign w:val="subscript"/>
        </w:rPr>
        <w:t xml:space="preserve">[c,t]</w:t>
      </w:r>
      <w:r>
        <w:t xml:space="preserve"> </w:t>
      </w:r>
      <w:r>
        <w:t xml:space="preserve">was significantly reduced by 30.5 % under elevated CO</w:t>
      </w:r>
      <w:r>
        <w:rPr>
          <w:vertAlign w:val="subscript"/>
        </w:rPr>
        <w:t xml:space="preserve">2</w:t>
      </w:r>
      <w:r>
        <w:t xml:space="preserve"> </w:t>
      </w:r>
      <w:r>
        <w:t xml:space="preserve">(P = 0.043), while no effects of the drought treatment were detected. Similarly, both whole tree carbon and M</w:t>
      </w:r>
      <w:r>
        <w:rPr>
          <w:vertAlign w:val="subscript"/>
        </w:rPr>
        <w:t xml:space="preserve">[ab,t]</w:t>
      </w:r>
      <w:r>
        <w:t xml:space="preserve"> </w:t>
      </w:r>
      <w:r>
        <w:t xml:space="preserve">were reduced under elevated CO</w:t>
      </w:r>
      <w:r>
        <w:rPr>
          <w:vertAlign w:val="subscript"/>
        </w:rPr>
        <w:t xml:space="preserve">2</w:t>
      </w:r>
      <w:r>
        <w:t xml:space="preserve"> </w:t>
      </w:r>
      <w:r>
        <w:t xml:space="preserve">by ca. 32 % (both P &lt; 0.03). Leaf area at the final harvest was significantly reduced by by 31.3% under elevated CO</w:t>
      </w:r>
      <w:r>
        <w:rPr>
          <w:vertAlign w:val="subscript"/>
        </w:rPr>
        <w:t xml:space="preserve">2</w:t>
      </w:r>
      <w:r>
        <w:t xml:space="preserve"> </w:t>
      </w:r>
      <w:r>
        <w:t xml:space="preserve">(p &lt; 0.001), which was also evident across the final year of the experiment (Figure 2). Overall, F</w:t>
      </w:r>
      <w:r>
        <w:rPr>
          <w:vertAlign w:val="subscript"/>
        </w:rPr>
        <w:t xml:space="preserve">[c,t]</w:t>
      </w:r>
      <w:r>
        <w:t xml:space="preserve"> </w:t>
      </w:r>
      <w:r>
        <w:t xml:space="preserve">was positively correlated with mean daily leaf area (P &lt; 0.001, R2 = 0.77, Figure 3).</w:t>
      </w:r>
    </w:p>
    <w:p>
      <w:pPr>
        <w:pStyle w:val="Heading2"/>
      </w:pPr>
      <w:bookmarkStart w:id="38" w:name="tree-carbon-allocation-harvest"/>
      <w:bookmarkEnd w:id="38"/>
      <w:r>
        <w:t xml:space="preserve">Tree carbon allocation (harvest)</w:t>
      </w:r>
    </w:p>
    <w:p>
      <w:r>
        <w:t xml:space="preserve">Carbon allocation to individual tissue components were affected differentially by CO</w:t>
      </w:r>
      <w:r>
        <w:rPr>
          <w:vertAlign w:val="subscript"/>
        </w:rPr>
        <w:t xml:space="preserve">2</w:t>
      </w:r>
      <w:r>
        <w:t xml:space="preserve"> </w:t>
      </w:r>
      <w:r>
        <w:t xml:space="preserve">and drought treatments (Table 1). There was a marginal interaction of elevated CO</w:t>
      </w:r>
      <w:r>
        <w:rPr>
          <w:vertAlign w:val="subscript"/>
        </w:rPr>
        <w:t xml:space="preserve">2</w:t>
      </w:r>
      <w:r>
        <w:t xml:space="preserve"> </w:t>
      </w:r>
      <w:r>
        <w:t xml:space="preserve">and drought on harvested bole carbon mass (p = 0.075). Elevated CO</w:t>
      </w:r>
      <w:r>
        <w:rPr>
          <w:vertAlign w:val="subscript"/>
        </w:rPr>
        <w:t xml:space="preserve">2</w:t>
      </w:r>
      <w:r>
        <w:t xml:space="preserve"> </w:t>
      </w:r>
      <w:r>
        <w:t xml:space="preserve">reduced bole carbon mass only in wet treatments (P = 0.041), while drought was found to reduce bole carbon mass in ambient CO</w:t>
      </w:r>
      <w:r>
        <w:rPr>
          <w:vertAlign w:val="subscript"/>
        </w:rPr>
        <w:t xml:space="preserve">2</w:t>
      </w:r>
      <w:r>
        <w:t xml:space="preserve"> </w:t>
      </w:r>
      <w:r>
        <w:t xml:space="preserve">treatments only (P = 0.051). Total branch carbon mass was marginally reduced under elevated CO</w:t>
      </w:r>
      <w:r>
        <w:rPr>
          <w:vertAlign w:val="subscript"/>
        </w:rPr>
        <w:t xml:space="preserve">2</w:t>
      </w:r>
      <w:r>
        <w:t xml:space="preserve"> </w:t>
      </w:r>
      <w:r>
        <w:t xml:space="preserve">(P = 0.086) but not affected by drought. Neither leaf or litter carbon mass were affected by elevated CO</w:t>
      </w:r>
      <w:r>
        <w:rPr>
          <w:vertAlign w:val="subscript"/>
        </w:rPr>
        <w:t xml:space="preserve">2</w:t>
      </w:r>
      <w:r>
        <w:t xml:space="preserve"> </w:t>
      </w:r>
      <w:r>
        <w:t xml:space="preserve">and drought treatments. Toot root carbon mass was marginally reduced under elevated CO</w:t>
      </w:r>
      <w:r>
        <w:rPr>
          <w:vertAlign w:val="subscript"/>
        </w:rPr>
        <w:t xml:space="preserve">2</w:t>
      </w:r>
      <w:r>
        <w:t xml:space="preserve"> </w:t>
      </w:r>
      <w:r>
        <w:t xml:space="preserve">but not affected by drought.</w:t>
      </w:r>
    </w:p>
    <w:p>
      <w:r>
        <w:br w:type="textWrapping"/>
      </w:r>
      <w:r>
        <w:t xml:space="preserve">Final LMF was increased by 15.2% under elevated CO</w:t>
      </w:r>
      <w:r>
        <w:rPr>
          <w:vertAlign w:val="subscript"/>
        </w:rPr>
        <w:t xml:space="preserve">2</w:t>
      </w:r>
      <w:r>
        <w:t xml:space="preserve"> </w:t>
      </w:r>
      <w:r>
        <w:t xml:space="preserve">(P = 0.031) but not affected by the drought treatment. Final LMF was negatively correlated with F</w:t>
      </w:r>
      <w:r>
        <w:rPr>
          <w:vertAlign w:val="subscript"/>
        </w:rPr>
        <w:t xml:space="preserve">[c,t]</w:t>
      </w:r>
      <w:r>
        <w:t xml:space="preserve"> </w:t>
      </w:r>
      <w:r>
        <w:t xml:space="preserve">(R</w:t>
      </w:r>
      <w:r>
        <w:rPr>
          <w:vertAlign w:val="superscript"/>
        </w:rPr>
        <w:t xml:space="preserve">2</w:t>
      </w:r>
      <w:r>
        <w:t xml:space="preserve"> </w:t>
      </w:r>
      <w:r>
        <w:t xml:space="preserve">= -0.62, Figure 4a). Final SMF was reduced by 8% under elevated CO</w:t>
      </w:r>
      <w:r>
        <w:rPr>
          <w:vertAlign w:val="subscript"/>
        </w:rPr>
        <w:t xml:space="preserve">2</w:t>
      </w:r>
      <w:r>
        <w:t xml:space="preserve"> </w:t>
      </w:r>
      <w:r>
        <w:t xml:space="preserve">(P = 0.014), with no effect of the drought treatment detected. Final SMF was positively correlated with F</w:t>
      </w:r>
      <w:r>
        <w:rPr>
          <w:vertAlign w:val="subscript"/>
        </w:rPr>
        <w:t xml:space="preserve">[c,t]</w:t>
      </w:r>
      <w:r>
        <w:t xml:space="preserve"> </w:t>
      </w:r>
      <w:r>
        <w:t xml:space="preserve">(R</w:t>
      </w:r>
      <w:r>
        <w:rPr>
          <w:vertAlign w:val="superscript"/>
        </w:rPr>
        <w:t xml:space="preserve">2</w:t>
      </w:r>
      <w:r>
        <w:t xml:space="preserve"> </w:t>
      </w:r>
      <w:r>
        <w:t xml:space="preserve">= 0.37, Figure 4b). Final RMF was not affected by either treatment nor related to F</w:t>
      </w:r>
      <w:r>
        <w:rPr>
          <w:vertAlign w:val="subscript"/>
        </w:rPr>
        <w:t xml:space="preserve">[c,t]</w:t>
      </w:r>
      <w:r>
        <w:t xml:space="preserve"> </w:t>
      </w:r>
      <w:r>
        <w:t xml:space="preserve">(Figure 4c).</w:t>
      </w:r>
    </w:p>
    <w:p>
      <w:pPr>
        <w:pStyle w:val="Heading2"/>
      </w:pPr>
      <w:bookmarkStart w:id="39" w:name="total-belowground-carbon-allocation-1"/>
      <w:bookmarkEnd w:id="39"/>
      <w:r>
        <w:t xml:space="preserve">Total belowground carbon allocation</w:t>
      </w:r>
    </w:p>
    <w:p>
      <w:r>
        <w:t xml:space="preserve">Within each treatment combination the cumulative carbon mass of each tree component (boles, branches, leaves and roots) did not achieve mass balance with F</w:t>
      </w:r>
      <w:r>
        <w:rPr>
          <w:vertAlign w:val="subscript"/>
        </w:rPr>
        <w:t xml:space="preserve">[c,t]</w:t>
      </w:r>
      <w:r>
        <w:t xml:space="preserve"> </w:t>
      </w:r>
      <w:r>
        <w:t xml:space="preserve">(Figure 5). Across a large range in tree size, similar patterns were detected in each individual WTC (Figure S1). It was therefore necessary to account for allocation to both TBCA and F</w:t>
      </w:r>
      <w:r>
        <w:rPr>
          <w:vertAlign w:val="subscript"/>
        </w:rPr>
        <w:t xml:space="preserve">[s,r]</w:t>
      </w:r>
      <w:r>
        <w:t xml:space="preserve">. Neither TBCA nor F</w:t>
      </w:r>
      <w:r>
        <w:rPr>
          <w:vertAlign w:val="subscript"/>
        </w:rPr>
        <w:t xml:space="preserve">[s,r]</w:t>
      </w:r>
      <w:r>
        <w:t xml:space="preserve"> </w:t>
      </w:r>
      <w:r>
        <w:t xml:space="preserve">were affected by CO</w:t>
      </w:r>
      <w:r>
        <w:rPr>
          <w:vertAlign w:val="subscript"/>
        </w:rPr>
        <w:t xml:space="preserve">2</w:t>
      </w:r>
      <w:r>
        <w:t xml:space="preserve"> </w:t>
      </w:r>
      <w:r>
        <w:t xml:space="preserve">or drought treatments (Figure 6). Thus, even though F</w:t>
      </w:r>
      <w:r>
        <w:rPr>
          <w:vertAlign w:val="subscript"/>
        </w:rPr>
        <w:t xml:space="preserve">[c,t]</w:t>
      </w:r>
      <w:r>
        <w:t xml:space="preserve"> </w:t>
      </w:r>
      <w:r>
        <w:t xml:space="preserve">and allocation to aboveground tissue components were affected by the treatments the allocation of of carbon belowground was relatively constant at the final harvest. Total belowground carbon allocation and F</w:t>
      </w:r>
      <w:r>
        <w:rPr>
          <w:vertAlign w:val="subscript"/>
        </w:rPr>
        <w:t xml:space="preserve">[c,t]</w:t>
      </w:r>
      <w:r>
        <w:t xml:space="preserve"> </w:t>
      </w:r>
      <w:r>
        <w:t xml:space="preserve">were positively correlated at the final harvest (R</w:t>
      </w:r>
      <w:r>
        <w:rPr>
          <w:vertAlign w:val="superscript"/>
        </w:rPr>
        <w:t xml:space="preserve">2</w:t>
      </w:r>
      <w:r>
        <w:t xml:space="preserve"> </w:t>
      </w:r>
      <w:r>
        <w:t xml:space="preserve">= 0.65, P &lt; 0.001) and the proportion of C allocated belowground was relatively constant through time and between treatments (Figure 7). TBCA had a weak positive correlation with mean daily leaf area (R</w:t>
      </w:r>
      <w:r>
        <w:rPr>
          <w:vertAlign w:val="superscript"/>
        </w:rPr>
        <w:t xml:space="preserve">2</w:t>
      </w:r>
      <w:r>
        <w:t xml:space="preserve"> </w:t>
      </w:r>
      <w:r>
        <w:t xml:space="preserve">= 0.26, P = 0.093), while F</w:t>
      </w:r>
      <w:r>
        <w:rPr>
          <w:vertAlign w:val="subscript"/>
        </w:rPr>
        <w:t xml:space="preserve">[s,r]</w:t>
      </w:r>
      <w:r>
        <w:t xml:space="preserve"> </w:t>
      </w:r>
      <w:r>
        <w:t xml:space="preserve">and leaf area were not related.</w:t>
      </w:r>
    </w:p>
    <w:p>
      <w:pPr>
        <w:pStyle w:val="Heading1"/>
      </w:pPr>
      <w:bookmarkStart w:id="40" w:name="discussion"/>
      <w:bookmarkEnd w:id="40"/>
      <w:r>
        <w:t xml:space="preserve">Discussion</w:t>
      </w:r>
    </w:p>
    <w:p>
      <w:pPr>
        <w:pStyle w:val="Heading1"/>
      </w:pPr>
      <w:bookmarkStart w:id="41" w:name="list-of-tables"/>
      <w:bookmarkEnd w:id="41"/>
      <w:r>
        <w:t xml:space="preserve">List of Tables</w:t>
      </w:r>
    </w:p>
    <w:p>
      <w:pPr>
        <w:pStyle w:val="Heading1"/>
      </w:pPr>
      <w:bookmarkStart w:id="42" w:name="tables"/>
      <w:bookmarkEnd w:id="42"/>
      <w:r>
        <w:t xml:space="preserve">Tables</w:t>
      </w:r>
    </w:p>
    <w:p>
      <w:r>
        <w:br w:type="textWrapping"/>
      </w:r>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Tree C flux</w:t>
            </w:r>
          </w:p>
        </w:tc>
      </w:tr>
      <w:tr>
        <w:tc>
          <w:p>
            <w:pPr>
              <w:pStyle w:val="Compact"/>
              <w:jc w:val="left"/>
            </w:pPr>
            <w:r>
              <w:t xml:space="preserve">aCO2-dry</w:t>
            </w:r>
          </w:p>
        </w:tc>
        <w:tc>
          <w:p>
            <w:pPr>
              <w:pStyle w:val="Compact"/>
              <w:jc w:val="left"/>
            </w:pPr>
            <w:r>
              <w:t xml:space="preserve">4478.2 (644.4)</w:t>
            </w:r>
          </w:p>
        </w:tc>
        <w:tc>
          <w:p>
            <w:pPr>
              <w:pStyle w:val="Compact"/>
              <w:jc w:val="left"/>
            </w:pPr>
            <w:r>
              <w:t xml:space="preserve">2204.2 (540.7)</w:t>
            </w:r>
          </w:p>
        </w:tc>
        <w:tc>
          <w:p>
            <w:pPr>
              <w:pStyle w:val="Compact"/>
              <w:jc w:val="left"/>
            </w:pPr>
            <w:r>
              <w:t xml:space="preserve">2039.8 (293.3)</w:t>
            </w:r>
          </w:p>
        </w:tc>
        <w:tc>
          <w:p>
            <w:pPr>
              <w:pStyle w:val="Compact"/>
              <w:jc w:val="left"/>
            </w:pPr>
            <w:r>
              <w:t xml:space="preserve">3180.1 (521.0)</w:t>
            </w:r>
          </w:p>
        </w:tc>
        <w:tc>
          <w:p>
            <w:pPr>
              <w:pStyle w:val="Compact"/>
              <w:jc w:val="left"/>
            </w:pPr>
            <w:r>
              <w:t xml:space="preserve">19343.9 (2163.2)</w:t>
            </w:r>
          </w:p>
        </w:tc>
      </w:tr>
      <w:tr>
        <w:tc>
          <w:p>
            <w:pPr>
              <w:pStyle w:val="Compact"/>
              <w:jc w:val="left"/>
            </w:pPr>
            <w:r>
              <w:t xml:space="preserve">aCO2-wet</w:t>
            </w:r>
          </w:p>
        </w:tc>
        <w:tc>
          <w:p>
            <w:pPr>
              <w:pStyle w:val="Compact"/>
              <w:jc w:val="left"/>
            </w:pPr>
            <w:r>
              <w:t xml:space="preserve">7040.4 (179.6)</w:t>
            </w:r>
          </w:p>
        </w:tc>
        <w:tc>
          <w:p>
            <w:pPr>
              <w:pStyle w:val="Compact"/>
              <w:jc w:val="left"/>
            </w:pPr>
            <w:r>
              <w:t xml:space="preserve">2709.8 (662.3)</w:t>
            </w:r>
          </w:p>
        </w:tc>
        <w:tc>
          <w:p>
            <w:pPr>
              <w:pStyle w:val="Compact"/>
              <w:jc w:val="left"/>
            </w:pPr>
            <w:r>
              <w:t xml:space="preserve">2899.0 (249.2)</w:t>
            </w:r>
          </w:p>
        </w:tc>
        <w:tc>
          <w:p>
            <w:pPr>
              <w:pStyle w:val="Compact"/>
              <w:jc w:val="left"/>
            </w:pPr>
            <w:r>
              <w:t xml:space="preserve">3830.6 (330.1)</w:t>
            </w:r>
          </w:p>
        </w:tc>
        <w:tc>
          <w:p>
            <w:pPr>
              <w:pStyle w:val="Compact"/>
              <w:jc w:val="left"/>
            </w:pPr>
            <w:r>
              <w:t xml:space="preserve">23498.3 (1682.2)</w:t>
            </w:r>
          </w:p>
        </w:tc>
      </w:tr>
      <w:tr>
        <w:tc>
          <w:p>
            <w:pPr>
              <w:pStyle w:val="Compact"/>
              <w:jc w:val="left"/>
            </w:pPr>
            <w:r>
              <w:t xml:space="preserve">eCO2-dry</w:t>
            </w:r>
          </w:p>
        </w:tc>
        <w:tc>
          <w:p>
            <w:pPr>
              <w:pStyle w:val="Compact"/>
              <w:jc w:val="left"/>
            </w:pPr>
            <w:r>
              <w:t xml:space="preserve">3725.0 (592.0)</w:t>
            </w:r>
          </w:p>
        </w:tc>
        <w:tc>
          <w:p>
            <w:pPr>
              <w:pStyle w:val="Compact"/>
              <w:jc w:val="left"/>
            </w:pPr>
            <w:r>
              <w:t xml:space="preserve">1685.9 (313.1)</w:t>
            </w:r>
          </w:p>
        </w:tc>
        <w:tc>
          <w:p>
            <w:pPr>
              <w:pStyle w:val="Compact"/>
              <w:jc w:val="left"/>
            </w:pPr>
            <w:r>
              <w:t xml:space="preserve">2121.1 (157.1)</w:t>
            </w:r>
          </w:p>
        </w:tc>
        <w:tc>
          <w:p>
            <w:pPr>
              <w:pStyle w:val="Compact"/>
              <w:jc w:val="left"/>
            </w:pPr>
            <w:r>
              <w:t xml:space="preserve">2623.6 (501.7)</w:t>
            </w:r>
          </w:p>
        </w:tc>
        <w:tc>
          <w:p>
            <w:pPr>
              <w:pStyle w:val="Compact"/>
              <w:jc w:val="left"/>
            </w:pPr>
            <w:r>
              <w:t xml:space="preserve">14612.0 (3438.0)</w:t>
            </w:r>
          </w:p>
        </w:tc>
      </w:tr>
      <w:tr>
        <w:tc>
          <w:p>
            <w:pPr>
              <w:pStyle w:val="Compact"/>
              <w:jc w:val="left"/>
            </w:pPr>
            <w:r>
              <w:t xml:space="preserve">eCO2-wet</w:t>
            </w:r>
          </w:p>
        </w:tc>
        <w:tc>
          <w:p>
            <w:pPr>
              <w:pStyle w:val="Compact"/>
              <w:jc w:val="left"/>
            </w:pPr>
            <w:r>
              <w:t xml:space="preserve">3620.1 (672.3)</w:t>
            </w:r>
          </w:p>
        </w:tc>
        <w:tc>
          <w:p>
            <w:pPr>
              <w:pStyle w:val="Compact"/>
              <w:jc w:val="left"/>
            </w:pPr>
            <w:r>
              <w:t xml:space="preserve">1501.5 (391.7)</w:t>
            </w:r>
          </w:p>
        </w:tc>
        <w:tc>
          <w:p>
            <w:pPr>
              <w:pStyle w:val="Compact"/>
              <w:jc w:val="left"/>
            </w:pPr>
            <w:r>
              <w:t xml:space="preserve">2390.7 (500.8)</w:t>
            </w:r>
          </w:p>
        </w:tc>
        <w:tc>
          <w:p>
            <w:pPr>
              <w:pStyle w:val="Compact"/>
              <w:jc w:val="left"/>
            </w:pPr>
            <w:r>
              <w:t xml:space="preserve">2306.1 (735.2)</w:t>
            </w:r>
          </w:p>
        </w:tc>
        <w:tc>
          <w:p>
            <w:pPr>
              <w:pStyle w:val="Compact"/>
              <w:jc w:val="left"/>
            </w:pPr>
            <w:r>
              <w:t xml:space="preserve">15164.2 (3246.7)</w:t>
            </w:r>
          </w:p>
        </w:tc>
      </w:tr>
    </w:tbl>
    <w:p>
      <w:pPr>
        <w:pStyle w:val="Heading1"/>
      </w:pPr>
      <w:bookmarkStart w:id="43" w:name="list-of-figures"/>
      <w:bookmarkEnd w:id="43"/>
      <w:r>
        <w:t xml:space="preserve">List of Figures</w:t>
      </w:r>
    </w:p>
    <w:p>
      <w:r>
        <w:rPr>
          <w:b/>
        </w:rPr>
        <w:t xml:space="preserve">Figure 1</w:t>
      </w:r>
      <w:r>
        <w:t xml:space="preserve">. Treatment means of harvested whole tree carbon mass (a) and aboveground carbon mass (b) as a function of cumulative canopy carbon flux over the final year of the experiment. The dotted line is the 1:1 relationship and the solid lines represent the significant linear model fit for whole tree carbon (R</w:t>
      </w:r>
      <w:r>
        <w:rPr>
          <w:vertAlign w:val="superscript"/>
        </w:rPr>
        <w:t xml:space="preserve">2</w:t>
      </w:r>
      <w:r>
        <w:t xml:space="preserve"> </w:t>
      </w:r>
      <w:r>
        <w:t xml:space="preserve">= 0.86) and aboveground carbon mass (R^2 = 0.78).</w:t>
      </w:r>
    </w:p>
    <w:p>
      <w:r>
        <w:br w:type="textWrapping"/>
      </w:r>
      <w:r>
        <w:rPr>
          <w:b/>
        </w:rPr>
        <w:t xml:space="preserve">Figure 2</w:t>
      </w:r>
      <w:r>
        <w:t xml:space="preserve">. Estimated tree leaf area for each chamber trees between 2008-4-15 and 2009-3-16.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canopy carbon flux as a function on mean daily leaf area over the final year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carbon mass partitioning to leaves (a), boles + branches (b) and roots (c) at final harvest as a function of tree size (total tree carbon). Solid lines represent model fit for either LMF, SMF or RMF (R</w:t>
      </w:r>
      <w:r>
        <w:rPr>
          <w:vertAlign w:val="superscript"/>
        </w:rPr>
        <w:t xml:space="preserve">2</w:t>
      </w:r>
      <w:r>
        <w:t xml:space="preserve"> </w:t>
      </w:r>
      <w:r>
        <w:t xml:space="preserve">= -0.55, 0.55 and 0.01, respectively).</w:t>
      </w:r>
    </w:p>
    <w:p>
      <w:r>
        <w:br w:type="textWrapping"/>
      </w:r>
      <w:r>
        <w:rPr>
          <w:b/>
        </w:rPr>
        <w:t xml:space="preserve">Figure 5</w:t>
      </w:r>
      <w:r>
        <w:t xml:space="preserve">. Cumulative canopy carbon flux and additive carbon mass partitioning of individual tree components from 2008-4-15 and 2009-3-16 for each treatment combination. Both carbon flux and tissue carbon partitioning where set to 0 on 2008-4-15 in order to track allocation of new C uptake on a daily time scale. Total root carbon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canopy carbon flux, total belowground carbon allocation, and the residual belowground C flux at the final harvest.</w:t>
      </w:r>
    </w:p>
    <w:p>
      <w:r>
        <w:br w:type="textWrapping"/>
      </w:r>
      <w:r>
        <w:rPr>
          <w:b/>
        </w:rPr>
        <w:t xml:space="preserve">Figure 7</w:t>
      </w:r>
      <w:r>
        <w:t xml:space="preserve">. Total belowground carbon allocation as a function of cumulative canopy carbon flux across the final year of the experiment. Carbon allocation aboveground was estimated from allometric surveys, interpolated on a daily time scale and then removed from the cumulative canopy carbon flux to then quantify TBCA. Individual lines represent treatment means and the dotted line is the 1:1 relationship.</w:t>
      </w:r>
    </w:p>
    <w:p>
      <w:r>
        <w:br w:type="textWrapping"/>
      </w:r>
      <w:r>
        <w:rPr>
          <w:b/>
        </w:rPr>
        <w:t xml:space="preserve">Figure S1</w:t>
      </w:r>
      <w:r>
        <w:t xml:space="preserve">. Cumulative canopy carbon flux and additive carbon mass partitioning of individual tree components from 2008-4-15 and 2009-3-16 for each individual WTC. Both carbon flux and tissue carbon partitioning where set to 0 on 2008-4-15 in order to track allocation of new C uptake on a daily time scale. Total root carbon mass, predicted from the log relationship between above and belowground mass partitioning of pre-planting seedlings and harvested trees, is shown on the last date.</w:t>
      </w:r>
    </w:p>
    <w:p>
      <w:pPr>
        <w:pStyle w:val="Heading1"/>
      </w:pPr>
      <w:bookmarkStart w:id="44" w:name="figures"/>
      <w:bookmarkEnd w:id="44"/>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9"/>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2" w:name="supporting-information"/>
      <w:bookmarkEnd w:id="52"/>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3"/>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4" w:name="references"/>
      <w:bookmarkEnd w:id="54"/>
      <w:r>
        <w:t xml:space="preserve">References</w:t>
      </w:r>
    </w:p>
    <w:p>
      <w:pPr>
        <w:pStyle w:val="Bibliography"/>
      </w:pPr>
      <w:r>
        <w:t xml:space="preserve">Abramowitz G (2005) Towards a benchmark for land surface models. Geophysical Research Letters 32</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Benjamini Y, Hochberg Y (1995) Controlling the false discovery rate: a practical and powerful approach to multiple testing. Journal of the Royal Statistical Society Series B (Methodological):289–300.</w:t>
      </w:r>
    </w:p>
    <w:p>
      <w:pPr>
        <w:pStyle w:val="Bibliography"/>
      </w:pPr>
      <w:r>
        <w:t xml:space="preserve">Mäkelä A (1997) A carbon balance model of growth and self-pruning in trees based on structural relationships. Forest Science 43:7–24.</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5">
        <w:r>
          <w:rPr>
            <w:rStyle w:val="Link"/>
          </w:rPr>
          <w:t xml:space="preserve">http://www.r-project.org</w:t>
        </w:r>
      </w:hyperlink>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4aab4d6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hyperlink" Id="rId55"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5"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alters carbon allocation patterns in Eucalyptus saligna.</dc:title>
  <dc:creator/>
</cp:coreProperties>
</file>