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9.png" ContentType="image/png"/>
  <Override PartName="/word/media/rId50.png" ContentType="image/png"/>
  <Override PartName="/word/media/rId54.png" ContentType="image/png"/>
  <Override PartName="/word/media/rId48.png" ContentType="image/png"/>
  <Override PartName="/word/media/rId46.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2"/>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the effects of global change on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predictions of C allocation are a weak link in current models</w:t>
      </w:r>
      <w:r>
        <w:t xml:space="preserve"> </w:t>
      </w:r>
      <w:r>
        <w:t xml:space="preserve">(McMurtrie and Dewar 2013)</w:t>
      </w:r>
      <w:r>
        <w:t xml:space="preserve">. The deficiency of large-scale models to allocate C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droughted enviroments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probably not always the case.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distribution of C above and belowground across the final eleven months of the experiment.</w:t>
      </w:r>
    </w:p>
    <w:p>
      <w:r>
        <w:br w:type="textWrapping"/>
      </w:r>
      <w:r>
        <w:t xml:space="preserve">(1)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(2) As C uptake and growth should be coordinated over long time periods, we expected both total leaf area and harvested tree C mass to correlate with cumulative total aboveground net canopy C uptake.</w:t>
      </w:r>
    </w:p>
    <w:p>
      <w:r>
        <w:br w:type="textWrapping"/>
      </w:r>
      <w:r>
        <w:t xml:space="preserve">(3) As shifts in partitioning to root biomass were hypothesized, we expected TBCA to vary through time as cumultaive tree C flux was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March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to compare to harvested tree C mass, leaf area and C allocation above and belowground.</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First, the basal area and length of every individual branch was from the final harvest was multiplied to estimate individual branch volume, which was summed for each tree (V</w:t>
      </w:r>
      <w:r>
        <w:rPr>
          <w:vertAlign w:val="subscript"/>
        </w:rPr>
        <w:t xml:space="preserve">br</w:t>
      </w:r>
      <w:r>
        <w:t xml:space="preserve">, cm</w:t>
      </w:r>
      <w:r>
        <w:rPr>
          <w:vertAlign w:val="superscript"/>
        </w:rPr>
        <w:t xml:space="preserve">3</w:t>
      </w:r>
      <w:r>
        <w:t xml:space="preserve">). The product of two parameters, a geometric form factor from Mäkelä et al.</w:t>
      </w:r>
      <w:r>
        <w:t xml:space="preserve"> </w:t>
      </w:r>
      <w:r>
        <w:t xml:space="preserve">(1997)</w:t>
      </w:r>
      <w:r>
        <w:t xml:space="preserve"> </w:t>
      </w:r>
      <w:r>
        <w:t xml:space="preserve">(</w:t>
      </w:r>
      <m:oMath>
        <m:sSub>
          <m:e>
            <m:r>
              <m:rPr>
                <m:sty m:val="p"/>
              </m:rPr>
              <m:t>ϕ</m:t>
            </m:r>
          </m:e>
          <m:sub>
            <m:r>
              <m:rPr>
                <m:sty m:val="p"/>
              </m:rPr>
              <m:t>b</m:t>
            </m:r>
            <m:r>
              <m:rPr>
                <m:sty m:val="p"/>
              </m:rPr>
              <m:t>r</m:t>
            </m:r>
          </m:sub>
        </m:sSub>
      </m:oMath>
      <w:r>
        <w:t xml:space="preserve">) and the total branch density (</w:t>
      </w:r>
      <m:oMath>
        <m:sSub>
          <m:e>
            <m:r>
              <m:rPr>
                <m:sty m:val="p"/>
              </m:rPr>
              <m:t>ρ</m:t>
            </m:r>
          </m:e>
          <m:sub>
            <m:r>
              <m:rPr>
                <m:sty m:val="p"/>
              </m:rPr>
              <m:t>b</m:t>
            </m:r>
            <m:r>
              <m:rPr>
                <m:sty m:val="p"/>
              </m:rPr>
              <m:t>r</m:t>
            </m:r>
          </m:sub>
        </m:sSub>
      </m:oMath>
      <w:r>
        <w:t xml:space="preserve">, g cm</w:t>
      </w:r>
      <w:r>
        <w:rPr>
          <w:vertAlign w:val="superscript"/>
        </w:rPr>
        <w:t xml:space="preserve">-3</w:t>
      </w:r>
      <w:r>
        <w:t xml:space="preserve">) was calculated as:</w:t>
      </w:r>
      <w:r>
        <w:br w:type="textWrapping"/>
      </w:r>
      <w:r>
        <w:t xml:space="preserve">(1)</w:t>
      </w:r>
    </w:p>
    <w:p>
      <m:oMathPara>
        <m:oMathParaPr>
          <m:jc m:val="center"/>
        </m:oMathParaPr>
        <m:oMath>
          <m:sSub>
            <m:e>
              <m:r>
                <m:rPr>
                  <m:sty m:val="p"/>
                </m:rPr>
                <m:t>ϕ</m:t>
              </m:r>
            </m:e>
            <m:sub>
              <m:r>
                <m:rPr>
                  <m:sty m:val="p"/>
                </m:rPr>
                <m:t>b</m:t>
              </m:r>
              <m:r>
                <m:rPr>
                  <m:sty m:val="p"/>
                </m:rPr>
                <m:t>r</m:t>
              </m:r>
            </m:sub>
          </m:sSub>
          <m:sSub>
            <m:e>
              <m:r>
                <m:rPr>
                  <m:sty m:val="p"/>
                </m:rPr>
                <m:t>ρ</m:t>
              </m:r>
            </m:e>
            <m:sub>
              <m:r>
                <m:rPr>
                  <m:sty m:val="p"/>
                </m:rPr>
                <m:t>b</m:t>
              </m:r>
              <m:r>
                <m:rPr>
                  <m:sty m:val="p"/>
                </m:rPr>
                <m:t>r</m:t>
              </m:r>
            </m:sub>
          </m:sSub>
          <m:r>
            <m:rPr>
              <m:sty m:val="p"/>
            </m:rPr>
            <m:t>=</m:t>
          </m:r>
          <m:f>
            <m:fPr>
              <m:type m:val="bar"/>
            </m:fPr>
            <m:num>
              <m:sSub>
                <m:e>
                  <m:r>
                    <m:rPr>
                      <m:sty m:val="p"/>
                    </m:rPr>
                    <m:t>M</m:t>
                  </m:r>
                </m:e>
                <m:sub>
                  <m:r>
                    <m:rPr>
                      <m:sty m:val="p"/>
                    </m:rPr>
                    <m:t>b</m:t>
                  </m:r>
                  <m:r>
                    <m:rPr>
                      <m:sty m:val="p"/>
                    </m:rPr>
                    <m:t>r</m:t>
                  </m:r>
                </m:sub>
              </m:sSub>
            </m:num>
            <m:den>
              <m:sSub>
                <m:e>
                  <m:r>
                    <m:rPr>
                      <m:sty m:val="p"/>
                    </m:rPr>
                    <m:t>V</m:t>
                  </m:r>
                </m:e>
                <m:sub>
                  <m:r>
                    <m:rPr>
                      <m:sty m:val="p"/>
                    </m:rPr>
                    <m:t>b</m:t>
                  </m:r>
                  <m:r>
                    <m:rPr>
                      <m:sty m:val="p"/>
                    </m:rPr>
                    <m:t>r</m:t>
                  </m:r>
                </m:sub>
              </m:sSub>
            </m:den>
          </m:f>
        </m:oMath>
      </m:oMathPara>
    </w:p>
    <w:p>
      <w:r>
        <w:t xml:space="preserve">where M</w:t>
      </w:r>
      <w:r>
        <w:rPr>
          <w:vertAlign w:val="subscript"/>
        </w:rPr>
        <w:t xml:space="preserve">br</w:t>
      </w:r>
      <w:r>
        <w:t xml:space="preserve"> </w:t>
      </w:r>
      <w:r>
        <w:t xml:space="preserve">is summed dry mass of harvested branches,</w:t>
      </w:r>
      <w:r>
        <w:t xml:space="preserve"> </w:t>
      </w:r>
      <m:oMath>
        <m:r>
          <m:rPr>
            <m:sty m:val="p"/>
          </m:rPr>
          <m:t>ϕ</m:t>
        </m:r>
      </m:oMath>
      <w:r>
        <w:t xml:space="preserve"> </w:t>
      </w:r>
      <w:r>
        <w:t xml:space="preserve">corrects branch volume estimates to an intermediate shape between a cone and a cylinder and</w:t>
      </w:r>
      <w:r>
        <w:t xml:space="preserve"> </w:t>
      </w:r>
      <m:oMath>
        <m:sSub>
          <m:e>
            <m:r>
              <m:rPr>
                <m:sty m:val="p"/>
              </m:rPr>
              <m:t>ρ</m:t>
            </m:r>
          </m:e>
          <m:sub>
            <m:r>
              <m:rPr>
                <m:sty m:val="p"/>
              </m:rPr>
              <m:t>b</m:t>
            </m:r>
            <m:r>
              <m:rPr>
                <m:sty m:val="p"/>
              </m:rPr>
              <m:t>r</m:t>
            </m:r>
          </m:sub>
        </m:sSub>
      </m:oMath>
      <w:r>
        <w:t xml:space="preserve"> </w:t>
      </w:r>
      <w:r>
        <w:t xml:space="preserve">resprsents the combined density of wood and bark.</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the product of</w:t>
      </w:r>
      <w:r>
        <w:t xml:space="preserve"> </w:t>
      </w:r>
      <m:oMath>
        <m:sSub>
          <m:e>
            <m:r>
              <m:rPr>
                <m:sty m:val="p"/>
              </m:rPr>
              <m:t>ϕ</m:t>
            </m:r>
          </m:e>
          <m:sub>
            <m:r>
              <m:rPr>
                <m:sty m:val="p"/>
              </m:rPr>
              <m:t>b</m:t>
            </m:r>
            <m:r>
              <m:rPr>
                <m:sty m:val="p"/>
              </m:rPr>
              <m:t>r</m:t>
            </m:r>
          </m:sub>
        </m:sSub>
      </m:oMath>
      <w:r>
        <w:t xml:space="preserve"> </w:t>
      </w:r>
      <w:r>
        <w:t xml:space="preserve">and</w:t>
      </w:r>
      <w:r>
        <w:t xml:space="preserve"> </w:t>
      </w:r>
      <m:oMath>
        <m:sSub>
          <m:e>
            <m:r>
              <m:rPr>
                <m:sty m:val="p"/>
              </m:rPr>
              <m:t>ρ</m:t>
            </m:r>
          </m:e>
          <m:sub>
            <m:r>
              <m:rPr>
                <m:sty m:val="p"/>
              </m:rPr>
              <m:t>b</m:t>
            </m:r>
            <m:r>
              <m:rPr>
                <m:sty m:val="p"/>
              </m:rPr>
              <m:t>r</m:t>
            </m:r>
          </m:sub>
        </m:sSub>
      </m:oMath>
      <w:r>
        <w:t xml:space="preserve">, specific to each WTC.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t</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mass-balance-relationships-between-textf_cd-and-c-allocation."/>
      <w:bookmarkEnd w:id="34"/>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 final</w:t>
      </w:r>
      <w:r>
        <w:t xml:space="preserve"> </w:t>
      </w:r>
      <m:oMath>
        <m:sSub>
          <m:e>
            <m:r>
              <m:rPr>
                <m:sty m:val="p"/>
              </m:rPr>
              <m:t>C</m:t>
            </m:r>
          </m:e>
          <m:sub>
            <m:r>
              <m:rPr>
                <m:sty m:val="p"/>
              </m:rPr>
              <m:t>a</m:t>
            </m:r>
            <m:r>
              <m:rPr>
                <m:sty m:val="p"/>
              </m:rPr>
              <m:t>b</m:t>
            </m:r>
          </m:sub>
        </m:sSub>
      </m:oMath>
      <w:r>
        <w:t xml:space="preserve">. At the end of the time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aboveground-carbon-flux-leaf-area-and-whole-tree-carbon"/>
      <w:bookmarkEnd w:id="37"/>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 Integrated over the final 11 months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Leaf area at the final harvest was significantly reduced by by 31.3% under eC</w:t>
      </w:r>
      <w:r>
        <w:rPr>
          <w:vertAlign w:val="subscript"/>
        </w:rPr>
        <w:t xml:space="preserve">a</w:t>
      </w:r>
      <w:r>
        <w:t xml:space="preserve"> </w:t>
      </w:r>
      <w:r>
        <w:t xml:space="preserve">(p &lt; 0.001), which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at then end of the experiment, was affected differentially by the C</w:t>
      </w:r>
      <w:r>
        <w:rPr>
          <w:vertAlign w:val="subscript"/>
        </w:rPr>
        <w:t xml:space="preserve">a</w:t>
      </w:r>
      <w:r>
        <w:t xml:space="preserve"> </w:t>
      </w:r>
      <w:r>
        <w:t xml:space="preserve">and drought treatments (Table 1). There was a marginal interaction of eC</w:t>
      </w:r>
      <w:r>
        <w:rPr>
          <w:vertAlign w:val="subscript"/>
        </w:rPr>
        <w:t xml:space="preserve">a</w:t>
      </w:r>
      <w:r>
        <w:t xml:space="preserve"> </w:t>
      </w:r>
      <w:r>
        <w:t xml:space="preserve">and drought on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When the aboveground woody compoents were combined (boles+branches) abovegrond wood C mass was reduced 37% under eC</w:t>
      </w:r>
      <w:r>
        <w:rPr>
          <w:vertAlign w:val="subscript"/>
        </w:rPr>
        <w:t xml:space="preserve">a</w:t>
      </w:r>
      <w:r>
        <w:t xml:space="preserve"> </w:t>
      </w:r>
      <w:r>
        <w:t xml:space="preserve">(P = 0.0151).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by the C</w:t>
      </w:r>
      <w:r>
        <w:rPr>
          <w:vertAlign w:val="subscript"/>
        </w:rPr>
        <w:t xml:space="preserve">a</w:t>
      </w:r>
      <w:r>
        <w:t xml:space="preserve"> </w:t>
      </w:r>
      <w:r>
        <w:t xml:space="preserve">and drought treatments.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4b). Root mass fraction was not affected by either treatment and was not correlated to whole tree C (Figure 4c). Integrated over the final 11 months of the experiment, LMF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Niether SMF nor RMF were correlated with adjusted F</w:t>
      </w:r>
      <w:r>
        <w:rPr>
          <w:vertAlign w:val="subscript"/>
        </w:rPr>
        <w:t xml:space="preserve">[c,t]</w:t>
      </w:r>
      <w:r>
        <w:t xml:space="preserve"> </w:t>
      </w:r>
      <w:r>
        <w:t xml:space="preserve">during this time period.</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2"/>
      </w:pPr>
      <w:bookmarkStart w:id="41" w:name="tbca"/>
      <w:bookmarkEnd w:id="41"/>
      <w:r>
        <w:t xml:space="preserve">TBCA</w:t>
      </w:r>
    </w:p>
    <w:p>
      <w:r>
        <w:t xml:space="preserve">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w:t>
      </w:r>
    </w:p>
    <w:p>
      <w:pPr>
        <w:pStyle w:val="Heading1"/>
      </w:pPr>
      <w:bookmarkStart w:id="42" w:name="list-of-tables"/>
      <w:bookmarkEnd w:id="42"/>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-0.57, 0.52 and 0.02,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4" w:name="tables"/>
      <w:bookmarkEnd w:id="44"/>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5" w:name="figures"/>
      <w:bookmarkEnd w:id="45"/>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0"/>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3" w:name="supporting-information"/>
      <w:bookmarkEnd w:id="53"/>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4"/>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5" w:name="references"/>
      <w:bookmarkEnd w:id="55"/>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6">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0e2ee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