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7.png" ContentType="image/png"/>
  <Override PartName="/word/media/rId55.png" ContentType="image/png"/>
  <Override PartName="/word/media/rId56.png" ContentType="image/png"/>
  <Override PartName="/word/media/rId61.png" ContentType="image/png"/>
  <Override PartName="/word/media/rId54.png" ContentType="image/png"/>
  <Override PartName="/word/media/rId52.png" ContentType="image/png"/>
  <Override PartName="/word/media/rId53.png" ContentType="image/png"/>
  <Override PartName="/word/media/rId60.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alters</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Craig Barton</w:t>
      </w:r>
      <w:r>
        <w:rPr>
          <w:vertAlign w:val="superscript"/>
        </w:rPr>
        <w:t xml:space="preserve">1</w:t>
      </w:r>
      <w:r>
        <w:t xml:space="preserve">, Ross E. McMurtrie</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School of Biological, Earth and Environmental Sciences, University of New South Wales, Sydney,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tree carbon (C) allocation above and belowground remains a difficult task and is challenging to represent in models of forest C cycling. Understanding how global change impacts the distribution of tree photosynthetic C is an essential process in determining future terrestrial C balance. We utilized climate-controlled whole tree chambers (WTCs) to measure aboveground net CO</w:t>
      </w:r>
      <w:r>
        <w:rPr>
          <w:vertAlign w:val="subscript"/>
        </w:rPr>
        <w:t xml:space="preserve">2</w:t>
      </w:r>
      <w:r>
        <w:t xml:space="preserve"> </w:t>
      </w:r>
      <w:r>
        <w:t xml:space="preserve">fluxes of</w:t>
      </w:r>
      <w:r>
        <w:t xml:space="preserve"> </w:t>
      </w:r>
      <w:r>
        <w:rPr>
          <w:i/>
        </w:rPr>
        <w:t xml:space="preserve">Eucalyptus tereticornis</w:t>
      </w:r>
      <w:r>
        <w:t xml:space="preserve"> </w:t>
      </w:r>
      <w:r>
        <w:t xml:space="preserve">trees, which were expected to correlate to harvested tree C mass. We then investigated how treatment manipulations of CO</w:t>
      </w:r>
      <w:r>
        <w:rPr>
          <w:vertAlign w:val="subscript"/>
        </w:rPr>
        <w:t xml:space="preserve">2</w:t>
      </w:r>
      <w:r>
        <w:t xml:space="preserve"> </w:t>
      </w:r>
      <w:r>
        <w:t xml:space="preserve">and drought affected both tree biomass partitioning and the allocation of photosynthetic C to various above and belowground pools. We calculated total belowground C allocation (TBCA) for each WTC, which includes all belowground processes, as the residual between the aboveground net CO</w:t>
      </w:r>
      <w:r>
        <w:rPr>
          <w:vertAlign w:val="subscript"/>
        </w:rPr>
        <w:t xml:space="preserve">2</w:t>
      </w:r>
      <w:r>
        <w:t xml:space="preserve"> </w:t>
      </w:r>
      <w:r>
        <w:t xml:space="preserve">flux and aboveground C mass. It was hypothesized that that both drought and elevated CO</w:t>
      </w:r>
      <w:r>
        <w:rPr>
          <w:vertAlign w:val="subscript"/>
        </w:rPr>
        <w:t xml:space="preserve">2</w:t>
      </w:r>
      <w:r>
        <w:t xml:space="preserve"> </w:t>
      </w:r>
      <w:r>
        <w:t xml:space="preserve">would increase biomass partitioning to roots, as well as TBCA. Cumulative aboveground net CO</w:t>
      </w:r>
      <w:r>
        <w:rPr>
          <w:vertAlign w:val="subscript"/>
        </w:rPr>
        <w:t xml:space="preserve">2</w:t>
      </w:r>
      <w:r>
        <w:t xml:space="preserve"> </w:t>
      </w:r>
      <w:r>
        <w:t xml:space="preserve">flux correlated positively to both whole tree C mass and mean leaf area over the final 11 months of the experiment. Surprisingly, biomass partitioning to roots and cumulative TBCA were unaffected by either elevated CO</w:t>
      </w:r>
      <w:r>
        <w:rPr>
          <w:vertAlign w:val="subscript"/>
        </w:rPr>
        <w:t xml:space="preserve">2</w:t>
      </w:r>
      <w:r>
        <w:t xml:space="preserve"> </w:t>
      </w:r>
      <w:r>
        <w:t xml:space="preserve">or drought. As a fraction of total aboveground net C flux, TBCA remained relatively stable across the final 11 months of the experiment for all trees. Carbon allocation to leaves increased under elevated CO</w:t>
      </w:r>
      <w:r>
        <w:rPr>
          <w:vertAlign w:val="subscript"/>
        </w:rPr>
        <w:t xml:space="preserve">2</w:t>
      </w:r>
      <w:r>
        <w:t xml:space="preserve">, while the effects of a 4 month drought were negligible on biomass production or C allocation of aboveground tissues. The novel approaches used here provide evidence that belowground processes may not be as sensitive to global change as previously thought. Overall, these results reveal how climate change factors impact the investment of photosynthetic C in a</w:t>
      </w:r>
      <w:r>
        <w:t xml:space="preserve"> </w:t>
      </w:r>
      <w:r>
        <w:rPr>
          <w:i/>
        </w:rPr>
        <w:t xml:space="preserve">Eucalyptus</w:t>
      </w:r>
      <w:r>
        <w:t xml:space="preserve"> </w:t>
      </w:r>
      <w:r>
        <w:t xml:space="preserve">tree species and provide an empirical framework to improve model representations of C allocation in trees.</w:t>
      </w:r>
    </w:p>
    <w:p>
      <w:pPr>
        <w:pStyle w:val="Heading2"/>
      </w:pPr>
      <w:bookmarkStart w:id="23" w:name="key-words"/>
      <w:bookmarkEnd w:id="23"/>
      <w:r>
        <w:t xml:space="preserve">Key Words</w:t>
      </w:r>
    </w:p>
    <w:p>
      <w:r>
        <w:t xml:space="preserve">carbon allocation, biomass partitioning, whole tree chambers,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 growth by allocating new C to leaves to increase C acquisition</w:t>
      </w:r>
      <w:r>
        <w:t xml:space="preserve"> </w:t>
      </w:r>
      <w:r>
        <w:t xml:space="preserve">(Monsi and Saeki 2005)</w:t>
      </w:r>
      <w:r>
        <w:t xml:space="preserve">. Environmental stresses such as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photosynthesis (A) in applied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w:t>
      </w:r>
      <w:r>
        <w:t xml:space="preserve">ä</w:t>
      </w:r>
      <w:r>
        <w:t xml:space="preserve">kel</w:t>
      </w:r>
      <w:r>
        <w:t xml:space="preserve">ä</w:t>
      </w:r>
      <w:r>
        <w:t xml:space="preserve"> </w:t>
      </w:r>
      <w:r>
        <w:t xml:space="preserve">2012)</w:t>
      </w:r>
      <w:r>
        <w:t xml:space="preserve">. Partitioning coefficients or fixed fractions of assimilation to individual components are often used in process-based models of forest C cycling</w:t>
      </w:r>
      <w:r>
        <w:t xml:space="preserve"> </w:t>
      </w:r>
      <w:r>
        <w:t xml:space="preserve">(Litton et al. 2007, Franklin et al. 2012)</w:t>
      </w:r>
      <w:r>
        <w:t xml:space="preserve">. Unfortunately, using inappropriate or over-simplified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The allocation of photosynthetic C above and belowground is an important factor in terrestrial C cycling yet our knowledge of how global change impacts C allocation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Across four forested free-air C</w:t>
      </w:r>
      <w:r>
        <w:rPr>
          <w:vertAlign w:val="subscript"/>
        </w:rPr>
        <w:t xml:space="preserve">a</w:t>
      </w:r>
      <w:r>
        <w:t xml:space="preserve"> </w:t>
      </w:r>
      <w:r>
        <w:t xml:space="preserve">enrichment (FACE) experiments the total flux of C belowground (TBCA), which includes all belowground processes, was found to be enhanced under elevated C</w:t>
      </w:r>
      <w:r>
        <w:rPr>
          <w:vertAlign w:val="subscript"/>
        </w:rPr>
        <w:t xml:space="preserve">a</w:t>
      </w:r>
      <w:r>
        <w:t xml:space="preserve"> </w:t>
      </w:r>
      <w:r>
        <w:t xml:space="preserve">(eC</w:t>
      </w:r>
      <w:r>
        <w:rPr>
          <w:vertAlign w:val="subscript"/>
        </w:rPr>
        <w:t xml:space="preserve">a</w:t>
      </w:r>
      <w:r>
        <w:t xml:space="preserve">)</w:t>
      </w:r>
      <w:r>
        <w:t xml:space="preserve"> </w:t>
      </w:r>
      <w:r>
        <w:t xml:space="preserve">(Palmroth et al. 2006)</w:t>
      </w:r>
      <w:r>
        <w:t xml:space="preserve">. In FACE experiments this enhancement has been attributed to factors such as increases in C allocation to root biomass production</w:t>
      </w:r>
      <w:r>
        <w:t xml:space="preserve"> </w:t>
      </w:r>
      <w:r>
        <w:t xml:space="preserve">(Iversen 2010)</w:t>
      </w:r>
      <w:r>
        <w:t xml:space="preserve"> </w:t>
      </w:r>
      <w:r>
        <w:t xml:space="preserve">and root exudation</w:t>
      </w:r>
      <w:r>
        <w:t xml:space="preserve"> </w:t>
      </w:r>
      <w:r>
        <w:t xml:space="preserve">(Phillips et al. 2011)</w:t>
      </w:r>
      <w:r>
        <w:t xml:space="preserve">. Alternatively, a meta-analysis by Poorter et al.</w:t>
      </w:r>
      <w:r>
        <w:t xml:space="preserve"> </w:t>
      </w:r>
      <w:r>
        <w:t xml:space="preserve">(2000)</w:t>
      </w:r>
      <w:r>
        <w:t xml:space="preserve"> </w:t>
      </w:r>
      <w:r>
        <w:t xml:space="preserve">concluded that on average, the distribution of biomass to roots, stems or leaves did not change in plants grown under eC</w:t>
      </w:r>
      <w:r>
        <w:rPr>
          <w:vertAlign w:val="subscript"/>
        </w:rPr>
        <w:t xml:space="preserve">a</w:t>
      </w:r>
      <w:r>
        <w:t xml:space="preserve">.</w:t>
      </w:r>
    </w:p>
    <w:p>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eC</w:t>
      </w:r>
      <w:r>
        <w:rPr>
          <w:vertAlign w:val="subscript"/>
        </w:rPr>
        <w:t xml:space="preserve">a</w:t>
      </w:r>
      <w:r>
        <w:t xml:space="preserve"> </w:t>
      </w:r>
      <w:r>
        <w:t xml:space="preserve">requires more attention</w:t>
      </w:r>
      <w:r>
        <w:t xml:space="preserve"> </w:t>
      </w:r>
      <w:r>
        <w:t xml:space="preserve">(Duursma et al. 2011)</w:t>
      </w:r>
      <w:r>
        <w:t xml:space="preserve">.</w:t>
      </w:r>
    </w:p>
    <w:p>
      <w:r>
        <w:br w:type="textWrapping"/>
      </w:r>
      <w:r>
        <w:t xml:space="preserve">Despite its importance, data on TBCA remain sparse as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C pools are in steady-state conditions</w:t>
      </w:r>
      <w:r>
        <w:t xml:space="preserve"> </w:t>
      </w:r>
      <w:r>
        <w:t xml:space="preserve">(Raich and Nadelhoffer 1989)</w:t>
      </w:r>
      <w:r>
        <w:t xml:space="preserve">, which is not always true. Additionally, the reliance on soil respiration in this approach is problematic as studies are often forced to scale up short-term measurements (often monthly) to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A and respiration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at high temporal resolution, while also controlling temperature and air humidity. Combining the high resolution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provides near constant annual production, enables tree C allocation to be tracked over long periods of time. This experimental system can then be used to validate models that scale leaf A to whole canopies with empirical measurements of the response of whole-tree CO</w:t>
      </w:r>
      <w:r>
        <w:rPr>
          <w:vertAlign w:val="sub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Previous findings in this experiment have shown that</w:t>
      </w:r>
      <w:r>
        <w:t xml:space="preserve"> </w:t>
      </w:r>
      <w:r>
        <w:rPr>
          <w:i/>
        </w:rPr>
        <w:t xml:space="preserve">Eucalyptus saligna</w:t>
      </w:r>
      <w:r>
        <w:t xml:space="preserve"> </w:t>
      </w:r>
      <w:r>
        <w:t xml:space="preserve">Sm. trees grown under eC</w:t>
      </w:r>
      <w:r>
        <w:rPr>
          <w:vertAlign w:val="subscript"/>
        </w:rPr>
        <w:t xml:space="preserve">a</w:t>
      </w:r>
      <w:r>
        <w:t xml:space="preserve"> </w:t>
      </w:r>
      <w:r>
        <w:t xml:space="preserve">treatments were smaller than ambient trees and that larger trees had a smaller reduction in canopy transpiration in drought conditions, via deeper rooting access to water resources</w:t>
      </w:r>
      <w:r>
        <w:t xml:space="preserve"> </w:t>
      </w:r>
      <w:r>
        <w:t xml:space="preserve">(Duursma et al. 2011)</w:t>
      </w:r>
      <w:r>
        <w:t xml:space="preserve">. The specific objectives of this study were to determine the response of biomass partitioning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w:t>
      </w:r>
    </w:p>
    <w:p>
      <w:r>
        <w:br w:type="textWrapping"/>
      </w:r>
      <w:r>
        <w:t xml:space="preserve">Our hypotheses were:</w:t>
      </w:r>
      <w:r>
        <w:br w:type="textWrapping"/>
      </w:r>
      <w:r>
        <w:t xml:space="preserve">(1) As C uptake and growth should be coordinated over long time periods, we expected both total leaf area and harvested tree C mass to correlate with cumulative total aboveground net canopy C uptake.</w:t>
      </w:r>
    </w:p>
    <w:p>
      <w:r>
        <w:br w:type="textWrapping"/>
      </w:r>
      <w:r>
        <w:t xml:space="preserve">(2) At the end of the 2 year experiment we expected partitioning of C to roots to increase under eC</w:t>
      </w:r>
      <w:r>
        <w:rPr>
          <w:vertAlign w:val="subscript"/>
        </w:rPr>
        <w:t xml:space="preserve">a</w:t>
      </w:r>
      <w:r>
        <w:t xml:space="preserve">, similar to previous studies. We also expected increases in partitioning to roots under drought treatments, as trees should attempt to reduce water limitation.</w:t>
      </w:r>
    </w:p>
    <w:p>
      <w:r>
        <w:br w:type="textWrapping"/>
      </w:r>
      <w:r>
        <w:t xml:space="preserve">(3) As shifts in partitioning to root biomass were hypothesized, we expected TBCA to increase through time as cumulative tree C flux became affected by eC</w:t>
      </w:r>
      <w:r>
        <w:rPr>
          <w:vertAlign w:val="subscript"/>
        </w:rPr>
        <w:t xml:space="preserve">a</w:t>
      </w:r>
      <w:r>
        <w:t xml:space="preserve"> </w:t>
      </w:r>
      <w:r>
        <w:t xml:space="preserve">and drought. Additionally, we expected C allocation to leaves and woody tissue components aboveground to remain constant.</w:t>
      </w:r>
    </w:p>
    <w:p>
      <w:pPr>
        <w:pStyle w:val="Heading1"/>
      </w:pPr>
      <w:bookmarkStart w:id="25" w:name="methods"/>
      <w:bookmarkEnd w:id="25"/>
      <w:r>
        <w:t xml:space="preserve">Methods</w:t>
      </w:r>
    </w:p>
    <w:p>
      <w:pPr>
        <w:pStyle w:val="Heading2"/>
      </w:pPr>
      <w:bookmarkStart w:id="26" w:name="terminology"/>
      <w:bookmarkEnd w:id="26"/>
      <w:r>
        <w:t xml:space="preserve">Terminology</w:t>
      </w:r>
    </w:p>
    <w:p>
      <w:r>
        <w:rPr>
          <w:i/>
        </w:rPr>
        <w:t xml:space="preserve">Mass partitioning</w:t>
      </w:r>
      <w:r>
        <w:t xml:space="preserve">: the relative distribution of biomass between different tree tissue components such as leaves, branches, boles and roots.</w:t>
      </w:r>
      <w:r>
        <w:br w:type="textWrapping"/>
      </w:r>
      <w:r>
        <w:rPr>
          <w:i/>
        </w:rPr>
        <w:t xml:space="preserve">Carbon allocation</w:t>
      </w:r>
      <w:r>
        <w:t xml:space="preserve">: the fraction of net primary productivity distributed to different ecosystem components such as specific tissue components or total belowground pools.</w:t>
      </w:r>
    </w:p>
    <w:p>
      <w:pPr>
        <w:pStyle w:val="Heading2"/>
      </w:pPr>
      <w:bookmarkStart w:id="27" w:name="whole-tree-chamber-experiment"/>
      <w:bookmarkEnd w:id="27"/>
      <w:r>
        <w:t xml:space="preserve">Whole tree chamber experiment</w:t>
      </w:r>
    </w:p>
    <w:p>
      <w:r>
        <w:t xml:space="preserve">From April 2007</w:t>
      </w:r>
      <w:r>
        <w:t xml:space="preserve"> </w:t>
      </w:r>
      <w:r>
        <w:rPr>
          <w:i/>
        </w:rPr>
        <w:t xml:space="preserve">Eucalyptus saligna</w:t>
      </w:r>
      <w:r>
        <w:t xml:space="preserve"> </w:t>
      </w:r>
      <w:r>
        <w:t xml:space="preserve">seedlings were grown in 12 whole-tree chambers (WTCs)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elevated C</w:t>
      </w:r>
      <w:r>
        <w:rPr>
          <w:vertAlign w:val="subscript"/>
        </w:rPr>
        <w:t xml:space="preserve">a</w:t>
      </w:r>
      <w:r>
        <w:t xml:space="preserve"> </w:t>
      </w:r>
      <w:r>
        <w:t xml:space="preserve">of +240 ppm above ambient (eC</w:t>
      </w:r>
      <w:r>
        <w:rPr>
          <w:vertAlign w:val="subscript"/>
        </w:rPr>
        <w:t xml:space="preserve">a</w:t>
      </w:r>
      <w:r>
        <w:t xml:space="preserve">). Through October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r>
        <w:t xml:space="preserve"> </w:t>
      </w:r>
      <w:r>
        <w:t xml:space="preserve">(Duursma et al. 2011)</w:t>
      </w:r>
      <w:r>
        <w:t xml:space="preserve">.</w:t>
      </w:r>
    </w:p>
    <w:p>
      <w:pPr>
        <w:pStyle w:val="Heading2"/>
      </w:pPr>
      <w:bookmarkStart w:id="28" w:name="aboveground-chamber-co2-flux"/>
      <w:bookmarkEnd w:id="28"/>
      <w:r>
        <w:t xml:space="preserve">Aboveground chamber CO</w:t>
      </w:r>
      <w:r>
        <w:rPr>
          <w:vertAlign w:val="subscript"/>
        </w:rPr>
        <w:t xml:space="preserve">2</w:t>
      </w:r>
      <w:r>
        <w:t xml:space="preserve"> </w:t>
      </w:r>
      <w:r>
        <w:t xml:space="preserve">flux</w:t>
      </w:r>
    </w:p>
    <w:p>
      <w:r>
        <w:t xml:space="preserve">Floors installed above the soil surface, enclosing the main bole, permitted the chambers to function as cuvettes and allowed for whole tree fluxes of CO</w:t>
      </w:r>
      <w:r>
        <w:rPr>
          <w:vertAlign w:val="subscript"/>
        </w:rPr>
        <w:t xml:space="preserve">2</w:t>
      </w:r>
      <w:r>
        <w:t xml:space="preserve"> </w:t>
      </w:r>
      <w:r>
        <w:t xml:space="preserve">(and H</w:t>
      </w:r>
      <w:r>
        <w:rPr>
          <w:vertAlign w:val="subscript"/>
        </w:rPr>
        <w:t xml:space="preserve">2</w:t>
      </w:r>
      <w:r>
        <w:t xml:space="preserve">O) to be monitored once trees were ca. 3.5 m in height. This allowed high resolution CO</w:t>
      </w:r>
      <w:r>
        <w:rPr>
          <w:vertAlign w:val="subscript"/>
        </w:rPr>
        <w:t xml:space="preserve">2</w:t>
      </w:r>
      <w:r>
        <w:t xml:space="preserve"> </w:t>
      </w:r>
      <w:r>
        <w:t xml:space="preserve">flux data at 14 min intervals to be collected during the final eleven months of the experiment (from April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Cumulative daily net aboveground C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representing daily gross aboveground primary productivity of each tree minus respiration of leaves, stems and branches, were summed (</w:t>
      </w:r>
      <m:oMath>
        <m:sSub>
          <m:e>
            <m:r>
              <m:rPr>
                <m:sty m:val="p"/>
              </m:rPr>
              <m:t>F</m:t>
            </m:r>
          </m:e>
          <m:sub>
            <m:r>
              <m:rPr>
                <m:sty m:val="p"/>
              </m:rPr>
              <m:t>c</m:t>
            </m:r>
            <m:r>
              <m:rPr>
                <m:sty m:val="p"/>
              </m:rPr>
              <m:t>,</m:t>
            </m:r>
            <m:r>
              <m:rPr>
                <m:sty m:val="p"/>
              </m:rPr>
              <m:t>T</m:t>
            </m:r>
          </m:sub>
        </m:sSub>
      </m:oMath>
      <w:r>
        <w:t xml:space="preserve">) to compare to harvested tree C mass, leaf area and C allocation above and belowground.</w:t>
      </w:r>
    </w:p>
    <w:p>
      <w:pPr>
        <w:pStyle w:val="Heading2"/>
      </w:pPr>
      <w:bookmarkStart w:id="29" w:name="harvested-tree-carbon-mass"/>
      <w:bookmarkEnd w:id="29"/>
      <w:r>
        <w:t xml:space="preserve">Harvested tree carbon mass</w:t>
      </w:r>
    </w:p>
    <w:p>
      <w:r>
        <w:t xml:space="preserve">A final destructive harvest was completed in March 2009. Each tree was harvested across 5 canopy layers, set from the floor height and extended through the top of the canopy. Dry biomass of leaves, branches and boles were measured for each layer and summed for each WTC. Root mass was obtained by excavating and sieving all soil inside each root exclusion barrier to the hard layer. Five root cores (10 mm diameter), sampled before the harvest,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data (see below). Leaf and litter C mass was calculated by multiplying biomass by the WTC specific mean leaf C content (%). Leaf C content was determined from a sub-sample of final harvest dried and milled leaves analyzed using a Leco TruSpec Micro elemental analyzer (LECO corporation, MI, USA). Carbon mass fractions of leaves, boles+branches (stems) and roots were then calculated by dividing their respective total C mass by whole tree C mass at the end of the experiment.</w:t>
      </w:r>
    </w:p>
    <w:p>
      <w:r>
        <w:br w:type="textWrapping"/>
      </w:r>
      <w:r>
        <w:t xml:space="preserve">Prior to the initiation of the experiment a subset of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30" w:name="tree-allometry-surveys"/>
      <w:bookmarkEnd w:id="30"/>
      <w:r>
        <w:t xml:space="preserve">Tree allometry surveys</w:t>
      </w:r>
    </w:p>
    <w:p>
      <w:r>
        <w:t xml:space="preserve">Tree height was measured bi-weekly and diameters were recorded monthly at regular intervals (30 cm) along the main bole and split stems. Bole diameters at 65 cm height were used as the reference diameter. Diameter and length for every branch, including forked branches, were surveyed seven times between April 2008 and March 2009. The first branch survey coincided with the installation of chamber floors and initiation of whole tree flux measurements. Branch diameter measurements were recorded at 5 cm from their individual insertion points. Leaf litter was collected from the chambers every two weeks, oven-dried and weighed.</w:t>
      </w:r>
    </w:p>
    <w:p>
      <w:pPr>
        <w:pStyle w:val="Heading2"/>
      </w:pPr>
      <w:bookmarkStart w:id="31" w:name="bole-carbon-mass"/>
      <w:bookmarkEnd w:id="31"/>
      <w:r>
        <w:t xml:space="preserve">Bole carbon mass</w:t>
      </w:r>
    </w:p>
    <w:p>
      <w:r>
        <w:t xml:space="preserve">During the final harvest, diameter measurements were recorded as described above and 1 cm sections were removed from the bole at regular intervals between diameter measurements.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top section was calculated as a cone with a tip radius of .001 cm. The volume below the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stem sections with taper assumed as above. All bole volume units were then summed (including forked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2" w:name="branch-carbon-mass"/>
      <w:bookmarkEnd w:id="32"/>
      <w:r>
        <w:t xml:space="preserve">Branch carbon mass</w:t>
      </w:r>
    </w:p>
    <w:p>
      <w:r>
        <w:t xml:space="preserve">Measured dry mass, length and basal area of harvested branches was used to determine the branch density (</w:t>
      </w:r>
      <m:oMath>
        <m:sSub>
          <m:e>
            <m:r>
              <m:rPr>
                <m:sty m:val="p"/>
              </m:rPr>
              <m:t>ρ</m:t>
            </m:r>
          </m:e>
          <m:sub>
            <m:r>
              <m:rPr>
                <m:sty m:val="p"/>
              </m:rPr>
              <m:t>b</m:t>
            </m:r>
            <m:r>
              <m:rPr>
                <m:sty m:val="p"/>
              </m:rPr>
              <m:t>r</m:t>
            </m:r>
          </m:sub>
        </m:sSub>
      </m:oMath>
      <w:r>
        <w:t xml:space="preserve">) as well as a geometric shape factor</w:t>
      </w:r>
      <w:r>
        <w:t xml:space="preserve"> </w:t>
      </w:r>
      <w:r>
        <w:t xml:space="preserve">(</w:t>
      </w:r>
      <m:oMath>
        <m:r>
          <m:rPr>
            <m:sty m:val="p"/>
          </m:rPr>
          <m:t>ϕ</m:t>
        </m:r>
      </m:oMath>
      <w:r>
        <w:t xml:space="preserve">, see M</w:t>
      </w:r>
      <w:r>
        <w:t xml:space="preserve">ä</w:t>
      </w:r>
      <w:r>
        <w:t xml:space="preserve">kel</w:t>
      </w:r>
      <w:r>
        <w:t xml:space="preserve">ä</w:t>
      </w:r>
      <w:r>
        <w:t xml:space="preserve"> </w:t>
      </w:r>
      <w:r>
        <w:t xml:space="preserve">1997)</w:t>
      </w:r>
      <w:r>
        <w:t xml:space="preserve"> </w:t>
      </w:r>
      <w:r>
        <w:t xml:space="preserve">for each WTC by rearranging the equation:</w:t>
      </w:r>
    </w:p>
    <w:p>
      <w:r>
        <w:br w:type="textWrapping"/>
      </w:r>
      <w:r>
        <w:t xml:space="preserve">(1)</w:t>
      </w:r>
    </w:p>
    <w:p>
      <m:oMathPara>
        <m:oMathParaPr>
          <m:jc m:val="center"/>
        </m:oMathParaPr>
        <m:oMath>
          <m:sSub>
            <m:e>
              <m:r>
                <m:rPr>
                  <m:sty m:val="p"/>
                </m:rPr>
                <m:t>M</m:t>
              </m:r>
            </m:e>
            <m:sub>
              <m:r>
                <m:rPr>
                  <m:sty m:val="p"/>
                </m:rPr>
                <m:t>b</m:t>
              </m:r>
              <m:r>
                <m:rPr>
                  <m:sty m:val="p"/>
                </m:rPr>
                <m:t>r</m:t>
              </m:r>
            </m:sub>
          </m:sSub>
          <m:r>
            <m:rPr>
              <m:sty m:val="p"/>
            </m:rPr>
            <m:t>=</m:t>
          </m:r>
          <m:sSub>
            <m:e>
              <m:r>
                <m:rPr>
                  <m:sty m:val="p"/>
                </m:rPr>
                <m:t>L</m:t>
              </m:r>
            </m:e>
            <m:sub>
              <m:r>
                <m:rPr>
                  <m:sty m:val="p"/>
                </m:rPr>
                <m:t>b</m:t>
              </m:r>
              <m:r>
                <m:rPr>
                  <m:sty m:val="p"/>
                </m:rPr>
                <m:t>r</m:t>
              </m:r>
            </m:sub>
          </m:sSub>
          <m:sSub>
            <m:e>
              <m:r>
                <m:rPr>
                  <m:sty m:val="p"/>
                </m:rPr>
                <m:t>A</m:t>
              </m:r>
            </m:e>
            <m:sub>
              <m:r>
                <m:rPr>
                  <m:sty m:val="p"/>
                </m:rPr>
                <m:t>b</m:t>
              </m:r>
              <m:r>
                <m:rPr>
                  <m:sty m:val="p"/>
                </m:rPr>
                <m:t>r</m:t>
              </m:r>
            </m:sub>
          </m:sSub>
          <m:sSub>
            <m:e>
              <m:r>
                <m:rPr>
                  <m:sty m:val="p"/>
                </m:rPr>
                <m:t>ρ</m:t>
              </m:r>
            </m:e>
            <m:sub>
              <m:r>
                <m:rPr>
                  <m:sty m:val="p"/>
                </m:rPr>
                <m:t>b</m:t>
              </m:r>
              <m:r>
                <m:rPr>
                  <m:sty m:val="p"/>
                </m:rPr>
                <m:t>r</m:t>
              </m:r>
            </m:sub>
          </m:sSub>
          <m:sSub>
            <m:e>
              <m:r>
                <m:rPr>
                  <m:sty m:val="p"/>
                </m:rPr>
                <m:t>ϕ</m:t>
              </m:r>
            </m:e>
            <m:sub>
              <m:r>
                <m:rPr>
                  <m:sty m:val="p"/>
                </m:rPr>
                <m:t>b</m:t>
              </m:r>
              <m:r>
                <m:rPr>
                  <m:sty m:val="p"/>
                </m:rPr>
                <m:t>r</m:t>
              </m:r>
            </m:sub>
          </m:sSub>
        </m:oMath>
      </m:oMathPara>
    </w:p>
    <w:p>
      <w:r>
        <w:t xml:space="preserve">where</w:t>
      </w:r>
      <w:r>
        <w:t xml:space="preserve"> </w:t>
      </w:r>
      <m:oMath>
        <m:sSub>
          <m:e>
            <m:r>
              <m:rPr>
                <m:sty m:val="p"/>
              </m:rPr>
              <m:t>M</m:t>
            </m:r>
          </m:e>
          <m:sub>
            <m:r>
              <m:rPr>
                <m:sty m:val="p"/>
              </m:rPr>
              <m:t>b</m:t>
            </m:r>
            <m:r>
              <m:rPr>
                <m:sty m:val="p"/>
              </m:rPr>
              <m:t>r</m:t>
            </m:r>
          </m:sub>
        </m:sSub>
      </m:oMath>
      <w:r>
        <w:t xml:space="preserve"> </w:t>
      </w:r>
      <w:r>
        <w:t xml:space="preserve">is summed dry mass of all harvested branches,</w:t>
      </w:r>
      <w:r>
        <w:t xml:space="preserve"> </w:t>
      </w:r>
      <m:oMath>
        <m:sSub>
          <m:e>
            <m:r>
              <m:rPr>
                <m:sty m:val="p"/>
              </m:rPr>
              <m:t>L</m:t>
            </m:r>
          </m:e>
          <m:sub>
            <m:r>
              <m:rPr>
                <m:sty m:val="p"/>
              </m:rPr>
              <m:t>b</m:t>
            </m:r>
            <m:r>
              <m:rPr>
                <m:sty m:val="p"/>
              </m:rPr>
              <m:t>r</m:t>
            </m:r>
          </m:sub>
        </m:sSub>
      </m:oMath>
      <w:r>
        <w:t xml:space="preserve"> </w:t>
      </w:r>
      <w:r>
        <w:t xml:space="preserve">is total branch length (cm),</w:t>
      </w:r>
      <w:r>
        <w:t xml:space="preserve"> </w:t>
      </w:r>
      <m:oMath>
        <m:sSub>
          <m:e>
            <m:r>
              <m:rPr>
                <m:sty m:val="p"/>
              </m:rPr>
              <m:t>A</m:t>
            </m:r>
          </m:e>
          <m:sub>
            <m:r>
              <m:rPr>
                <m:sty m:val="p"/>
              </m:rPr>
              <m:t>b</m:t>
            </m:r>
            <m:r>
              <m:rPr>
                <m:sty m:val="p"/>
              </m:rPr>
              <m:t>r</m:t>
            </m:r>
          </m:sub>
        </m:sSub>
      </m:oMath>
      <w:r>
        <w:t xml:space="preserve"> </w:t>
      </w:r>
      <w:r>
        <w:t xml:space="preserve">is total branch basal area (cm</w:t>
      </w:r>
      <w:r>
        <w:rPr>
          <w:vertAlign w:val="superscript"/>
        </w:rPr>
        <w:t xml:space="preserve">3</w:t>
      </w:r>
      <w:r>
        <w:t xml:space="preserve">),</w:t>
      </w:r>
      <w:r>
        <w:t xml:space="preserve"> </w:t>
      </w:r>
      <m:oMath>
        <m:sSub>
          <m:e>
            <m:r>
              <m:rPr>
                <m:sty m:val="p"/>
              </m:rPr>
              <m:t>ρ</m:t>
            </m:r>
          </m:e>
          <m:sub>
            <m:r>
              <m:rPr>
                <m:sty m:val="p"/>
              </m:rPr>
              <m:t>b</m:t>
            </m:r>
            <m:r>
              <m:rPr>
                <m:sty m:val="p"/>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sty m:val="p"/>
          </m:rPr>
          <m:t>ϕ</m:t>
        </m:r>
      </m:oMath>
      <w:r>
        <w:t xml:space="preserve"> </w:t>
      </w:r>
      <w:r>
        <w:t xml:space="preserve">corrects branch volume estimates to an intermediate shape between a cone and a cylinder</w:t>
      </w:r>
      <w:r>
        <w:t xml:space="preserve"> </w:t>
      </w:r>
      <w:r>
        <w:t xml:space="preserve">(M</w:t>
      </w:r>
      <w:r>
        <w:t xml:space="preserve">ä</w:t>
      </w:r>
      <w:r>
        <w:t xml:space="preserve">kel</w:t>
      </w:r>
      <w:r>
        <w:t xml:space="preserve">ä</w:t>
      </w:r>
      <w:r>
        <w:t xml:space="preserve"> </w:t>
      </w:r>
      <w:r>
        <w:t xml:space="preserve">1997)</w:t>
      </w:r>
      <w:r>
        <w:t xml:space="preserve">. The ratio of measured</w:t>
      </w:r>
      <w:r>
        <w:t xml:space="preserve"> </w:t>
      </w:r>
      <m:oMath>
        <m:sSub>
          <m:e>
            <m:r>
              <m:rPr>
                <m:sty m:val="p"/>
              </m:rPr>
              <m:t>M</m:t>
            </m:r>
          </m:e>
          <m:sub>
            <m:r>
              <m:rPr>
                <m:sty m:val="p"/>
              </m:rPr>
              <m:t>b</m:t>
            </m:r>
            <m:r>
              <m:rPr>
                <m:sty m:val="p"/>
              </m:rPr>
              <m:t>r</m:t>
            </m:r>
          </m:sub>
        </m:sSub>
      </m:oMath>
      <w:r>
        <w:t xml:space="preserve"> </w:t>
      </w:r>
      <w:r>
        <w:t xml:space="preserve">to</w:t>
      </w:r>
      <w:r>
        <w:t xml:space="preserve"> </w:t>
      </w:r>
      <m:oMath>
        <m:sSub>
          <m:e>
            <m:r>
              <m:rPr>
                <m:sty m:val="p"/>
              </m:rPr>
              <m:t>L</m:t>
            </m:r>
          </m:e>
          <m:sub>
            <m:r>
              <m:rPr>
                <m:sty m:val="p"/>
              </m:rPr>
              <m:t>b</m:t>
            </m:r>
            <m:r>
              <m:rPr>
                <m:sty m:val="p"/>
              </m:rPr>
              <m:t>r</m:t>
            </m:r>
          </m:sub>
        </m:sSub>
        <m:sSub>
          <m:e>
            <m:r>
              <m:rPr>
                <m:sty m:val="p"/>
              </m:rPr>
              <m:t>A</m:t>
            </m:r>
          </m:e>
          <m:sub>
            <m:r>
              <m:rPr>
                <m:sty m:val="p"/>
              </m:rPr>
              <m:t>b</m:t>
            </m:r>
            <m:r>
              <m:rPr>
                <m:sty m:val="p"/>
              </m:rPr>
              <m:t>r</m:t>
            </m:r>
          </m:sub>
        </m:sSub>
      </m:oMath>
      <w:r>
        <w:t xml:space="preserve"> </w:t>
      </w:r>
      <w:r>
        <w:t xml:space="preserve">was used to generate a WTC-specific</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w:t>
      </w:r>
    </w:p>
    <w:p>
      <w:r>
        <w:br w:type="textWrapping"/>
      </w:r>
      <w:r>
        <w:t xml:space="preserve">During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sty m:val="p"/>
              </m:rPr>
              <m:t>b</m:t>
            </m:r>
            <m:r>
              <m:rPr>
                <m:sty m:val="p"/>
              </m:rPr>
              <m:t>r</m:t>
            </m:r>
          </m:sub>
        </m:sSub>
      </m:oMath>
      <w:r>
        <w:t xml:space="preserve"> </w:t>
      </w:r>
      <w:r>
        <w:t xml:space="preserve">and</w:t>
      </w:r>
      <w:r>
        <w:t xml:space="preserve"> </w:t>
      </w:r>
      <m:oMath>
        <m:sSub>
          <m:e>
            <m:r>
              <m:rPr>
                <m:sty m:val="p"/>
              </m:rPr>
              <m:t>A</m:t>
            </m:r>
          </m:e>
          <m:sub>
            <m:r>
              <m:rPr>
                <m:sty m:val="p"/>
              </m:rPr>
              <m:t>b</m:t>
            </m:r>
            <m:r>
              <m:rPr>
                <m:sty m:val="p"/>
              </m:rPr>
              <m:t>r</m:t>
            </m:r>
          </m:sub>
        </m:sSub>
      </m:oMath>
      <w:r>
        <w:t xml:space="preserve"> </w:t>
      </w:r>
      <w:r>
        <w:t xml:space="preserve">for individual branches with</w:t>
      </w:r>
      <w:r>
        <w:t xml:space="preserve"> </w:t>
      </w:r>
      <m:oMath>
        <m:sSub>
          <m:e>
            <m:r>
              <m:rPr>
                <m:sty m:val="p"/>
              </m:rPr>
              <m:t>ϕ</m:t>
            </m:r>
          </m:e>
          <m:sub>
            <m:r>
              <m:rPr>
                <m:sty m:val="p"/>
              </m:rPr>
              <m:t>b</m:t>
            </m:r>
            <m:r>
              <m:rPr>
                <m:sty m:val="p"/>
              </m:rPr>
              <m:t>r</m:t>
            </m:r>
          </m:sub>
        </m:sSub>
      </m:oMath>
      <m:oMath>
        <m:sSub>
          <m:e>
            <m:r>
              <m:rPr>
                <m:sty m:val="p"/>
              </m:rPr>
              <m:t>ρ</m:t>
            </m:r>
          </m:e>
          <m:sub>
            <m:r>
              <m:rPr>
                <m:sty m:val="p"/>
              </m:rPr>
              <m:t>b</m:t>
            </m:r>
            <m:r>
              <m:rPr>
                <m:sty m:val="p"/>
              </m:rPr>
              <m:t>r</m:t>
            </m:r>
          </m:sub>
        </m:sSub>
      </m:oMath>
      <w:r>
        <w:t xml:space="preserve"> </w:t>
      </w:r>
      <w:r>
        <w:t xml:space="preserve">specific to each WTC. We assumed that</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 </w:t>
      </w:r>
      <w:r>
        <w:t xml:space="preserve">did not change through time. Total dry branch mass at each survey point was the total mass of all individual branches.</w:t>
      </w:r>
    </w:p>
    <w:p>
      <w:pPr>
        <w:pStyle w:val="Heading2"/>
      </w:pPr>
      <w:bookmarkStart w:id="33" w:name="leaf-area-and-carbon-mass"/>
      <w:bookmarkEnd w:id="33"/>
      <w:r>
        <w:t xml:space="preserve">Leaf area and carbon mass</w:t>
      </w:r>
    </w:p>
    <w:p>
      <w:r>
        <w:t xml:space="preserve">Total tree leaf area and dry mass were measured for each of the five canopy layers at the final tree harvest in March 2009. Specific leaf area (SLA, cm</w:t>
      </w:r>
      <w:r>
        <w:rPr>
          <w:vertAlign w:val="superscript"/>
        </w:rPr>
        <w:t xml:space="preserve">2</w:t>
      </w:r>
      <w:r>
        <w:t xml:space="preserve"> </w:t>
      </w:r>
      <w:r>
        <w:t xml:space="preserve">g</w:t>
      </w:r>
      <w:r>
        <w:rPr>
          <w:vertAlign w:val="superscript"/>
        </w:rPr>
        <w:t xml:space="preserve">-1</w:t>
      </w:r>
      <w:r>
        <w:t xml:space="preserve">) was calculated by dividing total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This was method was applied by Barton et al.</w:t>
      </w:r>
      <w:r>
        <w:t xml:space="preserve"> </w:t>
      </w:r>
      <w:r>
        <w:t xml:space="preserve">(2012)</w:t>
      </w:r>
      <w:r>
        <w:t xml:space="preserve">, but we briefly repeat it here for the sake of completeness.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w:t>
      </w:r>
      <w:r>
        <w:t xml:space="preserve"> </w:t>
      </w:r>
      <w:r>
        <w:rPr>
          <w:i/>
        </w:rPr>
        <w:t xml:space="preserve">t</w:t>
      </w:r>
      <w:r>
        <w:t xml:space="preserve"> </w:t>
      </w:r>
      <w:r>
        <w:t xml:space="preserve">are obtained from tree height at time</w:t>
      </w:r>
      <w:r>
        <w:t xml:space="preserve"> </w:t>
      </w:r>
      <w:r>
        <w:rPr>
          <w:i/>
        </w:rPr>
        <w:t xml:space="preserve">t</w:t>
      </w:r>
      <w:r>
        <w:t xml:space="preserve"> </w:t>
      </w:r>
      <w:r>
        <w:t xml:space="preserve">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w:t>
      </w:r>
      <w:r>
        <w:t xml:space="preserve"> </w:t>
      </w:r>
      <w:r>
        <w:rPr>
          <w:i/>
        </w:rPr>
        <w:t xml:space="preserve">t</w:t>
      </w:r>
      <w:r>
        <w:t xml:space="preserve">.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4" w:name="tissue-c-allocation"/>
      <w:bookmarkEnd w:id="34"/>
      <w:r>
        <w:t xml:space="preserve">Tissue C allocation</w:t>
      </w:r>
    </w:p>
    <w:p>
      <w:r>
        <w:t xml:space="preserve">Tissue specific C allocation represents the fraction of net primary productivity (NPP) distributed to a given tissue, which determines the change in biomass of that tissue through time such that:</w:t>
      </w:r>
    </w:p>
    <w:p>
      <w:r>
        <w:br w:type="textWrapping"/>
      </w:r>
      <w:r>
        <w:t xml:space="preserve">(4)</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N</m:t>
          </m:r>
          <m:r>
            <m:rPr>
              <m:sty m:val="p"/>
            </m:rPr>
            <m:t>P</m:t>
          </m:r>
          <m:r>
            <m:rPr>
              <m:sty m:val="p"/>
            </m:rPr>
            <m:t>P</m:t>
          </m:r>
          <m:r>
            <m:rPr>
              <m:sty m:val="p"/>
            </m:rPr>
            <m:t>−</m:t>
          </m:r>
          <m:sSub>
            <m:e>
              <m:r>
                <m:rPr>
                  <m:sty m:val="p"/>
                </m:rPr>
                <m:t>λ</m:t>
              </m:r>
            </m:e>
            <m:sub>
              <m:r>
                <m:rPr>
                  <m:sty m:val="p"/>
                </m:rPr>
                <m:t>c</m:t>
              </m:r>
            </m:sub>
          </m:sSub>
          <m:sSub>
            <m:e>
              <m:r>
                <m:rPr>
                  <m:sty m:val="p"/>
                </m:rPr>
                <m:t>M</m:t>
              </m:r>
            </m:e>
            <m:sub>
              <m:r>
                <m:rPr>
                  <m:sty m:val="p"/>
                </m:rPr>
                <m:t>c</m:t>
              </m:r>
            </m:sub>
          </m:sSub>
        </m:oMath>
      </m:oMathPara>
    </w:p>
    <w:p>
      <w:r>
        <w:t xml:space="preserve">where</w:t>
      </w:r>
      <w:r>
        <w:t xml:space="preserve"> </w:t>
      </w:r>
      <m:oMath>
        <m:sSub>
          <m:e>
            <m:r>
              <m:rPr>
                <m:sty m:val="p"/>
              </m:rPr>
              <m:t>M</m:t>
            </m:r>
          </m:e>
          <m:sub>
            <m:r>
              <m:rPr>
                <m:sty m:val="p"/>
              </m:rPr>
              <m:t>c</m:t>
            </m:r>
          </m:sub>
        </m:sSub>
      </m:oMath>
      <w:r>
        <w:t xml:space="preserve"> </w:t>
      </w:r>
      <w:r>
        <w:t xml:space="preserve">is the standing C mass of a component (g C),</w:t>
      </w:r>
      <w:r>
        <w:t xml:space="preserve"> </w:t>
      </w:r>
      <m:oMath>
        <m:sSub>
          <m:e>
            <m:r>
              <m:rPr>
                <m:sty m:val="p"/>
              </m:rPr>
              <m:t>a</m:t>
            </m:r>
          </m:e>
          <m:sub>
            <m:r>
              <m:rPr>
                <m:sty m:val="p"/>
              </m:rPr>
              <m:t>c</m:t>
            </m:r>
          </m:sub>
        </m:sSub>
      </m:oMath>
      <w:r>
        <w:t xml:space="preserve"> </w:t>
      </w:r>
      <w:r>
        <w:t xml:space="preserve">is the allocation to that component (0-1) and</w:t>
      </w:r>
      <w:r>
        <w:t xml:space="preserve"> </w:t>
      </w:r>
      <m:oMath>
        <m:sSub>
          <m:e>
            <m:r>
              <m:rPr>
                <m:sty m:val="p"/>
              </m:rPr>
              <m:t>λ</m:t>
            </m:r>
          </m:e>
          <m:sub>
            <m:r>
              <m:rPr>
                <m:sty m:val="p"/>
              </m:rPr>
              <m:t>c</m:t>
            </m:r>
          </m:sub>
        </m:sSub>
      </m:oMath>
      <w:r>
        <w:t xml:space="preserve"> </w:t>
      </w:r>
      <w:r>
        <w:t xml:space="preserve">is the component specific turnover (d</w:t>
      </w:r>
      <w:r>
        <w:rPr>
          <w:vertAlign w:val="superscript"/>
        </w:rPr>
        <w:t xml:space="preserve">-1</w:t>
      </w:r>
      <w:r>
        <w:t xml:space="preserve">).</w:t>
      </w:r>
    </w:p>
    <w:p>
      <w:r>
        <w:br w:type="textWrapping"/>
      </w:r>
      <w:r>
        <w:t xml:space="preserve">Here, total C allocation to leaves and aboveground wood (branches + bole) could be estimated from the sums of tissue C mass, net aboveground C flux and tissue turnover for each day of the experiment such that:</w:t>
      </w:r>
    </w:p>
    <w:p>
      <w:r>
        <w:br w:type="textWrapping"/>
      </w:r>
      <w:r>
        <w:t xml:space="preserve">(5)</w:t>
      </w:r>
    </w:p>
    <w:p>
      <m:oMathPara>
        <m:oMathParaPr>
          <m:jc m:val="center"/>
        </m:oMathParaPr>
        <m:oMath>
          <m:sSub>
            <m:e>
              <m:r>
                <m:rPr>
                  <m:sty m:val="p"/>
                </m:rPr>
                <m:t>M</m:t>
              </m:r>
            </m:e>
            <m:sub>
              <m:r>
                <m:rPr>
                  <m:sty m:val="p"/>
                </m:rPr>
                <m:t>c</m:t>
              </m:r>
              <m:r>
                <m:rPr>
                  <m:sty m:val="p"/>
                </m:rPr>
                <m:t>,</m:t>
              </m:r>
              <m:r>
                <m:rPr>
                  <m:sty m:val="p"/>
                </m:rPr>
                <m:t>T</m:t>
              </m:r>
            </m:sub>
          </m:sSub>
          <m:r>
            <m:rPr>
              <m:sty m:val="p"/>
            </m:rPr>
            <m:t>=</m:t>
          </m:r>
          <m:r>
            <m:rPr>
              <m:sty m:val="p"/>
            </m:rPr>
            <m:t>∫</m:t>
          </m:r>
          <m:sSub>
            <m:e>
              <m:r>
                <m:rPr>
                  <m:sty m:val="p"/>
                </m:rPr>
                <m:t>a</m:t>
              </m:r>
            </m:e>
            <m:sub>
              <m:r>
                <m:rPr>
                  <m:sty m:val="p"/>
                </m:rPr>
                <m:t>c</m:t>
              </m:r>
            </m:sub>
          </m:sSub>
          <m:sSub>
            <m:e>
              <m:r>
                <m:rPr>
                  <m:sty m:val="p"/>
                </m:rPr>
                <m:t>F</m:t>
              </m:r>
            </m:e>
            <m:sub>
              <m:r>
                <m:rPr>
                  <m:sty m:val="p"/>
                </m:rPr>
                <m:t>c</m:t>
              </m:r>
              <m:r>
                <m:rPr>
                  <m:sty m:val="p"/>
                </m:rPr>
                <m:t>,</m:t>
              </m:r>
              <m:r>
                <m:rPr>
                  <m:sty m:val="p"/>
                </m:rPr>
                <m:t>d</m:t>
              </m:r>
            </m:sub>
          </m:sSub>
          <m:r>
            <m:rPr>
              <m:sty m:val="p"/>
            </m:rPr>
            <m:t>d</m:t>
          </m:r>
          <m:r>
            <m:rPr>
              <m:sty m:val="p"/>
            </m:rPr>
            <m:t>t</m:t>
          </m:r>
          <m:r>
            <m:rPr>
              <m:sty m:val="p"/>
            </m:rPr>
            <m:t>−</m:t>
          </m:r>
          <m:r>
            <m:rPr>
              <m:sty m:val="p"/>
            </m:rPr>
            <m:t>∫</m:t>
          </m:r>
          <m:r>
            <m:rPr>
              <m:sty m:val="p"/>
            </m:rPr>
            <m:t>λ</m:t>
          </m:r>
          <m:sSub>
            <m:e>
              <m:r>
                <m:rPr>
                  <m:sty m:val="p"/>
                </m:rPr>
                <m:t>M</m:t>
              </m:r>
            </m:e>
            <m:sub>
              <m:r>
                <m:rPr>
                  <m:sty m:val="p"/>
                </m:rPr>
                <m:t>c</m:t>
              </m:r>
            </m:sub>
          </m:sSub>
          <m:r>
            <m:rPr>
              <m:sty m:val="p"/>
            </m:rPr>
            <m:t>d</m:t>
          </m:r>
          <m:r>
            <m:rPr>
              <m:sty m:val="p"/>
            </m:rPr>
            <m:t>t</m:t>
          </m:r>
        </m:oMath>
      </m:oMathPara>
    </w:p>
    <w:p>
      <w:r>
        <w:t xml:space="preserve">where</w:t>
      </w:r>
      <w:r>
        <w:t xml:space="preserve"> </w:t>
      </w:r>
      <m:oMath>
        <m:sSub>
          <m:e>
            <m:r>
              <m:rPr>
                <m:sty m:val="p"/>
              </m:rPr>
              <m:t>M</m:t>
            </m:r>
          </m:e>
          <m:sub>
            <m:r>
              <m:rPr>
                <m:sty m:val="p"/>
              </m:rPr>
              <m:t>c</m:t>
            </m:r>
            <m:r>
              <m:rPr>
                <m:sty m:val="p"/>
              </m:rPr>
              <m:t>,</m:t>
            </m:r>
            <m:r>
              <m:rPr>
                <m:sty m:val="p"/>
              </m:rPr>
              <m:t>T</m:t>
            </m:r>
          </m:sub>
        </m:sSub>
      </m:oMath>
      <w:r>
        <w:t xml:space="preserve"> </w:t>
      </w:r>
      <w:r>
        <w:t xml:space="preserve">is the total dry C mass of either component (estimated at the end of the experiment) and</w:t>
      </w:r>
      <w:r>
        <w:t xml:space="preserve"> </w:t>
      </w:r>
      <m:oMath>
        <m:sSub>
          <m:e>
            <m:r>
              <m:rPr>
                <m:sty m:val="p"/>
              </m:rPr>
              <m:t>F</m:t>
            </m:r>
          </m:e>
          <m:sub>
            <m:r>
              <m:rPr>
                <m:sty m:val="p"/>
              </m:rPr>
              <m:t>c</m:t>
            </m:r>
            <m:r>
              <m:rPr>
                <m:sty m:val="p"/>
              </m:rPr>
              <m:t>,</m:t>
            </m:r>
            <m:r>
              <m:rPr>
                <m:sty m:val="p"/>
              </m:rPr>
              <m:t>d</m:t>
            </m:r>
          </m:sub>
        </m:sSub>
      </m:oMath>
      <w:r>
        <w:t xml:space="preserve"> </w:t>
      </w:r>
      <w:r>
        <w:t xml:space="preserve">is the daily net aboveground C flux (g C d</w:t>
      </w:r>
      <w:r>
        <w:rPr>
          <w:vertAlign w:val="superscript"/>
        </w:rPr>
        <w:t xml:space="preserve">-1</w:t>
      </w:r>
      <w:r>
        <w:t xml:space="preserve">). From equation 5, we estimated allocation by rearranging (as all other components were measured).For example, C allocation to leaves (</w:t>
      </w:r>
      <m:oMath>
        <m:sSub>
          <m:e>
            <m:r>
              <m:rPr>
                <m:sty m:val="p"/>
              </m:rPr>
              <m:t>a</m:t>
            </m:r>
          </m:e>
          <m:sub>
            <m:r>
              <m:rPr>
                <m:sty m:val="p"/>
              </m:rPr>
              <m:t>l</m:t>
            </m:r>
          </m:sub>
        </m:sSub>
      </m:oMath>
      <w:r>
        <w:t xml:space="preserve">) was determined by combining measurements of harvested dry C mass of leaves (</w:t>
      </w:r>
      <m:oMath>
        <m:sSub>
          <m:e>
            <m:r>
              <m:rPr>
                <m:sty m:val="p"/>
              </m:rPr>
              <m:t>M</m:t>
            </m:r>
          </m:e>
          <m:sub>
            <m:r>
              <m:rPr>
                <m:sty m:val="p"/>
              </m:rPr>
              <m:t>l</m:t>
            </m:r>
            <m:r>
              <m:rPr>
                <m:sty m:val="p"/>
              </m:rPr>
              <m:t>,</m:t>
            </m:r>
            <m:r>
              <m:rPr>
                <m:sty m:val="p"/>
              </m:rPr>
              <m:t>T</m:t>
            </m:r>
          </m:sub>
        </m:sSub>
      </m:oMath>
      <w:r>
        <w:t xml:space="preserve">) with</w:t>
      </w:r>
      <w:r>
        <w:t xml:space="preserve"> </w:t>
      </w:r>
      <m:oMath>
        <m:sSub>
          <m:e>
            <m:r>
              <m:rPr>
                <m:sty m:val="p"/>
              </m:rPr>
              <m:t>F</m:t>
            </m:r>
          </m:e>
          <m:sub>
            <m:r>
              <m:rPr>
                <m:sty m:val="p"/>
              </m:rPr>
              <m:t>c</m:t>
            </m:r>
            <m:r>
              <m:rPr>
                <m:sty m:val="p"/>
              </m:rPr>
              <m:t>,</m:t>
            </m:r>
            <m:r>
              <m:rPr>
                <m:sty m:val="p"/>
              </m:rPr>
              <m:t>T</m:t>
            </m:r>
          </m:sub>
        </m:sSub>
      </m:oMath>
      <w:r>
        <w:t xml:space="preserve"> </w:t>
      </w:r>
      <w:r>
        <w:t xml:space="preserve">and total litterfall (</w:t>
      </w:r>
      <m:oMath>
        <m:sSub>
          <m:e>
            <m:r>
              <m:rPr>
                <m:sty m:val="p"/>
              </m:rPr>
              <m:t>L</m:t>
            </m:r>
          </m:e>
          <m:sub>
            <m:r>
              <m:rPr>
                <m:sty m:val="p"/>
              </m:rPr>
              <m:t>l</m:t>
            </m:r>
            <m:r>
              <m:rPr>
                <m:sty m:val="p"/>
              </m:rPr>
              <m:t>,</m:t>
            </m:r>
            <m:r>
              <m:rPr>
                <m:sty m:val="p"/>
              </m:rPr>
              <m:t>T</m:t>
            </m:r>
          </m:sub>
        </m:sSub>
      </m:oMath>
      <w:r>
        <w:t xml:space="preserve">), giving:</w:t>
      </w:r>
    </w:p>
    <w:p>
      <w:r>
        <w:br w:type="textWrapping"/>
      </w:r>
      <w:r>
        <w:t xml:space="preserve">(6)</w:t>
      </w:r>
    </w:p>
    <w:p>
      <m:oMathPara>
        <m:oMathParaPr>
          <m:jc m:val="center"/>
        </m:oMathParaPr>
        <m:oMath>
          <m:sSub>
            <m:e>
              <m:r>
                <m:rPr>
                  <m:sty m:val="p"/>
                </m:rPr>
                <m:t>M</m:t>
              </m:r>
            </m:e>
            <m:sub>
              <m:r>
                <m:rPr>
                  <m:sty m:val="p"/>
                </m:rPr>
                <m:t>l</m:t>
              </m:r>
              <m:r>
                <m:rPr>
                  <m:sty m:val="p"/>
                </m:rPr>
                <m:t>,</m:t>
              </m:r>
              <m:r>
                <m:rPr>
                  <m:sty m:val="p"/>
                </m:rPr>
                <m:t>T</m:t>
              </m:r>
            </m:sub>
          </m:sSub>
          <m:r>
            <m:rPr>
              <m:sty m:val="p"/>
            </m:rPr>
            <m:t>=</m:t>
          </m:r>
          <m:sSub>
            <m:e>
              <m:r>
                <m:rPr>
                  <m:sty m:val="p"/>
                </m:rPr>
                <m:t>a</m:t>
              </m:r>
            </m:e>
            <m:sub>
              <m:r>
                <m:rPr>
                  <m:sty m:val="p"/>
                </m:rPr>
                <m:t>l</m:t>
              </m:r>
            </m:sub>
          </m:sSub>
          <m:sSub>
            <m:e>
              <m:r>
                <m:rPr>
                  <m:sty m:val="p"/>
                </m:rPr>
                <m:t>F</m:t>
              </m:r>
            </m:e>
            <m:sub>
              <m:r>
                <m:rPr>
                  <m:sty m:val="p"/>
                </m:rPr>
                <m:t>c</m:t>
              </m:r>
              <m:r>
                <m:rPr>
                  <m:sty m:val="p"/>
                </m:rPr>
                <m:t>,</m:t>
              </m:r>
              <m:r>
                <m:rPr>
                  <m:sty m:val="p"/>
                </m:rPr>
                <m:t>T</m:t>
              </m:r>
            </m:sub>
          </m:sSub>
          <m:r>
            <m:rPr>
              <m:sty m:val="p"/>
            </m:rPr>
            <m:t>−</m:t>
          </m:r>
          <m:sSub>
            <m:e>
              <m:r>
                <m:rPr>
                  <m:sty m:val="p"/>
                </m:rPr>
                <m:t>L</m:t>
              </m:r>
            </m:e>
            <m:sub>
              <m:r>
                <m:rPr>
                  <m:sty m:val="p"/>
                </m:rPr>
                <m:t>l</m:t>
              </m:r>
              <m:r>
                <m:rPr>
                  <m:sty m:val="p"/>
                </m:rPr>
                <m:t>,</m:t>
              </m:r>
              <m:r>
                <m:rPr>
                  <m:sty m:val="p"/>
                </m:rPr>
                <m:t>t</m:t>
              </m:r>
            </m:sub>
          </m:sSub>
        </m:oMath>
      </m:oMathPara>
    </w:p>
    <w:p>
      <w:r>
        <w:t xml:space="preserve">and then solving for leaf C allocation:</w:t>
      </w:r>
    </w:p>
    <w:p>
      <w:r>
        <w:br w:type="textWrapping"/>
      </w:r>
      <w:r>
        <w:t xml:space="preserve">(7)</w:t>
      </w:r>
    </w:p>
    <w:p>
      <m:oMathPara>
        <m:oMathParaPr>
          <m:jc m:val="center"/>
        </m:oMathParaPr>
        <m:oMath>
          <m:sSub>
            <m:e>
              <m:r>
                <m:rPr>
                  <m:sty m:val="p"/>
                </m:rPr>
                <m:t>a</m:t>
              </m:r>
            </m:e>
            <m:sub>
              <m:r>
                <m:rPr>
                  <m:sty m:val="p"/>
                </m:rPr>
                <m:t>l</m:t>
              </m:r>
            </m:sub>
          </m:sSub>
          <m:r>
            <m:rPr>
              <m:sty m:val="p"/>
            </m:rPr>
            <m:t>=</m:t>
          </m:r>
          <m:r>
            <m:rPr>
              <m:sty m:val="p"/>
            </m:rPr>
            <m:t>(</m:t>
          </m:r>
          <m:sSub>
            <m:e>
              <m:r>
                <m:rPr>
                  <m:sty m:val="p"/>
                </m:rPr>
                <m:t>M</m:t>
              </m:r>
            </m:e>
            <m:sub>
              <m:r>
                <m:rPr>
                  <m:sty m:val="p"/>
                </m:rPr>
                <m:t>l</m:t>
              </m:r>
              <m:r>
                <m:rPr>
                  <m:sty m:val="p"/>
                </m:rPr>
                <m:t>,</m:t>
              </m:r>
              <m:r>
                <m:rPr>
                  <m:sty m:val="p"/>
                </m:rPr>
                <m:t>t</m:t>
              </m:r>
            </m:sub>
          </m:sSub>
          <m:r>
            <m:rPr>
              <m:sty m:val="p"/>
            </m:rPr>
            <m:t>−</m:t>
          </m:r>
          <m:sSub>
            <m:e>
              <m:r>
                <m:rPr>
                  <m:sty m:val="p"/>
                </m:rPr>
                <m:t>L</m:t>
              </m:r>
            </m:e>
            <m:sub>
              <m:r>
                <m:rPr>
                  <m:sty m:val="p"/>
                </m:rPr>
                <m:t>l</m:t>
              </m:r>
              <m:r>
                <m:rPr>
                  <m:sty m:val="p"/>
                </m:rPr>
                <m:t>,</m:t>
              </m:r>
              <m:r>
                <m:rPr>
                  <m:sty m:val="p"/>
                </m:rPr>
                <m:t>t</m:t>
              </m:r>
            </m:sub>
          </m:sSub>
          <m:r>
            <m:rPr>
              <m:sty m:val="p"/>
            </m:rPr>
            <m:t>)</m:t>
          </m:r>
          <m:r>
            <m:rPr>
              <m:sty m:val="p"/>
            </m:rPr>
            <m:t>/</m:t>
          </m:r>
          <m:sSub>
            <m:e>
              <m:r>
                <m:rPr>
                  <m:sty m:val="p"/>
                </m:rPr>
                <m:t>F</m:t>
              </m:r>
            </m:e>
            <m:sub>
              <m:r>
                <m:rPr>
                  <m:sty m:val="p"/>
                </m:rPr>
                <m:t>c</m:t>
              </m:r>
              <m:r>
                <m:rPr>
                  <m:sty m:val="p"/>
                </m:rPr>
                <m:t>,</m:t>
              </m:r>
              <m:r>
                <m:rPr>
                  <m:sty m:val="p"/>
                </m:rPr>
                <m:t>t</m:t>
              </m:r>
            </m:sub>
          </m:sSub>
        </m:oMath>
      </m:oMathPara>
    </w:p>
    <w:p>
      <w:r>
        <w:br w:type="textWrapping"/>
      </w:r>
      <w:r>
        <w:t xml:space="preserve">Allocation to aboveground wood C was estimated in the same manner with turnover measured as total dry C mass of branch litter collected across the experiment. For roots, only total belowground C allocation (TBCA) could be calculated (explained below) since root turnover was not measured.</w:t>
      </w:r>
    </w:p>
    <w:p>
      <w:pPr>
        <w:pStyle w:val="Heading2"/>
      </w:pPr>
      <w:bookmarkStart w:id="35" w:name="total-belowground-carbon-allocation"/>
      <w:bookmarkEnd w:id="35"/>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w:t>
      </w:r>
      <w:r>
        <w:t xml:space="preserve"> </w:t>
      </w:r>
      <w:r>
        <w:rPr>
          <w:i/>
        </w:rPr>
        <w:t xml:space="preserve">t</w:t>
      </w:r>
      <w:r>
        <w:t xml:space="preserve"> </w:t>
      </w:r>
      <w:r>
        <w:t xml:space="preserve">was calculated as:</w:t>
      </w:r>
    </w:p>
    <w:p>
      <w:r>
        <w:br w:type="textWrapping"/>
      </w:r>
      <w:r>
        <w:t xml:space="preserve">(8)</w:t>
      </w:r>
    </w:p>
    <w:p>
      <m:oMathPara>
        <m:oMathParaPr>
          <m:jc m:val="center"/>
        </m:oMathParaPr>
        <m:oMath>
          <m:r>
            <m:rPr>
              <m:sty m:val="p"/>
            </m:rPr>
            <m:t>T</m:t>
          </m:r>
          <m:r>
            <m:rPr>
              <m:sty m:val="p"/>
            </m:rPr>
            <m:t>B</m:t>
          </m:r>
          <m:r>
            <m:rPr>
              <m:sty m:val="p"/>
            </m:rPr>
            <m:t>C</m:t>
          </m:r>
          <m:r>
            <m:rPr>
              <m:sty m:val="p"/>
            </m:rPr>
            <m:t>A</m:t>
          </m:r>
          <m:r>
            <m:rPr>
              <m:sty m:val="p"/>
            </m:rPr>
            <m:t>=</m:t>
          </m:r>
          <m:nary>
            <m:naryPr>
              <m:chr m:val="∫"/>
              <m:limLoc m:val="subSup"/>
              <m:supHide m:val="off"/>
              <m:supHide m:val="off"/>
            </m:naryPr>
            <m:e>
              <m:sSub>
                <m:e>
                  <m:r>
                    <m:rPr>
                      <m:sty m:val="p"/>
                    </m:rPr>
                    <m:t>F</m:t>
                  </m:r>
                </m:e>
                <m:sub>
                  <m:r>
                    <m:rPr>
                      <m:sty m:val="p"/>
                    </m:rPr>
                    <m:t>c</m:t>
                  </m:r>
                  <m:r>
                    <m:rPr>
                      <m:sty m:val="p"/>
                    </m:rPr>
                    <m:t>,</m:t>
                  </m:r>
                  <m:r>
                    <m:rPr>
                      <m:sty m:val="p"/>
                    </m:rPr>
                    <m:t>d</m:t>
                  </m:r>
                </m:sub>
              </m:sSub>
            </m:e>
            <m:sub>
              <m:r>
                <m:rPr>
                  <m:sty m:val="p"/>
                </m:rPr>
                <m:t>0</m:t>
              </m:r>
            </m:sub>
            <m:sup>
              <m:r>
                <m:rPr>
                  <m:sty m:val="p"/>
                </m:rPr>
                <m:t>t</m:t>
              </m:r>
            </m:sup>
          </m:nary>
          <m:r>
            <m:rPr>
              <m:sty m:val="p"/>
            </m:rPr>
            <m:t>d</m:t>
          </m:r>
          <m:r>
            <m:rPr>
              <m:sty m:val="p"/>
            </m:rPr>
            <m:t>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total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soil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w:t>
      </w:r>
      <w:r>
        <w:t xml:space="preserve"> </w:t>
      </w:r>
      <m:oMath>
        <m:sSub>
          <m:e>
            <m:r>
              <m:rPr>
                <m:sty m:val="p"/>
              </m:rPr>
              <m:t>F</m:t>
            </m:r>
          </m:e>
          <m:sub>
            <m:r>
              <m:rPr>
                <m:sty m:val="p"/>
              </m:rPr>
              <m:t>c</m:t>
            </m:r>
            <m:r>
              <m:rPr>
                <m:sty m:val="p"/>
              </m:rPr>
              <m:t>,</m:t>
            </m:r>
            <m:r>
              <m:rPr>
                <m:sty m:val="p"/>
              </m:rPr>
              <m:t>d</m:t>
            </m:r>
          </m:sub>
        </m:sSub>
      </m:oMath>
      <w:r>
        <w:t xml:space="preserve"> </w:t>
      </w:r>
      <w:r>
        <w:t xml:space="preserve">allowed TBCA to be estimated on daily time steps over the final eleven months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6" w:name="mass-balance-relationships-between-textf_cd-and-carbon-allocation."/>
      <w:bookmarkEnd w:id="36"/>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carbon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for each WTC, at any given time point, represented the running total of net C uptake since the chamber floors were installed. Daily allocation of C to boles and branches was estimated by linear interpolation between survey measurements and the final harvest, starting at the first branch survey (April 2008). These daily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was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day when chamber floors were installed was subtracted from all respective daily values so mass balance could be tracked with a 0 starting value. This allowed daily estimates of TBCA to be generated across the final 11 months of the experiment. Additionally, the significant log-linear relationship between above and belowground mass of both harvested trees and potted seedlings (R</w:t>
      </w:r>
      <w:r>
        <w:rPr>
          <w:vertAlign w:val="superscript"/>
        </w:rPr>
        <w:t xml:space="preserve">2</w:t>
      </w:r>
      <w:r>
        <w:t xml:space="preserve"> </w:t>
      </w:r>
      <w:r>
        <w:t xml:space="preserve">= 0.98, Figure S1) was used to predict</w:t>
      </w:r>
      <w:r>
        <w:t xml:space="preserve"> </w:t>
      </w:r>
      <m:oMath>
        <m:sSub>
          <m:e>
            <m:r>
              <m:rPr>
                <m:sty m:val="p"/>
              </m:rPr>
              <m:t>C</m:t>
            </m:r>
          </m:e>
          <m:sub>
            <m:r>
              <m:rPr>
                <m:sty m:val="p"/>
              </m:rPr>
              <m:t>r</m:t>
            </m:r>
            <m:r>
              <m:rPr>
                <m:sty m:val="p"/>
              </m:rPr>
              <m:t>,</m:t>
            </m:r>
            <m:r>
              <m:rPr>
                <m:sty m:val="p"/>
              </m:rPr>
              <m:t>T</m:t>
            </m:r>
          </m:sub>
        </m:sSub>
      </m:oMath>
      <w:r>
        <w:t xml:space="preserve"> </w:t>
      </w:r>
      <w:r>
        <w:t xml:space="preserve">on the last day from</w:t>
      </w:r>
      <w:r>
        <w:t xml:space="preserve"> </w:t>
      </w:r>
      <m:oMath>
        <m:sSub>
          <m:e>
            <m:r>
              <m:rPr>
                <m:sty m:val="p"/>
              </m:rPr>
              <m:t>C</m:t>
            </m:r>
          </m:e>
          <m:sub>
            <m:r>
              <m:rPr>
                <m:sty m:val="p"/>
              </m:rPr>
              <m:t>a</m:t>
            </m:r>
            <m:r>
              <m:rPr>
                <m:sty m:val="p"/>
              </m:rPr>
              <m:t>b</m:t>
            </m:r>
          </m:sub>
        </m:sSub>
      </m:oMath>
      <w:r>
        <w:t xml:space="preserve">.</w:t>
      </w:r>
    </w:p>
    <w:p>
      <w:pPr>
        <w:pStyle w:val="Heading2"/>
      </w:pPr>
      <w:bookmarkStart w:id="37" w:name="data-analysis"/>
      <w:bookmarkEnd w:id="37"/>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using two-way ANOVA in R</w:t>
      </w:r>
      <w:r>
        <w:t xml:space="preserve"> </w:t>
      </w:r>
      <w:r>
        <w:t xml:space="preserve">(</w:t>
      </w:r>
      <w:r>
        <w:t xml:space="preserve">R Development Core Team</w:t>
      </w:r>
      <w:r>
        <w:t xml:space="preserve"> </w:t>
      </w:r>
      <w:r>
        <w:t xml:space="preserve">2011)</w:t>
      </w:r>
      <w:r>
        <w:t xml:space="preserve">. Tukey's post-hoc tests were performed in conjunction with ANOVA to determine which specific paired comparisons among climate change treatments were different. Significance level was set to P = 0.05 and findings with 0.05 &lt; P &lt; 0.10 were considered marginally significant.</w:t>
      </w:r>
    </w:p>
    <w:p>
      <w:pPr>
        <w:pStyle w:val="Heading1"/>
      </w:pPr>
      <w:bookmarkStart w:id="38" w:name="results"/>
      <w:bookmarkEnd w:id="38"/>
      <w:r>
        <w:t xml:space="preserve">Results</w:t>
      </w:r>
    </w:p>
    <w:p>
      <w:pPr>
        <w:pStyle w:val="Heading2"/>
      </w:pPr>
      <w:bookmarkStart w:id="39" w:name="total-aboveground-carbon-flux-whole-tree-c-mass-and-leaf-area"/>
      <w:bookmarkEnd w:id="39"/>
      <w:r>
        <w:t xml:space="preserve">Total aboveground carbon flux, whole tree C mass and leaf area</w:t>
      </w:r>
    </w:p>
    <w:p>
      <w:r>
        <w:t xml:space="preserve">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in eC</w:t>
      </w:r>
      <w:r>
        <w:rPr>
          <w:vertAlign w:val="subscript"/>
        </w:rPr>
        <w:t xml:space="preserve">a</w:t>
      </w:r>
      <w:r>
        <w:t xml:space="preserve"> </w:t>
      </w:r>
      <w:r>
        <w:t xml:space="preserve">treatments by 32 % (both P &lt; 0.03). From April 2008 to March 2009,</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in eC</w:t>
      </w:r>
      <w:r>
        <w:rPr>
          <w:vertAlign w:val="subscript"/>
        </w:rPr>
        <w:t xml:space="preserve">a</w:t>
      </w:r>
      <w:r>
        <w:t xml:space="preserve"> </w:t>
      </w:r>
      <w:r>
        <w:t xml:space="preserve">treatments (P = 0.043), while no effects of the drought treatment were detected (Table 1).</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estimates of both whole tree C (R</w:t>
      </w:r>
      <w:r>
        <w:rPr>
          <w:vertAlign w:val="superscript"/>
        </w:rPr>
        <w:t xml:space="preserve">2</w:t>
      </w:r>
      <w:r>
        <w:t xml:space="preserve"> </w:t>
      </w:r>
      <w:r>
        <w:t xml:space="preserve">= 0.74,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1b) over the same time period. Whole tree C mass estimated over the final eleven months of the experiment represented ca. 75 % of total harvested tree C mass. As the majority of biomass production occurred during this period, these allometric estimates of whole tree C were used for comparison to</w:t>
      </w:r>
      <w:r>
        <w:t xml:space="preserve"> </w:t>
      </w:r>
      <m:oMath>
        <m:sSub>
          <m:e>
            <m:r>
              <m:rPr>
                <m:sty m:val="p"/>
              </m:rPr>
              <m:t>F</m:t>
            </m:r>
          </m:e>
          <m:sub>
            <m:r>
              <m:rPr>
                <m:sty m:val="p"/>
              </m:rPr>
              <m:t>c</m:t>
            </m:r>
            <m:r>
              <m:rPr>
                <m:sty m:val="p"/>
              </m:rPr>
              <m:t>,</m:t>
            </m:r>
            <m:r>
              <m:rPr>
                <m:sty m:val="p"/>
              </m:rPr>
              <m:t>T</m:t>
            </m:r>
          </m:sub>
        </m:sSub>
      </m:oMath>
    </w:p>
    <w:p>
      <w:r>
        <w:br w:type="textWrapping"/>
      </w:r>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leaf area (P &lt; 0.001, Figure 3). Intercepts and slopes between separate linear regressions of</w:t>
      </w:r>
      <w:r>
        <w:t xml:space="preserve"> </w:t>
      </w:r>
      <m:oMath>
        <m:sSub>
          <m:e>
            <m:r>
              <m:rPr>
                <m:sty m:val="p"/>
              </m:rPr>
              <m:t>F</m:t>
            </m:r>
          </m:e>
          <m:sub>
            <m:r>
              <m:rPr>
                <m:sty m:val="p"/>
              </m:rPr>
              <m:t>c</m:t>
            </m:r>
            <m:r>
              <m:rPr>
                <m:sty m:val="p"/>
              </m:rPr>
              <m:t>,</m:t>
            </m:r>
            <m:r>
              <m:rPr>
                <m:sty m:val="p"/>
              </m:rPr>
              <m:t>T</m:t>
            </m:r>
          </m:sub>
        </m:sSub>
      </m:oMath>
      <w:r>
        <w:t xml:space="preserve"> </w:t>
      </w:r>
      <w:r>
        <w:t xml:space="preserve">and mean leaf area for aC~a and eC</w:t>
      </w:r>
      <w:r>
        <w:rPr>
          <w:vertAlign w:val="subscript"/>
        </w:rPr>
        <w:t xml:space="preserve">a</w:t>
      </w:r>
      <w:r>
        <w:t xml:space="preserve"> </w:t>
      </w:r>
      <w:r>
        <w:t xml:space="preserve">treatments were not different, suggesting that the reductions in</w:t>
      </w:r>
      <w:r>
        <w:t xml:space="preserve"> </w:t>
      </w:r>
      <m:oMath>
        <m:sSub>
          <m:e>
            <m:r>
              <m:rPr>
                <m:sty m:val="p"/>
              </m:rPr>
              <m:t>F</m:t>
            </m:r>
          </m:e>
          <m:sub>
            <m:r>
              <m:rPr>
                <m:sty m:val="p"/>
              </m:rPr>
              <m:t>c</m:t>
            </m:r>
            <m:r>
              <m:rPr>
                <m:sty m:val="p"/>
              </m:rPr>
              <m:t>,</m:t>
            </m:r>
            <m:r>
              <m:rPr>
                <m:sty m:val="p"/>
              </m:rPr>
              <m:t>T</m:t>
            </m:r>
          </m:sub>
        </m:sSub>
      </m:oMath>
      <w:r>
        <w:t xml:space="preserve"> </w:t>
      </w:r>
      <w:r>
        <w:t xml:space="preserve">in eC</w:t>
      </w:r>
      <w:r>
        <w:rPr>
          <w:vertAlign w:val="subscript"/>
        </w:rPr>
        <w:t xml:space="preserve">a</w:t>
      </w:r>
      <w:r>
        <w:t xml:space="preserve"> </w:t>
      </w:r>
      <w:r>
        <w:t xml:space="preserve">treatments were simply a consequence of lower mean leaf area.</w:t>
      </w:r>
    </w:p>
    <w:p>
      <w:pPr>
        <w:pStyle w:val="Heading2"/>
      </w:pPr>
      <w:bookmarkStart w:id="40" w:name="harvested-tissue-carbon-mass-and-biomass-partitioning"/>
      <w:bookmarkEnd w:id="40"/>
      <w:r>
        <w:t xml:space="preserve">Harvested tissue carbon mass and biomass partitioning</w:t>
      </w:r>
    </w:p>
    <w:p>
      <w:r>
        <w:t xml:space="preserve">At the end of this two year experiment, harvested C mass of tissue components was affected in eC</w:t>
      </w:r>
      <w:r>
        <w:rPr>
          <w:vertAlign w:val="subscript"/>
        </w:rPr>
        <w:t xml:space="preserve">a</w:t>
      </w:r>
      <w:r>
        <w:t xml:space="preserve"> </w:t>
      </w:r>
      <w:r>
        <w:t xml:space="preserve">but not drought treatments (Table 1). Aboveground wood C mass was reduced by 37 % in eC</w:t>
      </w:r>
      <w:r>
        <w:rPr>
          <w:vertAlign w:val="subscript"/>
        </w:rPr>
        <w:t xml:space="preserve">a</w:t>
      </w:r>
      <w:r>
        <w:t xml:space="preserve"> </w:t>
      </w:r>
      <w:r>
        <w:t xml:space="preserve">treatments (P = 0.0151), driven mostly by eC</w:t>
      </w:r>
      <w:r>
        <w:rPr>
          <w:vertAlign w:val="subscript"/>
        </w:rPr>
        <w:t xml:space="preserve">a</w:t>
      </w:r>
      <w:r>
        <w:t xml:space="preserve"> </w:t>
      </w:r>
      <w:r>
        <w:t xml:space="preserve">effects on boles. Neither standing crop leaf C mass or total litterfall C mass over the study period differed between C</w:t>
      </w:r>
      <w:r>
        <w:rPr>
          <w:vertAlign w:val="subscript"/>
        </w:rPr>
        <w:t xml:space="preserve">a</w:t>
      </w:r>
      <w:r>
        <w:t xml:space="preserve"> </w:t>
      </w:r>
      <w:r>
        <w:t xml:space="preserve">treatments. Total root C mass was marginally reduced in eC</w:t>
      </w:r>
      <w:r>
        <w:rPr>
          <w:vertAlign w:val="subscript"/>
        </w:rPr>
        <w:t xml:space="preserve">a</w:t>
      </w:r>
      <w:r>
        <w:t xml:space="preserve"> </w:t>
      </w:r>
      <w:r>
        <w:t xml:space="preserve">treatments (P = 0.091).</w:t>
      </w:r>
    </w:p>
    <w:p>
      <w:r>
        <w:br w:type="textWrapping"/>
      </w:r>
      <w:r>
        <w:t xml:space="preserve">Leaf mass fraction (LMF) increased by 15.0 % in eC</w:t>
      </w:r>
      <w:r>
        <w:rPr>
          <w:vertAlign w:val="subscript"/>
        </w:rPr>
        <w:t xml:space="preserve">a</w:t>
      </w:r>
      <w:r>
        <w:t xml:space="preserve"> </w:t>
      </w:r>
      <w:r>
        <w:t xml:space="preserve">treatments (P = 0.011) but was not affected by the drought treatment. Leaf mass fraction was negatively correlated with whole tree C mass (P= 0.007, Figure 4a). Stem mass fraction (SMF) was marginally reduced by 5.8 % under eC</w:t>
      </w:r>
      <w:r>
        <w:rPr>
          <w:vertAlign w:val="subscript"/>
        </w:rPr>
        <w:t xml:space="preserve">a</w:t>
      </w:r>
      <w:r>
        <w:t xml:space="preserve"> </w:t>
      </w:r>
      <w:r>
        <w:t xml:space="preserve">(P = 0.083), with no effect of the drought treatment detected. Stem mass fraction had a weak positive correlation with whole tree C mass (P = 0.09, Figure 4c). Root mass fraction (RMF) was not affected by either treatment and was not correlated to whole tree C mass (Figure 4e).</w:t>
      </w:r>
    </w:p>
    <w:p>
      <w:pPr>
        <w:pStyle w:val="Heading2"/>
      </w:pPr>
      <w:bookmarkStart w:id="41" w:name="aboveground-carbon-allocation"/>
      <w:bookmarkEnd w:id="41"/>
      <w:r>
        <w:t xml:space="preserve">Aboveground carbon allocation</w:t>
      </w:r>
    </w:p>
    <w:p>
      <w:r>
        <w:t xml:space="preserve">Treatment effects on tissue C allocation were determined from C mass estimates obtained from allometry over the final eleven months of the experiment and</w:t>
      </w:r>
      <w:r>
        <w:t xml:space="preserve"> </w:t>
      </w:r>
      <m:oMath>
        <m:sSub>
          <m:e>
            <m:r>
              <m:rPr>
                <m:sty m:val="p"/>
              </m:rPr>
              <m:t>F</m:t>
            </m:r>
          </m:e>
          <m:sub>
            <m:r>
              <m:rPr>
                <m:sty m:val="p"/>
              </m:rPr>
              <m:t>c</m:t>
            </m:r>
            <m:r>
              <m:rPr>
                <m:sty m:val="p"/>
              </m:rPr>
              <m:t>,</m:t>
            </m:r>
            <m:r>
              <m:rPr>
                <m:sty m:val="p"/>
              </m:rPr>
              <m:t>T</m:t>
            </m:r>
          </m:sub>
        </m:sSub>
      </m:oMath>
      <w:r>
        <w:t xml:space="preserve"> </w:t>
      </w:r>
      <w:r>
        <w:t xml:space="preserve">over the same time period. Total C allocation to leaves increased by 28% in eC</w:t>
      </w:r>
      <w:r>
        <w:rPr>
          <w:vertAlign w:val="subscript"/>
        </w:rPr>
        <w:t xml:space="preserve">a</w:t>
      </w:r>
      <w:r>
        <w:t xml:space="preserve"> </w:t>
      </w:r>
      <w:r>
        <w:t xml:space="preserve">treatments (P = 0.052), with no effect of the drought treatment detected. Leaf C allocation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(P = 0.031, Figure 4b). Alternatively, C allocation to aboveground wood was not affected by either treatment and was not correlated to whole tree C (Figure 4d).</w:t>
      </w:r>
    </w:p>
    <w:p>
      <w:pPr>
        <w:pStyle w:val="Heading2"/>
      </w:pPr>
      <w:bookmarkStart w:id="42" w:name="belowground-carbon-allocation"/>
      <w:bookmarkEnd w:id="42"/>
      <w:r>
        <w:t xml:space="preserve">Belowground carbon allocation</w:t>
      </w:r>
    </w:p>
    <w:p>
      <w:r>
        <w:t xml:space="preserve">Across all treatment combinations, the total C mass of boles, branches, leaves and roots was on average 61.0±0.02 % of</w:t>
      </w:r>
      <w:r>
        <w:t xml:space="preserve"> </w:t>
      </w:r>
      <m:oMath>
        <m:sSub>
          <m:e>
            <m:r>
              <m:rPr>
                <m:sty m:val="p"/>
              </m:rPr>
              <m:t>F</m:t>
            </m:r>
          </m:e>
          <m:sub>
            <m:r>
              <m:rPr>
                <m:sty m:val="p"/>
              </m:rPr>
              <m:t>c</m:t>
            </m:r>
            <m:r>
              <m:rPr>
                <m:sty m:val="p"/>
              </m:rPr>
              <m:t>,</m:t>
            </m:r>
            <m:r>
              <m:rPr>
                <m:sty m:val="p"/>
              </m:rPr>
              <m:t>T</m:t>
            </m:r>
          </m:sub>
        </m:sSub>
      </m:oMath>
      <w:r>
        <w:t xml:space="preserve"> </w:t>
      </w:r>
      <w:r>
        <w:t xml:space="preserve">(Figure 5). As mass balance must be achieved, TBCA and</w:t>
      </w:r>
      <w:r>
        <w:t xml:space="preserve"> </w:t>
      </w:r>
      <m:oMath>
        <m:sSub>
          <m:e>
            <m:r>
              <m:rPr>
                <m:sty m:val="p"/>
              </m:rPr>
              <m:t>F</m:t>
            </m:r>
          </m:e>
          <m:sub>
            <m:r>
              <m:rPr>
                <m:sty m:val="p"/>
              </m:rPr>
              <m:t>c</m:t>
            </m:r>
            <m:r>
              <m:rPr>
                <m:sty m:val="p"/>
              </m:rPr>
              <m:t>,</m:t>
            </m:r>
            <m:r>
              <m:rPr>
                <m:sty m:val="p"/>
              </m:rPr>
              <m:t>r</m:t>
            </m:r>
          </m:sub>
        </m:sSub>
      </m:oMath>
      <w:r>
        <w:t xml:space="preserve"> </w:t>
      </w:r>
      <w:r>
        <w:t xml:space="preserve">were estimated from Figure 5 as residuals between</w:t>
      </w:r>
      <w:r>
        <w:t xml:space="preserve"> </w:t>
      </w:r>
      <m:oMath>
        <m:sSub>
          <m:e>
            <m:r>
              <m:rPr>
                <m:sty m:val="p"/>
              </m:rPr>
              <m:t>F</m:t>
            </m:r>
          </m:e>
          <m:sub>
            <m:r>
              <m:rPr>
                <m:sty m:val="p"/>
              </m:rPr>
              <m:t>c</m:t>
            </m:r>
            <m:r>
              <m:rPr>
                <m:sty m:val="p"/>
              </m:rPr>
              <m:t>,</m:t>
            </m:r>
            <m:r>
              <m:rPr>
                <m:sty m:val="p"/>
              </m:rPr>
              <m:t>T</m:t>
            </m:r>
          </m:sub>
        </m:sSub>
      </m:oMath>
      <w:r>
        <w:t xml:space="preserve"> </w:t>
      </w:r>
      <w:r>
        <w:t xml:space="preserve">and whole tree mass excluding and including roots, respectively. Total belowground C allocation was on average 49.9±0.02 of</w:t>
      </w:r>
      <w:r>
        <w:t xml:space="preserve"> </w:t>
      </w:r>
      <m:oMath>
        <m:sSub>
          <m:e>
            <m:r>
              <m:rPr>
                <m:sty m:val="p"/>
              </m:rPr>
              <m:t>F</m:t>
            </m:r>
          </m:e>
          <m:sub>
            <m:r>
              <m:rPr>
                <m:sty m:val="p"/>
              </m:rPr>
              <m:t>c</m:t>
            </m:r>
            <m:r>
              <m:rPr>
                <m:sty m:val="p"/>
              </m:rPr>
              <m:t>,</m:t>
            </m:r>
            <m:r>
              <m:rPr>
                <m:sty m:val="p"/>
              </m:rPr>
              <m:t>T</m:t>
            </m:r>
          </m:sub>
        </m:sSub>
      </m:oMath>
      <w:r>
        <w:t xml:space="preserve"> </w:t>
      </w:r>
      <w:r>
        <w:t xml:space="preserve">and ranged from 46.1 to 54.9 % across treatment combinations. Across a large range in tree size, similar patterns were detected in each individual WTC (Figure S2). Neither cumulative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TBCA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stable through time and between treatments (Figure 7).</w:t>
      </w:r>
    </w:p>
    <w:p>
      <w:pPr>
        <w:pStyle w:val="Heading1"/>
      </w:pPr>
      <w:bookmarkStart w:id="43" w:name="discussion"/>
      <w:bookmarkEnd w:id="43"/>
      <w:r>
        <w:t xml:space="preserve">Discussion</w:t>
      </w:r>
    </w:p>
    <w:p>
      <w:r>
        <w:t xml:space="preserve">A whole-tree chamber experiment provided a unique opportunity to study the C balance of</w:t>
      </w:r>
      <w:r>
        <w:t xml:space="preserve"> </w:t>
      </w:r>
      <w:r>
        <w:rPr>
          <w:i/>
        </w:rPr>
        <w:t xml:space="preserve">Eucalyptus</w:t>
      </w:r>
      <w:r>
        <w:t xml:space="preserve"> </w:t>
      </w:r>
      <w:r>
        <w:t xml:space="preserve">trees. We found that biomass partitioning and C allocation of component tissues were differentially affected by eC</w:t>
      </w:r>
      <w:r>
        <w:rPr>
          <w:vertAlign w:val="subscript"/>
        </w:rPr>
        <w:t xml:space="preserve">a</w:t>
      </w:r>
      <w:r>
        <w:t xml:space="preserve">. Minimal effects of a four month drought were detected on total tree C flux, biomass partitioning and tissue C allocation, despite previous findings of negative effects of drought on leaf and canopy physiology</w:t>
      </w:r>
      <w:r>
        <w:t xml:space="preserve"> </w:t>
      </w:r>
      <w:r>
        <w:t xml:space="preserve">(see Duursma et al. 2011, Crous et al. 2012)</w:t>
      </w:r>
      <w:r>
        <w:t xml:space="preserve">. Using a novel methodological framework, we show that TBCA may be less sensitive to climate change factors than previously assumed. As reliable estimates of TBCA are notoriously hard to obtain, we provide essential empirical data that can be directly applied to models where C allocation is represented.</w:t>
      </w:r>
    </w:p>
    <w:p>
      <w:pPr>
        <w:pStyle w:val="Heading2"/>
      </w:pPr>
      <w:bookmarkStart w:id="44" w:name="relationships-between-tree-c-flux-leaf-area-and-tree-c-mass"/>
      <w:bookmarkEnd w:id="44"/>
      <w:r>
        <w:t xml:space="preserve">Relationships between tree C flux, leaf area and tree C mass</w:t>
      </w:r>
    </w:p>
    <w:p>
      <w:r>
        <w:t xml:space="preserve">As expected, tree C uptake and growth were coordinated across this two year experiment. Cumulative aboveground net C flux was positively correlated to both canopy leaf area and total biomass produced. The net C uptake of plants should be a function of the canopy leaf area because leaf area index determines canopy light interception</w:t>
      </w:r>
      <w:r>
        <w:t xml:space="preserve"> </w:t>
      </w:r>
      <w:r>
        <w:t xml:space="preserve">(Wilson 1965, Monsi and Saeki 2005)</w:t>
      </w:r>
      <w:r>
        <w:t xml:space="preserve"> </w:t>
      </w:r>
      <w:r>
        <w:t xml:space="preserve">and is correlated to canopy assimilation and tree productivity</w:t>
      </w:r>
      <w:r>
        <w:t xml:space="preserve"> </w:t>
      </w:r>
      <w:r>
        <w:t xml:space="preserve">(Waring 1983, McCarthy et al. 2006, Lindroth et al. 2008)</w:t>
      </w:r>
      <w:r>
        <w:t xml:space="preserve">. Determining tree canopy C flux, however, is usually inhibited by simple upscaling of single leaf measurements</w:t>
      </w:r>
      <w:r>
        <w:t xml:space="preserve"> </w:t>
      </w:r>
      <w:r>
        <w:t xml:space="preserve">(Amthor 1994)</w:t>
      </w:r>
      <w:r>
        <w:t xml:space="preserve">, oversimplification of big leaf models</w:t>
      </w:r>
      <w:r>
        <w:t xml:space="preserve"> </w:t>
      </w:r>
      <w:r>
        <w:t xml:space="preserve">(</w:t>
      </w:r>
      <w:r>
        <w:t xml:space="preserve">De Pury</w:t>
      </w:r>
      <w:r>
        <w:t xml:space="preserve"> </w:t>
      </w:r>
      <w:r>
        <w:t xml:space="preserve">and Farquhar 1997)</w:t>
      </w:r>
      <w:r>
        <w:t xml:space="preserve"> </w:t>
      </w:r>
      <w:r>
        <w:t xml:space="preserve">or parameterization of more complex models with assumptions of canopy behavior</w:t>
      </w:r>
      <w:r>
        <w:t xml:space="preserve"> </w:t>
      </w:r>
      <w:r>
        <w:t xml:space="preserve">(Leuning et al. 1995)</w:t>
      </w:r>
      <w:r>
        <w:t xml:space="preserve">. A novel aspect of this study was the ability to measure whole tree C fluxes directly and compare these fluxes to observed patterns in leaf area and growth. We found that leaf area was consistently reduced in eC</w:t>
      </w:r>
      <w:r>
        <w:rPr>
          <w:vertAlign w:val="subscript"/>
        </w:rPr>
        <w:t xml:space="preserve">a</w:t>
      </w:r>
      <w:r>
        <w:t xml:space="preserve"> </w:t>
      </w:r>
      <w:r>
        <w:t xml:space="preserve">treatments, likely leading to reductions in both tree C flux and whole tree C mass of near identical magnitudes (ca. 30 %).</w:t>
      </w:r>
    </w:p>
    <w:p>
      <w:r>
        <w:br w:type="textWrapping"/>
      </w:r>
      <w:r>
        <w:t xml:space="preserve">As empirical measurements of whole tree C flux are rare, relationships with biomass or C allocation patterns are difficult to infer. Estimation of NPP is inextricably linked with estimation of the biomass production and turnover (Valentine 1999), yet biomass and C fluxes have been found to be poorly related in forest ecosystems due to difficulty in accounting for C retention of different tissues</w:t>
      </w:r>
      <w:r>
        <w:t xml:space="preserve"> </w:t>
      </w:r>
      <w:r>
        <w:t xml:space="preserve">(Litton et al. 2007)</w:t>
      </w:r>
      <w:r>
        <w:t xml:space="preserve">. This partial accounting of C likely inhibits the ability of many studies to precisely test the coordination between canopy photosynthesis and growth. The advantage of the WTC approach is the ability to compare cumulative whole tree C fluxes to absolute biomass production over long time periods. Here, we show empirically measured whole tree C flux was strongly correlated to tree biomass production across a 2.5 fold size range in</w:t>
      </w:r>
      <w:r>
        <w:t xml:space="preserve"> </w:t>
      </w:r>
      <w:r>
        <w:rPr>
          <w:i/>
        </w:rPr>
        <w:t xml:space="preserve">Eucalyptus</w:t>
      </w:r>
      <w:r>
        <w:t xml:space="preserve"> </w:t>
      </w:r>
      <w:r>
        <w:t xml:space="preserve">trees.</w:t>
      </w:r>
    </w:p>
    <w:p>
      <w:pPr>
        <w:pStyle w:val="Heading2"/>
      </w:pPr>
      <w:bookmarkStart w:id="45" w:name="responses-of-biomass-partitioning-and-c-allocation-to-climate-change"/>
      <w:bookmarkEnd w:id="45"/>
      <w:r>
        <w:t xml:space="preserve">Responses of biomass partitioning and C allocation to climate change</w:t>
      </w:r>
    </w:p>
    <w:p>
      <w:r>
        <w:t xml:space="preserve">We first used final harvest biomass to determine patterns of biomass partitioning to leaves, stems and roots. We then combined cumulative tree C fluxes with tissue biomass production and turnover to measure C allocation to stems, leaves and total belowground pools, via mass balance. This approach allowed us to evaluate the impacts of climate change treatments on two fundamentally different processes affecting overall tree growth. This is because there are many possible fates for C assimilates beyond just the production of plant biomass</w:t>
      </w:r>
      <w:r>
        <w:t xml:space="preserve"> </w:t>
      </w:r>
      <w:r>
        <w:t xml:space="preserve">(K</w:t>
      </w:r>
      <w:r>
        <w:t xml:space="preserve">ö</w:t>
      </w:r>
      <w:r>
        <w:t xml:space="preserve">rner et al. 2005)</w:t>
      </w:r>
      <w:r>
        <w:t xml:space="preserve">. Changes in C allocation encompass effects of tissue turnover, the storage and use of carbohydrates and root exudation to stimulate microbial activity, with each representing significant tree or ecosystem responses to environmental change. Thus, patterns in biomass partitioning and C allocation may not be consistent with respect to the tissue in question, which contributes to the current uncertainty in modelling tree growth responses to interacting climate change factors.</w:t>
      </w:r>
    </w:p>
    <w:p>
      <w:r>
        <w:br w:type="textWrapping"/>
      </w:r>
      <w:r>
        <w:t xml:space="preserve">We found that stem mass fractions (SMF) increased with total plant size and was marginally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w:t>
      </w:r>
      <w:r>
        <w:t xml:space="preserve">ö</w:t>
      </w:r>
      <w:r>
        <w:t xml:space="preserve">rner et al. 2005)</w:t>
      </w:r>
      <w:r>
        <w:t xml:space="preserve"> </w:t>
      </w:r>
      <w:r>
        <w:t xml:space="preserve">and a positive enhancement in a loblolly pine forest at duke FACE</w:t>
      </w:r>
      <w:r>
        <w:t xml:space="preserve"> </w:t>
      </w:r>
      <w:r>
        <w:t xml:space="preserve">(DeLucia et al. 2005)</w:t>
      </w:r>
      <w:r>
        <w:t xml:space="preserve">. As a result, it is possible that observed patterns in SMF were related to allometric trajectories as a function of plant size</w:t>
      </w:r>
      <w:r>
        <w:t xml:space="preserve"> </w:t>
      </w:r>
      <w:r>
        <w:t xml:space="preserve">(Tjoelker et al. 1998, M</w:t>
      </w:r>
      <w:r>
        <w:t xml:space="preserve">ü</w:t>
      </w:r>
      <w:r>
        <w:t xml:space="preserve">ller et al. 2000)</w:t>
      </w:r>
      <w:r>
        <w:t xml:space="preserve"> </w:t>
      </w:r>
      <w:r>
        <w:t xml:space="preserve">more than direct effects of eC</w:t>
      </w:r>
      <w:r>
        <w:rPr>
          <w:vertAlign w:val="subscript"/>
        </w:rPr>
        <w:t xml:space="preserve">a</w:t>
      </w:r>
      <w:r>
        <w:t xml:space="preserve"> </w:t>
      </w:r>
      <w:r>
        <w:t xml:space="preserve">on stem biomass production. We found that C allocation to stems was unaffected in eC</w:t>
      </w:r>
      <w:r>
        <w:rPr>
          <w:vertAlign w:val="subscript"/>
        </w:rPr>
        <w:t xml:space="preserve">a</w:t>
      </w:r>
      <w:r>
        <w:t xml:space="preserve"> </w:t>
      </w:r>
      <w:r>
        <w:t xml:space="preserve">treatments inferring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treatments negatively affected other tree or ecosystem processes, unrelated to stem production, which first decreased overall tree size.</w:t>
      </w:r>
    </w:p>
    <w:p>
      <w:r>
        <w:br w:type="textWrapping"/>
      </w:r>
      <w:r>
        <w:t xml:space="preserve">Contrary to expectation, we found that both LMF and C allocation to leaves increased in eC</w:t>
      </w:r>
      <w:r>
        <w:rPr>
          <w:vertAlign w:val="subscript"/>
        </w:rPr>
        <w:t xml:space="preserve">a</w:t>
      </w:r>
      <w:r>
        <w:t xml:space="preserve"> </w:t>
      </w:r>
      <w:r>
        <w:t xml:space="preserve">treatments.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Leaf respiration during the day was increased under eC</w:t>
      </w:r>
      <w:r>
        <w:rPr>
          <w:vertAlign w:val="subscript"/>
        </w:rPr>
        <w:t xml:space="preserve">a</w:t>
      </w:r>
      <w:r>
        <w:t xml:space="preserve"> </w:t>
      </w:r>
      <w:r>
        <w:t xml:space="preserve">in this study</w:t>
      </w:r>
      <w:r>
        <w:t xml:space="preserve"> </w:t>
      </w:r>
      <w:r>
        <w:t xml:space="preserve">(Crous et al. 2012)</w:t>
      </w:r>
      <w:r>
        <w:t xml:space="preserve">, similar to other studies</w:t>
      </w:r>
      <w:r>
        <w:t xml:space="preserve"> </w:t>
      </w:r>
      <w:r>
        <w:t xml:space="preserve">(Davey et al. 2004, Gonzalez-Meler et al. 2004, Leakey et al. 2009)</w:t>
      </w:r>
      <w:r>
        <w:t xml:space="preserve">, and was attributed to higher energy demand from increased photosynthesis rates. This potential increase in C demand could account for observed increases in C allocation, however, respiration rates would need to increase relative to photosynthesis rates</w:t>
      </w:r>
      <w:r>
        <w:t xml:space="preserve"> </w:t>
      </w:r>
      <w:r>
        <w:t xml:space="preserve">(as in Wang et al. 2001)</w:t>
      </w:r>
      <w:r>
        <w:t xml:space="preserve"> </w:t>
      </w:r>
      <w:r>
        <w:t xml:space="preserve">for the entire canopy. In addition, concentrations of leaf non-structural carbohydrates (TNC) often increase under eC</w:t>
      </w:r>
      <w:r>
        <w:rPr>
          <w:vertAlign w:val="subscript"/>
        </w:rPr>
        <w:t xml:space="preserve">a</w:t>
      </w:r>
      <w:r>
        <w:t xml:space="preserve"> </w:t>
      </w:r>
      <w:r>
        <w:t xml:space="preserve">(Roden and Ball 1996, Picon et al. 1997, Poorter et al. 1997, Loewe et al. 2000, Walter et al. 2005)</w:t>
      </w:r>
      <w:r>
        <w:t xml:space="preserve">. Increased C allocation to leaves may have resulted in increased leaf TNC to fulfill increased canopy respiratory demands or meet sink demands of other tissues. Taken together, results for aboveground tissues highlight the importance of separating impacts on measured biomass from those of actual C allocation when evaluating tree growth responses to climate change.</w:t>
      </w:r>
    </w:p>
    <w:p>
      <w:pPr>
        <w:pStyle w:val="Heading2"/>
      </w:pPr>
      <w:bookmarkStart w:id="46" w:name="tbca-response-to-climate-change-in-a-single-tree-ecosystem"/>
      <w:bookmarkEnd w:id="46"/>
      <w:r>
        <w:t xml:space="preserve">TBCA response to climate change in a single-tree ecosystem</w:t>
      </w:r>
    </w:p>
    <w:p>
      <w:r>
        <w:t xml:space="preserve">Despite increased attention to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in eC</w:t>
      </w:r>
      <w:r>
        <w:rPr>
          <w:vertAlign w:val="subscript"/>
        </w:rPr>
        <w:t xml:space="preserve">a</w:t>
      </w:r>
      <w:r>
        <w:t xml:space="preserve"> </w:t>
      </w:r>
      <w:r>
        <w:t xml:space="preserve">treatments 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w:t>
      </w:r>
      <w:r>
        <w:t xml:space="preserve"> </w:t>
      </w:r>
      <w:r>
        <w:t xml:space="preserve">(Palmroth et al. 2006)</w:t>
      </w:r>
      <w:r>
        <w:t xml:space="preserve"> </w:t>
      </w:r>
      <w:r>
        <w:t xml:space="preserve">but the single-tree ecosystem design of the WTC allowed us to evaluate the effects of climate change factors without the inherent environmental complexity of a forest community. The unique design of the WTC allowed us to track TBCA as a cumulative total and across daily time steps, both of which can be used to validate and constrain models where C allocation is represented.</w:t>
      </w:r>
    </w:p>
    <w:p>
      <w:r>
        <w:br w:type="textWrapping"/>
      </w:r>
      <w:r>
        <w:t xml:space="preserve">With high resolution flux data and reliable estimates of aboveground dry mass production we show that TBCA was not affected by eC</w:t>
      </w:r>
      <w:r>
        <w:rPr>
          <w:vertAlign w:val="subscript"/>
        </w:rPr>
        <w:t xml:space="preserve">a</w:t>
      </w:r>
      <w:r>
        <w:t xml:space="preserve"> </w:t>
      </w:r>
      <w:r>
        <w:t xml:space="preserve">or drought treatments over the final eleven months of the experiment. Contrary to expectation, we detected minimal effects of eC</w:t>
      </w:r>
      <w:r>
        <w:rPr>
          <w:vertAlign w:val="subscript"/>
        </w:rPr>
        <w:t xml:space="preserve">a</w:t>
      </w:r>
      <w:r>
        <w:t xml:space="preserve"> </w:t>
      </w:r>
      <w:r>
        <w:t xml:space="preserve">or drought treatments on root biomass partitioning, although it was not possible to differentiate fine and coarse roots pools. Although these findings disagree with results from forested FACE experiments</w:t>
      </w:r>
      <w:r>
        <w:t xml:space="preserve"> </w:t>
      </w:r>
      <w:r>
        <w:t xml:space="preserve">(see Palmroth et al. 2006)</w:t>
      </w:r>
      <w:r>
        <w:t xml:space="preserve">, comparisons between a single-tree ecosystem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 However, a lack of cumulative change in TBCA does not infer that belowground processes were not affected by either treatment. In trees under drought stress, TBCA might increase with higher allocation to root systems to alleviate water stress</w:t>
      </w:r>
      <w:r>
        <w:t xml:space="preserve"> </w:t>
      </w:r>
      <w:r>
        <w:t xml:space="preserve">(Poorter et al. 2012)</w:t>
      </w:r>
      <w:r>
        <w:t xml:space="preserve">, which could by offset increased root mortality and turnover</w:t>
      </w:r>
      <w:r>
        <w:t xml:space="preserve"> </w:t>
      </w:r>
      <w:r>
        <w:t xml:space="preserve">(Marshall 1986, Meier and Leuschner 2008)</w:t>
      </w:r>
      <w:r>
        <w:t xml:space="preserve">, reduced root exudation</w:t>
      </w:r>
      <w:r>
        <w:t xml:space="preserve"> </w:t>
      </w:r>
      <w:r>
        <w:t xml:space="preserve">(Iversen and Norby 2014)</w:t>
      </w:r>
      <w:r>
        <w:t xml:space="preserve"> </w:t>
      </w:r>
      <w:r>
        <w:t xml:space="preserve">or reduced C demand via decreases in root respiration rates</w:t>
      </w:r>
      <w:r>
        <w:t xml:space="preserve"> </w:t>
      </w:r>
      <w:r>
        <w:t xml:space="preserve">(Burton et al. 1998)</w:t>
      </w:r>
      <w:r>
        <w:t xml:space="preserve">.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increased root production and exudation.</w:t>
      </w:r>
    </w:p>
    <w:p>
      <w:r>
        <w:br w:type="textWrapping"/>
      </w:r>
      <w:r>
        <w:t xml:space="preserve">With estimations of daily aboveground C mass accrual and measured cumulative whole tree C flux we were able to uniquely track dynamic short term effects of eC</w:t>
      </w:r>
      <w:r>
        <w:rPr>
          <w:vertAlign w:val="subscript"/>
        </w:rPr>
        <w:t xml:space="preserve">a</w:t>
      </w:r>
      <w:r>
        <w:t xml:space="preserve"> </w:t>
      </w:r>
      <w:r>
        <w:t xml:space="preserve">or drought on TBCA. Across daily time steps, we observed a relatively stable fraction of total tree C flux distributed to TBCA over a period of eleven months. The ability to calculate TBCA as a simple residual between measured aboveground processes gives us reliable estimates of the absolute amount of C distributed belowground each day, which appears to be insensitive to sustained exposure to eC</w:t>
      </w:r>
      <w:r>
        <w:rPr>
          <w:vertAlign w:val="subscript"/>
        </w:rPr>
        <w:t xml:space="preserve">a</w:t>
      </w:r>
      <w:r>
        <w:t xml:space="preserve"> </w:t>
      </w:r>
      <w:r>
        <w:t xml:space="preserve">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residence time in any tissue or soil component. As a result, the lack of a cumulative response of TBCA raises questions about the regularity of belowground responses to climate change factors often reported. Our results confirm the need for more reliable estimates of TBCA in future studies, which are crucial for predicting forest responses to climate change.</w:t>
      </w:r>
    </w:p>
    <w:p>
      <w:pPr>
        <w:pStyle w:val="Heading2"/>
      </w:pPr>
      <w:bookmarkStart w:id="47" w:name="conclusions"/>
      <w:bookmarkEnd w:id="47"/>
      <w:r>
        <w:t xml:space="preserve">Conclusions</w:t>
      </w:r>
    </w:p>
    <w:p>
      <w:r>
        <w:t xml:space="preserve">Here we use novel aspects of the WTC experimental design to show that whole tree C flux and tree growth were highly correlated, while patterns in biomass partitioning alone were insufficient to explain eC</w:t>
      </w:r>
      <w:r>
        <w:rPr>
          <w:vertAlign w:val="subscript"/>
        </w:rPr>
        <w:t xml:space="preserve">a</w:t>
      </w:r>
      <w:r>
        <w:t xml:space="preserve"> </w:t>
      </w:r>
      <w:r>
        <w:t xml:space="preserve">effects on tree growth. With individual</w:t>
      </w:r>
      <w:r>
        <w:t xml:space="preserve"> </w:t>
      </w:r>
      <w:r>
        <w:rPr>
          <w:i/>
        </w:rPr>
        <w:t xml:space="preserve">Eucalyptus saligna</w:t>
      </w:r>
      <w:r>
        <w:t xml:space="preserve"> </w:t>
      </w:r>
      <w:r>
        <w:t xml:space="preserve">trees we show disparate responses of above and belowground C allocation to eC</w:t>
      </w:r>
      <w:r>
        <w:rPr>
          <w:vertAlign w:val="subscript"/>
        </w:rPr>
        <w:t xml:space="preserve">a</w:t>
      </w:r>
      <w:r>
        <w:t xml:space="preserve"> </w:t>
      </w:r>
      <w:r>
        <w:t xml:space="preserve">treatments, which has important implications for how C allocation should be represented in applied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w:t>
      </w:r>
      <w:r>
        <w:t xml:space="preserve">De Kauwe</w:t>
      </w:r>
      <w:r>
        <w:t xml:space="preserve"> </w:t>
      </w:r>
      <w:r>
        <w:t xml:space="preserve">et al. 2014)</w:t>
      </w:r>
      <w:r>
        <w:t xml:space="preserve">. Continuing to apply novel approaches to better evaluate TBCA and empirically measure whole tree C fluxes, such as the WTC experiment, are the way forward in addressing questions regarding the fate of assimilated C under global climate change.</w:t>
      </w:r>
    </w:p>
    <w:p>
      <w:pPr>
        <w:pStyle w:val="Heading1"/>
      </w:pPr>
      <w:bookmarkStart w:id="48" w:name="list-of-tables"/>
      <w:bookmarkEnd w:id="48"/>
      <w:r>
        <w:t xml:space="preserve">List of 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from the overall model which includes C</w:t>
      </w:r>
      <w:r>
        <w:rPr>
          <w:vertAlign w:val="subscript"/>
        </w:rPr>
        <w:t xml:space="preserve">a</w:t>
      </w:r>
      <w:r>
        <w:t xml:space="preserve"> </w:t>
      </w:r>
      <w:r>
        <w:t xml:space="preserve">* drought interactions. For each variable,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p>
      <w:pPr>
        <w:pStyle w:val="Heading1"/>
      </w:pPr>
      <w:bookmarkStart w:id="49" w:name="list-of-figures"/>
      <w:bookmarkEnd w:id="49"/>
      <w:r>
        <w:t xml:space="preserve">List of Figures</w:t>
      </w:r>
    </w:p>
    <w:p>
      <w:r>
        <w:rPr>
          <w:b/>
        </w:rPr>
        <w:t xml:space="preserve">Figure 1</w:t>
      </w:r>
      <w:r>
        <w:t xml:space="preserve">. Whole tree C mass as a function of cumulative aboveground C flux for each WTC. Values of cumulative aboveground net C flux were measured over the final eleven months of the experiment. Whole tree C mass represents the sum of bole, branch, leaf and root C mass from allometric estimates over the same times period. The dotted line is the 1:1 relationship and the solid line represents the significant overall linear model fit from the equation y = 0.56x + 878.2 (R</w:t>
      </w:r>
      <w:r>
        <w:rPr>
          <w:vertAlign w:val="superscript"/>
        </w:rPr>
        <w:t xml:space="preserve">2</w:t>
      </w:r>
      <w:r>
        <w:t xml:space="preserve"> </w:t>
      </w:r>
      <w:r>
        <w:t xml:space="preserve">= 0.86).</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two leaf area estimates following Barton et al.</w:t>
      </w:r>
      <w:r>
        <w:t xml:space="preserve"> </w:t>
      </w:r>
      <w:r>
        <w:t xml:space="preserve">(2012)</w:t>
      </w:r>
      <w:r>
        <w:t xml:space="preserve">. Color and line type distinguish the treatment combination for each WTC.</w:t>
      </w:r>
    </w:p>
    <w:p>
      <w:r>
        <w:br w:type="textWrapping"/>
      </w:r>
      <w:r>
        <w:rPr>
          <w:b/>
        </w:rPr>
        <w:t xml:space="preserve">Figure 3</w:t>
      </w:r>
      <w:r>
        <w:t xml:space="preserve">. Treatment means of cumulative aboveground C flux as a function on mean daily canopy leaf area over the final eleven months of the experiment. The solid line represents the significant overall linear model fit (R</w:t>
      </w:r>
      <w:r>
        <w:rPr>
          <w:vertAlign w:val="superscript"/>
        </w:rPr>
        <w:t xml:space="preserve">2</w:t>
      </w:r>
      <w:r>
        <w:t xml:space="preserve"> </w:t>
      </w:r>
      <w:r>
        <w:t xml:space="preserve">= 0.77) from the equation: y = 611.9x + 2791.2. Intercepts and slopes between separate linear regressions of</w:t>
      </w:r>
      <w:r>
        <w:t xml:space="preserve"> </w:t>
      </w:r>
      <m:oMath>
        <m:sSub>
          <m:e>
            <m:r>
              <m:rPr>
                <m:sty m:val="p"/>
              </m:rPr>
              <m:t>F</m:t>
            </m:r>
          </m:e>
          <m:sub>
            <m:r>
              <m:rPr>
                <m:sty m:val="p"/>
              </m:rPr>
              <m:t>c</m:t>
            </m:r>
            <m:r>
              <m:rPr>
                <m:sty m:val="p"/>
              </m:rPr>
              <m:t>,</m:t>
            </m:r>
            <m:r>
              <m:rPr>
                <m:sty m:val="p"/>
              </m:rPr>
              <m:t>T</m:t>
            </m:r>
          </m:sub>
        </m:sSub>
      </m:oMath>
      <w:r>
        <w:t xml:space="preserve"> </w:t>
      </w:r>
      <w:r>
        <w:t xml:space="preserve">and mean leaf area for aC~a and eC</w:t>
      </w:r>
      <w:r>
        <w:rPr>
          <w:vertAlign w:val="subscript"/>
        </w:rPr>
        <w:t xml:space="preserve">a</w:t>
      </w:r>
      <w:r>
        <w:t xml:space="preserve"> </w:t>
      </w:r>
      <w:r>
        <w:t xml:space="preserve">treatments were not different.</w:t>
      </w:r>
    </w:p>
    <w:p>
      <w:r>
        <w:br w:type="textWrapping"/>
      </w:r>
      <w:r>
        <w:rPr>
          <w:b/>
        </w:rPr>
        <w:t xml:space="preserve">Figure 4</w:t>
      </w:r>
      <w:r>
        <w:t xml:space="preserve">. Treatment means of C mass fractions of leaves (a), stems (branches+boles) (c) and roots (e) as a function of tree size, via whole tree C mass. Treatment means of C allocation to leaves (b) and stems (d) as a function of cumulative aboveground net C flux. Root C allocation could not be estimated as root turnover was not known. Values for C mass fractions are calculated from final harvest biomass totals. Values for C allocation are estimated from cumulative total aboveground net C flux over the final eleven months of the experiment. Solid lines represent overall linear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r>
        <w:br w:type="textWrapping"/>
      </w:r>
      <w:r>
        <w:rPr>
          <w:b/>
        </w:rPr>
        <w:t xml:space="preserve">Figure 5</w:t>
      </w:r>
      <w:r>
        <w:t xml:space="preserve">. Cumulative aboveground net C flux and additive C allocation to individual tree components from 15 April 2008 to 16 March 2009. Each panel represents mean values for each treatment combination (n=3). Both aboveground net C flux and tissue C allocation where set to 0 on 15 April 2008 in order to track the allocation of C in daily time steps. Root C mass, predicted from the logarithmic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aboveground net C flux, TBCA, and the residual belowground C flux (</w:t>
      </w:r>
      <m:oMath>
        <m:sSub>
          <m:e>
            <m:r>
              <m:rPr>
                <m:sty m:val="p"/>
              </m:rPr>
              <m:t>F</m:t>
            </m:r>
          </m:e>
          <m:sub>
            <m:r>
              <m:rPr>
                <m:sty m:val="p"/>
              </m:rPr>
              <m:t>c</m:t>
            </m:r>
            <m:r>
              <m:rPr>
                <m:sty m:val="p"/>
              </m:rPr>
              <m:t>,</m:t>
            </m:r>
            <m:r>
              <m:rPr>
                <m:sty m:val="p"/>
              </m:rPr>
              <m:t>r</m:t>
            </m:r>
          </m:sub>
        </m:sSub>
      </m:oMath>
      <w:r>
        <w:t xml:space="preserve">). Values of cumulative aboveground net C flux were measured over the final eleven months of the experiment. Values for TBCA are the residual between the cumulative C flux and total C mass aboveground estimated from allometric surveys over the same time period. Values for</w:t>
      </w:r>
      <w:r>
        <w:t xml:space="preserve"> </w:t>
      </w:r>
      <m:oMath>
        <m:sSub>
          <m:e>
            <m:r>
              <m:rPr>
                <m:sty m:val="p"/>
              </m:rPr>
              <m:t>F</m:t>
            </m:r>
          </m:e>
          <m:sub>
            <m:r>
              <m:rPr>
                <m:sty m:val="p"/>
              </m:rPr>
              <m:t>c</m:t>
            </m:r>
            <m:r>
              <m:rPr>
                <m:sty m:val="p"/>
              </m:rPr>
              <m:t>,</m:t>
            </m:r>
            <m:r>
              <m:rPr>
                <m:sty m:val="p"/>
              </m:rPr>
              <m:t>r</m:t>
            </m:r>
          </m:sub>
        </m:sSub>
      </m:oMath>
      <w:r>
        <w:t xml:space="preserve"> </w:t>
      </w:r>
      <w:r>
        <w:t xml:space="preserve">were calculated as the residual between TBCA and root C mass predicted on the last date of the eleven month period.</w:t>
      </w:r>
    </w:p>
    <w:p>
      <w:r>
        <w:br w:type="textWrapping"/>
      </w:r>
      <w:r>
        <w:rPr>
          <w:b/>
        </w:rPr>
        <w:t xml:space="preserve">Figure 7</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lines represent treatment means, with color and line type distinguishing treatment combinations. The dotted line represents a theoretical investment of 50 % of aboveground net C flux towards TBCA.</w:t>
      </w:r>
    </w:p>
    <w:p>
      <w:r>
        <w:br w:type="textWrapping"/>
      </w:r>
      <w:r>
        <w:rPr>
          <w:b/>
        </w:rPr>
        <w:t xml:space="preserve">Figure S1</w:t>
      </w:r>
      <w:r>
        <w:t xml:space="preserve">. Root mass as a function of shoot mass in</w:t>
      </w:r>
      <w:r>
        <w:t xml:space="preserve"> </w:t>
      </w:r>
      <w:r>
        <w:rPr>
          <w:i/>
        </w:rPr>
        <w:t xml:space="preserve">Eucalyptus saligna</w:t>
      </w:r>
      <w:r>
        <w:t xml:space="preserve"> </w:t>
      </w:r>
      <w:r>
        <w:t xml:space="preserve">for potted seedlings harvested before planting of WTC trees (n=17) and WTC trees harvested after 2 years (n=12). Potted seedlings were grown in 25 l pots inside each WTC, while chamber conditions were maintained. The solid line represents the significant log-log model fit (R</w:t>
      </w:r>
      <w:r>
        <w:rPr>
          <w:vertAlign w:val="superscript"/>
        </w:rPr>
        <w:t xml:space="preserve">2</w:t>
      </w:r>
      <w:r>
        <w:t xml:space="preserve"> </w:t>
      </w:r>
      <w:r>
        <w:t xml:space="preserve">= 0.98) from the equation: log(x) = 0.77(log(y)) + 0.43.</w:t>
      </w:r>
    </w:p>
    <w:p>
      <w:r>
        <w:br w:type="textWrapping"/>
      </w:r>
      <w:r>
        <w:rPr>
          <w:b/>
        </w:rPr>
        <w:t xml:space="preserve">Figure S2</w:t>
      </w:r>
      <w:r>
        <w:t xml:space="preserve">. Cumulative aboveground net C flux and additive C allocation of individual tree components from 2008-4-15 and 2009-3-16. Panels represent each individual WTC. Both aboveground net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50" w:name="tables"/>
      <w:bookmarkEnd w:id="50"/>
      <w:r>
        <w:t xml:space="preserve">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from the overall model which includes C</w:t>
      </w:r>
      <w:r>
        <w:rPr>
          <w:vertAlign w:val="subscript"/>
        </w:rPr>
        <w:t xml:space="preserve">a</w:t>
      </w:r>
      <w:r>
        <w:t xml:space="preserve"> </w:t>
      </w:r>
      <w:r>
        <w:t xml:space="preserve">* drought interactions. For each variable,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8109.4 (278.2) ab</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-dry</w:t>
            </w:r>
          </w:p>
        </w:tc>
        <w:tc>
          <w:p>
            <w:pPr>
              <w:pStyle w:val="Compact"/>
              <w:jc w:val="left"/>
            </w:pPr>
            <w:r>
              <w:t xml:space="preserve">4250.6 (710.9) a</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r>
    </w:tbl>
    <w:p>
      <w:pPr>
        <w:pStyle w:val="Heading1"/>
      </w:pPr>
      <w:bookmarkStart w:id="51" w:name="figures"/>
      <w:bookmarkEnd w:id="51"/>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52"/>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5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6"/>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9" w:name="supporting-information"/>
      <w:bookmarkEnd w:id="59"/>
      <w:r>
        <w:t xml:space="preserve">Supporting Information</w:t>
      </w:r>
    </w:p>
    <w:p>
      <w:r>
        <w:drawing>
          <wp:inline>
            <wp:extent cx="5440680" cy="5440680"/>
            <wp:effectExtent b="0" l="0" r="0" t="0"/>
            <wp:docPr descr="" id="1" name="Picture"/>
            <a:graphic>
              <a:graphicData uri="http://schemas.openxmlformats.org/drawingml/2006/picture">
                <pic:pic>
                  <pic:nvPicPr>
                    <pic:cNvPr descr="wtc1_manuscript_files/figure-docx/rootshoot-1.png" id="0" name="Picture"/>
                    <pic:cNvPicPr>
                      <a:picLocks noChangeArrowheads="1" noChangeAspect="1"/>
                    </pic:cNvPicPr>
                  </pic:nvPicPr>
                  <pic:blipFill>
                    <a:blip r:embed="rId6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S1</w:t>
      </w:r>
      <w:r>
        <w:t xml:space="preserve">.</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61"/>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S2</w:t>
      </w:r>
      <w:r>
        <w:t xml:space="preserve">.</w:t>
      </w:r>
    </w:p>
    <w:p>
      <w:pPr>
        <w:pStyle w:val="Heading1"/>
      </w:pPr>
      <w:bookmarkStart w:id="62" w:name="references"/>
      <w:bookmarkEnd w:id="62"/>
      <w:r>
        <w:t xml:space="preserve">References</w:t>
      </w:r>
    </w:p>
    <w:p>
      <w:pPr>
        <w:pStyle w:val="Bibliography"/>
      </w:pPr>
      <w:r>
        <w:t xml:space="preserve">Abramowitz G (2005) Towards a benchmark for land surface models. Geophysical Research Letters 32</w:t>
      </w:r>
    </w:p>
    <w:p>
      <w:pPr>
        <w:pStyle w:val="Bibliography"/>
      </w:pPr>
      <w:r>
        <w:t xml:space="preserve">Amthor JS (1994) Scaling CO2-photosynthesis relationships from the leaf to the canopy. Photosynthesis Research 39:321–350.</w:t>
      </w:r>
    </w:p>
    <w:p>
      <w:pPr>
        <w:pStyle w:val="Bibliography"/>
      </w:pPr>
      <w:r>
        <w:t xml:space="preserve">Anderegg WRL (2012) Complex aspen forest carbon and root dynamics during drought. Climatic Change 111:983–991.</w:t>
      </w:r>
    </w:p>
    <w:p>
      <w:pPr>
        <w:pStyle w:val="Bibliography"/>
      </w:pPr>
      <w:r>
        <w:t xml:space="preserve">Barton CVM, Duursma RA, Medlyn BE, Ellsworth DS, Eamus D, Tissue DT, Adams MA, Conroy J, Crous KY, Liberloo M, Others (2012) Effects of elevated atmospheric [CO2] on instantaneous transpiration efficiency at leaf and canopy scales in Eucalyptus saligna. Global Change Biology 18:585–595.</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Crous KY, ZARAGOZA-CASTELLS J, Ellsworth DS, Duursma RA, Loew M, Tissue DT, Atkin OK (2012) Light inhibition of leaf respiration in field-grown Eucalyptus saligna in whole-tree chambers under elevated atmospheric CO2 and summer drought. Plant, cell &amp; environment 35:966–981.</w:t>
      </w:r>
    </w:p>
    <w:p>
      <w:pPr>
        <w:pStyle w:val="Bibliography"/>
      </w:pPr>
      <w:r>
        <w:t xml:space="preserve">Davey PA, Hunt S, Hymus GJ, DeLucia EH, Drake BG, Karnosky DF, Long SP (2004) Respiratory oxygen uptake is not decreased by an instantaneous elevation of [CO2], but is increased with long-term growth in the field at elevated [CO2]. Plant Physiology 134:520–527.</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De Pury</w:t>
      </w:r>
      <w:r>
        <w:t xml:space="preserve"> </w:t>
      </w:r>
      <w:r>
        <w:t xml:space="preserve">DGG, Farquhar GD (1997) Simple scaling of photosynthesis from leaves to canopies without the errors of big-leaf models. Plant Cell and Environment 20:537–557.</w:t>
      </w:r>
    </w:p>
    <w:p>
      <w:pPr>
        <w:pStyle w:val="Bibliography"/>
      </w:pPr>
      <w:r>
        <w:t xml:space="preserve">DeLucia EH, Moore DJ, Norby RJ (2005) Contrasting responses of forest ecosystems to rising atmospheric CO2: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Koerner C (2014) Moving beyond photosynthesis: from carbon source to sink-driven vegetation modeling. New Phytologist 201:1086–1095.</w:t>
      </w:r>
    </w:p>
    <w:p>
      <w:pPr>
        <w:pStyle w:val="Bibliography"/>
      </w:pPr>
      <w:r>
        <w:t xml:space="preserve">Franklin O, Johansson J, Dewar RC, Dieckmann U, McMurtrie RE, Br</w:t>
      </w:r>
      <w:r>
        <w:t xml:space="preserve">ä</w:t>
      </w:r>
      <w:r>
        <w:t xml:space="preserve">nnstr</w:t>
      </w:r>
      <w:r>
        <w:t xml:space="preserve">ö</w:t>
      </w:r>
      <w:r>
        <w:t xml:space="preserve">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Gonzalez-Meler MA, Taneva L, Trueman RJ (2004) Plant Respiration and Elevated Atmospheric CO2 Concentration: Cellular Responses and Global Significance. Annals of Botany 94:647–656.</w:t>
      </w:r>
      <w:r>
        <w:t xml:space="preserve"> </w:t>
      </w:r>
      <w:hyperlink r:id="rId63">
        <w:r>
          <w:rPr>
            <w:rStyle w:val="Link"/>
          </w:rPr>
          <w:t xml:space="preserve">http://aob.oxfordjournals.org/content/94/5/647.abstract</w:t>
        </w:r>
      </w:hyperlink>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w:t>
      </w:r>
      <w:r>
        <w:t xml:space="preserve">ö</w:t>
      </w:r>
      <w:r>
        <w:t xml:space="preserve">rner C, Asshoff R, Bignucolo O, H</w:t>
      </w:r>
      <w:r>
        <w:t xml:space="preserve">ä</w:t>
      </w:r>
      <w:r>
        <w:t xml:space="preserve">ttenschwiler S, Keel SG, Pel</w:t>
      </w:r>
      <w:r>
        <w:t xml:space="preserve">á</w:t>
      </w:r>
      <w:r>
        <w:t xml:space="preserve">ez-Riedl S, Pepin S, Siegwolf RTW, Zotz G (2005) Carbon flux and growth in mature deciduous forest trees exposed to elevated CO2.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Leakey ADB, Ainsworth EA, Bernacchi CJ, Rogers A, Long SP, Ort DR (2009) Elevated CO2 effects on plant carbon, nitrogen, and water relations: six important lessons from FACE. Journal of Experimental Botany 60:2859–2876.</w:t>
      </w:r>
      <w:r>
        <w:t xml:space="preserve"> </w:t>
      </w:r>
      <w:hyperlink r:id="rId64">
        <w:r>
          <w:rPr>
            <w:rStyle w:val="Link"/>
          </w:rPr>
          <w:t xml:space="preserve">http://jxb.oxfordjournals.org/content/60/10/2859.abstract</w:t>
        </w:r>
      </w:hyperlink>
    </w:p>
    <w:p>
      <w:pPr>
        <w:pStyle w:val="Bibliography"/>
      </w:pPr>
      <w:r>
        <w:t xml:space="preserve">Leuning R, Kelliher FM, Pury DGG de, SCHULZE E-D (1995) Leaf nitrogen, photosynthesis, conductance and transpiration: scaling from leaves to canopies. Plant, Cell &amp; Environment 18:1183–1200.</w:t>
      </w:r>
    </w:p>
    <w:p>
      <w:pPr>
        <w:pStyle w:val="Bibliography"/>
      </w:pPr>
      <w:r>
        <w:t xml:space="preserve">Lindroth A, Lagergren F, Aurela M, Bjarnadottir B, Christensen T, Dellwik E, Grelle A, Ibrom A, Johansson T, Lankreijer H, Others (2008) Leaf area index is the principal scaling parameter for both gross photosynthesis and ecosystem respiration of Northern deciduous and coniferous forests. Tellus B 60:129–142.</w:t>
      </w:r>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CO2 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w:t>
      </w:r>
      <w:r>
        <w:t xml:space="preserve">ä</w:t>
      </w:r>
      <w:r>
        <w:t xml:space="preserve">kel</w:t>
      </w:r>
      <w:r>
        <w:t xml:space="preserve">ä</w:t>
      </w:r>
      <w:r>
        <w:t xml:space="preserve"> </w:t>
      </w:r>
      <w:r>
        <w:t xml:space="preserve">A (1997) A carbon balance model of growth and self-pruning in trees based on structural relationships. Forest Science 43:7–24.</w:t>
      </w:r>
    </w:p>
    <w:p>
      <w:pPr>
        <w:pStyle w:val="Bibliography"/>
      </w:pPr>
      <w:r>
        <w:t xml:space="preserve">M</w:t>
      </w:r>
      <w:r>
        <w:t xml:space="preserve">ä</w:t>
      </w:r>
      <w:r>
        <w:t xml:space="preserve">kel</w:t>
      </w:r>
      <w:r>
        <w:t xml:space="preserve">ä</w:t>
      </w:r>
      <w:r>
        <w:t xml:space="preserve"> </w:t>
      </w:r>
      <w:r>
        <w:t xml:space="preserve">A (2012) On guiding principles for carbon allocation in eco-physiological growth models. Tree physiology 32:644–647.</w:t>
      </w:r>
    </w:p>
    <w:p>
      <w:pPr>
        <w:pStyle w:val="Bibliography"/>
      </w:pPr>
      <w:r>
        <w:t xml:space="preserve">McCarthy HR, Oren R, Finzi AC, Johnsen KH (2006) Canopy leaf area constrains [CO2]-induced enhancement of productivity and partitioning among aboveground carbon pools. Proceedings of the National Academy of Sciences 103:19356–19361.</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w:t>
      </w:r>
      <w:r>
        <w:t xml:space="preserve">ü</w:t>
      </w:r>
      <w:r>
        <w:t xml:space="preserve">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Picon C, Ferhi A, Guehl J-M (1997) Concentration and</w:t>
      </w:r>
      <w:r>
        <w:t xml:space="preserve"> </w:t>
      </w:r>
      <m:oMath>
        <m:r>
          <m:rPr>
            <m:sty m:val="p"/>
          </m:rPr>
          <m:t>σ</m:t>
        </m:r>
      </m:oMath>
      <w:r>
        <w:t xml:space="preserve">13C of leaf carbohydrates in relation to gas exchange in Quercus robur under elevated CO2 and drought. Journal of Experimental Botany 48:1547–1556.</w:t>
      </w:r>
      <w:r>
        <w:t xml:space="preserve"> </w:t>
      </w:r>
      <w:hyperlink r:id="rId65">
        <w:r>
          <w:rPr>
            <w:rStyle w:val="Link"/>
          </w:rPr>
          <w:t xml:space="preserve">http://jxb.oxfordjournals.org/content/48/8/1547.abstract</w:t>
        </w:r>
      </w:hyperlink>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w:t>
      </w:r>
      <w:r>
        <w:t xml:space="preserve"> </w:t>
      </w:r>
      <w:r>
        <w:t xml:space="preserve">Van Berkel</w:t>
      </w:r>
      <w:r>
        <w:t xml:space="preserve"> </w:t>
      </w:r>
      <w:r>
        <w:t xml:space="preserve">Y, Baxter R,</w:t>
      </w:r>
      <w:r>
        <w:t xml:space="preserve"> </w:t>
      </w:r>
      <w:r>
        <w:t xml:space="preserve">Den Hertog</w:t>
      </w:r>
      <w:r>
        <w:t xml:space="preserve"> </w:t>
      </w:r>
      <w:r>
        <w:t xml:space="preserve">J, Dijkstra P, Gifford RM, Griffin KL, Roumet C, Roy J, Wong SC (1997) The effect of elevated CO2 on the chemical composition and construction costs of leaves of 27 C3 species. Plant, Cell &amp; Environment 20:472–482.</w:t>
      </w:r>
      <w:r>
        <w:t xml:space="preserve"> </w:t>
      </w:r>
      <w:hyperlink r:id="rId66">
        <w:r>
          <w:rPr>
            <w:rStyle w:val="Link"/>
          </w:rPr>
          <w:t xml:space="preserve">http://dx.doi.org/10.1046/j.1365-3040.1997.d01-84.x</w:t>
        </w:r>
      </w:hyperlink>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67">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[CO2] on Growth and Photosynthesis of Two Eucalyptus Species Exposed to High Temperatures and Water Deficits. Plant Physiology 111:909–919.</w:t>
      </w:r>
      <w:r>
        <w:t xml:space="preserve"> </w:t>
      </w:r>
      <w:hyperlink r:id="rId68">
        <w:r>
          <w:rPr>
            <w:rStyle w:val="Link"/>
          </w:rPr>
          <w:t xml:space="preserve">http://www.plantphysiol.org/content/111/3/909.abstract</w:t>
        </w:r>
      </w:hyperlink>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Tjoelker MG, Oleksyn J, Reich PB (1998) Temperature and ontogeny mediate growth response to elevated CO2 in seedlings of five boreal tree species. New Phytologist 140:197–210.</w:t>
      </w:r>
    </w:p>
    <w:p>
      <w:pPr>
        <w:pStyle w:val="Bibliography"/>
      </w:pPr>
      <w:r>
        <w:t xml:space="preserve">Walter A, Christ MM, Barron-gafford GA, Grieve KA, Murthy R, Rascher U (2005) The effect of elevated CO2 on diel leaf growth cycle, leaf carbohydrate content and canopy growth performance of Populus deltoides. Global Change Biology 11:1207–1219.</w:t>
      </w:r>
      <w:r>
        <w:t xml:space="preserve"> </w:t>
      </w:r>
      <w:hyperlink r:id="rId69">
        <w:r>
          <w:rPr>
            <w:rStyle w:val="Link"/>
          </w:rPr>
          <w:t xml:space="preserve">http://dx.doi.org/10.1111/j.1365-2486.2005.00990.x</w:t>
        </w:r>
      </w:hyperlink>
    </w:p>
    <w:p>
      <w:pPr>
        <w:pStyle w:val="Bibliography"/>
      </w:pPr>
      <w:r>
        <w:t xml:space="preserve">Wang X, Lewis JD, Tissue DT, Seemann JR, Griffin KL (2001) Effects of elevated atmospheric CO2 concentration on leaf dark respiration of Xanthium strumarium in light and in darkness. Proceedings of the National Academy of Sciences 98:2479–2484.</w:t>
      </w:r>
      <w:r>
        <w:t xml:space="preserve"> </w:t>
      </w:r>
      <w:hyperlink r:id="rId70">
        <w:r>
          <w:rPr>
            <w:rStyle w:val="Link"/>
          </w:rPr>
          <w:t xml:space="preserve">http://www.pnas.org/content/98/5/2479.abstract</w:t>
        </w:r>
      </w:hyperlink>
    </w:p>
    <w:p>
      <w:pPr>
        <w:pStyle w:val="Bibliography"/>
      </w:pPr>
      <w:r>
        <w:t xml:space="preserve">Waring RH (1983) Estimating forest growth and efficiency in relation to canopy leaf area. Adv Ecol Res 13:327–354.</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p>
      <w:pPr>
        <w:pStyle w:val="Bibliography"/>
      </w:pPr>
      <w:r>
        <w:t xml:space="preserve">Wilson JW (1965) Stand structure and light penetration. I. Analysis by point quadrats. Journal of applied Ecology:383–390.</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c48dbd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hyperlink" Id="rId63" Target="http://aob.oxfordjournals.org/content/94/5/647.abstract" TargetMode="External" /><Relationship Type="http://schemas.openxmlformats.org/officeDocument/2006/relationships/hyperlink" Id="rId66" Target="http://dx.doi.org/10.1046/j.1365-3040.1997.d01-84.x" TargetMode="External" /><Relationship Type="http://schemas.openxmlformats.org/officeDocument/2006/relationships/hyperlink" Id="rId69" Target="http://dx.doi.org/10.1111/j.1365-2486.2005.00990.x" TargetMode="External" /><Relationship Type="http://schemas.openxmlformats.org/officeDocument/2006/relationships/hyperlink" Id="rId65" Target="http://jxb.oxfordjournals.org/content/48/8/1547.abstract" TargetMode="External" /><Relationship Type="http://schemas.openxmlformats.org/officeDocument/2006/relationships/hyperlink" Id="rId64" Target="http://jxb.oxfordjournals.org/content/60/10/2859.abstract" TargetMode="External" /><Relationship Type="http://schemas.openxmlformats.org/officeDocument/2006/relationships/hyperlink" Id="rId68" Target="http://www.plantphysiol.org/content/111/3/909.abstract" TargetMode="External" /><Relationship Type="http://schemas.openxmlformats.org/officeDocument/2006/relationships/hyperlink" Id="rId70" Target="http://www.pnas.org/content/98/5/2479.abstract" TargetMode="External" /><Relationship Type="http://schemas.openxmlformats.org/officeDocument/2006/relationships/hyperlink" Id="rId67"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63" Target="http://aob.oxfordjournals.org/content/94/5/647.abstract" TargetMode="External" /><Relationship Type="http://schemas.openxmlformats.org/officeDocument/2006/relationships/hyperlink" Id="rId66" Target="http://dx.doi.org/10.1046/j.1365-3040.1997.d01-84.x" TargetMode="External" /><Relationship Type="http://schemas.openxmlformats.org/officeDocument/2006/relationships/hyperlink" Id="rId69" Target="http://dx.doi.org/10.1111/j.1365-2486.2005.00990.x" TargetMode="External" /><Relationship Type="http://schemas.openxmlformats.org/officeDocument/2006/relationships/hyperlink" Id="rId65" Target="http://jxb.oxfordjournals.org/content/48/8/1547.abstract" TargetMode="External" /><Relationship Type="http://schemas.openxmlformats.org/officeDocument/2006/relationships/hyperlink" Id="rId64" Target="http://jxb.oxfordjournals.org/content/60/10/2859.abstract" TargetMode="External" /><Relationship Type="http://schemas.openxmlformats.org/officeDocument/2006/relationships/hyperlink" Id="rId68" Target="http://www.plantphysiol.org/content/111/3/909.abstract" TargetMode="External" /><Relationship Type="http://schemas.openxmlformats.org/officeDocument/2006/relationships/hyperlink" Id="rId70" Target="http://www.pnas.org/content/98/5/2479.abstract" TargetMode="External" /><Relationship Type="http://schemas.openxmlformats.org/officeDocument/2006/relationships/hyperlink" Id="rId67"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alters carbon allocation above but not belowground in Eucalyptus saligna</dc:title>
  <dc:creator/>
</cp:coreProperties>
</file>