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6.png" ContentType="image/png"/>
  <Override PartName="/word/media/rId54.png" ContentType="image/png"/>
  <Override PartName="/word/media/rId55.png" ContentType="image/png"/>
  <Override PartName="/word/media/rId59.png" ContentType="image/png"/>
  <Override PartName="/word/media/rId53.png" ContentType="image/png"/>
  <Override PartName="/word/media/rId51.png" ContentType="image/png"/>
  <Override PartName="/word/media/rId52.png" ContentType="image/png"/>
  <Override PartName="/word/media/rId5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This study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both partitioning of biomass to roots and TBCA. The measured cumulative aboveground tree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was not affected by elevated CO</w:t>
      </w:r>
      <w:r>
        <w:rPr>
          <w:vertAlign w:val="subscript"/>
        </w:rPr>
        <w:t xml:space="preserve">2</w:t>
      </w:r>
      <w:r>
        <w:t xml:space="preserve"> </w:t>
      </w:r>
      <w:r>
        <w:t xml:space="preserve">or drought. Instead, increases in biomass partitioning to leaves and decreases in aboveground wood were detected under elevated CO</w:t>
      </w:r>
      <w:r>
        <w:rPr>
          <w:vertAlign w:val="subscript"/>
        </w:rPr>
        <w:t xml:space="preserve">2</w:t>
      </w:r>
      <w:r>
        <w:t xml:space="preserve">. Total C allocation to leaves was increased under elevated CO</w:t>
      </w:r>
      <w:r>
        <w:rPr>
          <w:vertAlign w:val="subscript"/>
        </w:rPr>
        <w:t xml:space="preserve">2</w:t>
      </w:r>
      <w:r>
        <w:t xml:space="preserve">, while allocation to aboveground wood and TBCA were not affected by either treatment. Across, the final 11 months of the experiment the daily fraction of C uptake allocated belowground remained relatively constant, regardless of climate change treatment or tree size. Overall, we show that elevated CO</w:t>
      </w:r>
      <w:r>
        <w:rPr>
          <w:vertAlign w:val="subscript"/>
        </w:rPr>
        <w:t xml:space="preserve">2</w:t>
      </w:r>
      <w:r>
        <w:t xml:space="preserve"> </w:t>
      </w:r>
      <w:r>
        <w:t xml:space="preserve">affects biomass partitioning, beyond ontogeny, aboveground instead of belowground. In addition, the unique design of the WTC also provides evidence that elevated CO</w:t>
      </w:r>
      <w:r>
        <w:rPr>
          <w:vertAlign w:val="subscript"/>
        </w:rPr>
        <w:t xml:space="preserve">2</w:t>
      </w:r>
      <w:r>
        <w:t xml:space="preserve"> </w:t>
      </w:r>
      <w:r>
        <w:t xml:space="preserve">may not always enhance C allocation belowground, as has been previously shown. These results reveal how climate change factors can impact the investment of photosynthetic C in a Eucalyptus tree species and provide an empirical framework to improve model representations of tree C allocation.</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guiding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biomass partitioning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roots biomass</w:t>
      </w:r>
      <w:r>
        <w:t xml:space="preserve"> </w:t>
      </w:r>
      <w:r>
        <w:t xml:space="preserve">(Iversen 2010)</w:t>
      </w:r>
      <w:r>
        <w:t xml:space="preserve"> </w:t>
      </w:r>
      <w:r>
        <w:t xml:space="preserve">or root exudation</w:t>
      </w:r>
      <w:r>
        <w:t xml:space="preserve"> </w:t>
      </w:r>
      <w:r>
        <w:t xml:space="preserve">(Phillips et al. 2011)</w:t>
      </w:r>
      <w:r>
        <w:t xml:space="preserve">.</w:t>
      </w:r>
    </w:p>
    <w:p>
      <w:r>
        <w:br w:type="textWrapping"/>
      </w:r>
      <w:r>
        <w:t xml:space="preserve">The response of forest to global change also depends on teasing apart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and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
      <w:bookmarkEnd w:id="31"/>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
      <w:bookmarkEnd w:id="32"/>
      <w:r>
        <w:t xml:space="preserve">Branch carbon</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
      <w:bookmarkEnd w:id="33"/>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stems)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w:t>
      </w:r>
      <m:oMath>
        <m:sSub>
          <m:e>
            <m:r>
              <m:rPr>
                <m:sty m:val="p"/>
              </m:rPr>
              <m:t>a</m:t>
            </m:r>
          </m:e>
          <m:sub>
            <m:r>
              <m:rPr>
                <m:sty m:val="p"/>
              </m:rPr>
              <m:t>l</m:t>
            </m:r>
          </m:sub>
        </m:sSub>
      </m:oMath>
      <w:r>
        <w:t xml:space="preserve">) to leaves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d</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 Mass fractions of leaves, boles+branches and roots were then calculated by dividing their respective total C mass by whole tree C mass at the end of this time period. At the end of the eleven month period, correlations between</w:t>
      </w:r>
      <w:r>
        <w:t xml:space="preserve"> </w:t>
      </w:r>
      <m:oMath>
        <m:sSub>
          <m:e>
            <m:r>
              <m:rPr>
                <m:sty m:val="p"/>
              </m:rPr>
              <m:t>C</m:t>
            </m:r>
          </m:e>
          <m:sub>
            <m:r>
              <m:rPr>
                <m:sty m:val="p"/>
              </m:rPr>
              <m:t>a</m:t>
            </m:r>
            <m:r>
              <m:rPr>
                <m:sty m:val="p"/>
              </m:rPr>
              <m:t>b</m:t>
            </m:r>
          </m:sub>
        </m:sSub>
      </m:oMath>
      <w:r>
        <w:t xml:space="preserve">, whole tree C mass and leaf area with</w:t>
      </w:r>
      <w:r>
        <w:t xml:space="preserve"> </w:t>
      </w:r>
      <m:oMath>
        <m:sSub>
          <m:e>
            <m:r>
              <m:rPr>
                <m:sty m:val="p"/>
              </m:rPr>
              <m:t>F</m:t>
            </m:r>
          </m:e>
          <m:sub>
            <m:r>
              <m:rPr>
                <m:sty m:val="p"/>
              </m:rPr>
              <m:t>c</m:t>
            </m:r>
            <m:r>
              <m:rPr>
                <m:sty m:val="p"/>
              </m:rPr>
              <m:t>,</m:t>
            </m:r>
            <m:r>
              <m:rPr>
                <m:sty m:val="p"/>
              </m:rPr>
              <m:t>T</m:t>
            </m:r>
          </m:sub>
        </m:sSub>
      </m:oMath>
      <w:r>
        <w:t xml:space="preserve"> </w:t>
      </w:r>
      <w:r>
        <w:t xml:space="preserve">were tested.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leaf-area-and-whole-tree-carbon"/>
      <w:bookmarkEnd w:id="39"/>
      <w:r>
        <w:t xml:space="preserve">Total aboveground carbon flux, leaf area and whole tree carbon</w:t>
      </w:r>
    </w:p>
    <w:p>
      <w:r>
        <w:t xml:space="preserve">Over the final year of the experiment,</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 Similarly, 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ca. 32 % (both P &lt; 0.03).</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w:t>
      </w:r>
    </w:p>
    <w:p>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Figure 3).</w:t>
      </w:r>
    </w:p>
    <w:p>
      <w:pPr>
        <w:pStyle w:val="Heading2"/>
      </w:pPr>
      <w:bookmarkStart w:id="40" w:name="harverted-tree-carbon-mass-and-biomass-partitioning"/>
      <w:bookmarkEnd w:id="40"/>
      <w:r>
        <w:t xml:space="preserve">Harverted tree carbon mass and biomass partitioning</w:t>
      </w:r>
    </w:p>
    <w:p>
      <w:r>
        <w:t xml:space="preserve">At the end of the two year experiment, harvested C mass of tissue components were affected by eC</w:t>
      </w:r>
      <w:r>
        <w:rPr>
          <w:vertAlign w:val="subscript"/>
        </w:rPr>
        <w:t xml:space="preserve">a</w:t>
      </w:r>
      <w:r>
        <w:t xml:space="preserve"> </w:t>
      </w:r>
      <w:r>
        <w:t xml:space="preserve">but not drought treaments (Table 1). Stem C mass was (boles+branches) was reduced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standing crop leaf C mass or cumultaive litterfall C mass were affected by C</w:t>
      </w:r>
      <w:r>
        <w:rPr>
          <w:vertAlign w:val="subscript"/>
        </w:rPr>
        <w:t xml:space="preserve">a</w:t>
      </w:r>
      <w:r>
        <w:t xml:space="preserve">. Total root C mass was marginally reduced under eC</w:t>
      </w:r>
      <w:r>
        <w:rPr>
          <w:vertAlign w:val="subscript"/>
        </w:rPr>
        <w:t xml:space="preserve">a</w:t>
      </w:r>
      <w:r>
        <w:t xml:space="preserve"> </w:t>
      </w:r>
      <w:r>
        <w:t xml:space="preserve">(P = 0.091).</w:t>
      </w:r>
    </w:p>
    <w:p>
      <w:r>
        <w:br w:type="textWrapping"/>
      </w:r>
      <w:r>
        <w:t xml:space="preserve">Leaf mass fraction was increased by 24.2 % under eC</w:t>
      </w:r>
      <w:r>
        <w:rPr>
          <w:vertAlign w:val="subscript"/>
        </w:rPr>
        <w:t xml:space="preserve">a</w:t>
      </w:r>
      <w:r>
        <w:t xml:space="preserve"> </w:t>
      </w:r>
      <w:r>
        <w:t xml:space="preserve">(P = 0.009) but was not affected by the drought treatment. Leaf mass fraction was negatively correlated with whole tree C (P= 0.004, Figure 4a). Stem mass fraction was reduced by 9 % under elevated CO</w:t>
      </w:r>
      <w:r>
        <w:rPr>
          <w:vertAlign w:val="subscript"/>
        </w:rPr>
        <w:t xml:space="preserve">2</w:t>
      </w:r>
      <w:r>
        <w:t xml:space="preserve"> </w:t>
      </w:r>
      <w:r>
        <w:t xml:space="preserve">(P = 0.018), with no effect of the drought treatment detected. Stem mass fraction was was positively correlated with whole tree C (P = 0.008, Figure 4c). Root mass fraction was not affected by either treatment and was not correlated to whole tree C (Figure 4e).</w:t>
      </w:r>
    </w:p>
    <w:p>
      <w:pPr>
        <w:pStyle w:val="Heading2"/>
      </w:pPr>
      <w:bookmarkStart w:id="41" w:name="aboveground-carbon-allocation"/>
      <w:bookmarkEnd w:id="41"/>
      <w:r>
        <w:t xml:space="preserve">Aboveground carbon allocation</w:t>
      </w:r>
    </w:p>
    <w:p>
      <w:r>
        <w:t xml:space="preserve">Treatment effects on tissue C allocation were determined by using total mass values obtained from allometric equations over the final eleven months of the experiment with</w:t>
      </w:r>
      <w:r>
        <w:t xml:space="preserve"> </w:t>
      </w:r>
      <m:oMath>
        <m:sSub>
          <m:e>
            <m:r>
              <m:rPr>
                <m:sty m:val="p"/>
              </m:rPr>
              <m:t>F</m:t>
            </m:r>
          </m:e>
          <m:sub>
            <m:r>
              <m:rPr>
                <m:sty m:val="p"/>
              </m:rPr>
              <m:t>c</m:t>
            </m:r>
            <m:r>
              <m:rPr>
                <m:sty m:val="p"/>
              </m:rPr>
              <m:t>,</m:t>
            </m:r>
            <m:r>
              <m:rPr>
                <m:sty m:val="p"/>
              </m:rPr>
              <m:t>t</m:t>
            </m:r>
          </m:sub>
        </m:sSub>
      </m:oMath>
      <w:r>
        <w:t xml:space="preserve"> </w:t>
      </w:r>
      <w:r>
        <w:t xml:space="preserve">cumultaive C flux over the same time period. Total C allocation to leaves marginally increased under eC</w:t>
      </w:r>
      <w:r>
        <w:rPr>
          <w:vertAlign w:val="subscript"/>
        </w:rPr>
        <w:t xml:space="preserve">a</w:t>
      </w:r>
      <w:r>
        <w:t xml:space="preserve"> </w:t>
      </w:r>
      <w:r>
        <w:t xml:space="preserve">(+28 %, P = 0.052), with no effect of the drought treatment detected. Leaf C allocation was was negatively correlated with adjusted</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 adjusted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 TBCA was positively correlated with mean daily leaf area (R</w:t>
      </w:r>
      <w:r>
        <w:rPr>
          <w:vertAlign w:val="superscript"/>
        </w:rPr>
        <w:t xml:space="preserve">2</w:t>
      </w:r>
      <w:r>
        <w:t xml:space="preserve"> </w:t>
      </w:r>
      <w:r>
        <w:t xml:space="preserve">= 0.44, P = 0.019).</w:t>
      </w:r>
    </w:p>
    <w:p>
      <w:pPr>
        <w:pStyle w:val="Heading1"/>
      </w:pPr>
      <w:bookmarkStart w:id="43" w:name="discussion"/>
      <w:bookmarkEnd w:id="43"/>
      <w:r>
        <w:t xml:space="preserve">Discussion</w:t>
      </w:r>
    </w:p>
    <w:p>
      <w:r>
        <w:t xml:space="preserve">Utilizing the WTC experimental design we show that biomass partitioning and C allocation were differentially affected by eC</w:t>
      </w:r>
      <w:r>
        <w:rPr>
          <w:vertAlign w:val="subscript"/>
        </w:rPr>
        <w:t xml:space="preserve">a</w:t>
      </w:r>
      <w:r>
        <w:t xml:space="preserve"> </w:t>
      </w:r>
      <w:r>
        <w:t xml:space="preserve">in a Eucalyptus species. We detected minimal effects of the drought treatment on total tree C flux, biomass partitioning or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was unchanged by either eC</w:t>
      </w:r>
      <w:r>
        <w:rPr>
          <w:vertAlign w:val="subscript"/>
        </w:rPr>
        <w:t xml:space="preserve">a</w:t>
      </w:r>
      <w:r>
        <w:t xml:space="preserve"> </w:t>
      </w:r>
      <w:r>
        <w:t xml:space="preserve">or drought over the final eleven months of the experiment and remained constant across daily times steps. By combining mass balance approaches with novel measurements of whole tree C flux we highlight how impacts to C allocation of a component tissue may not always result in similar changes to tissue biomass production over longer time periods. The consistency of TBCA, at both daily and annual time scales, suggests that TBCA may not be as sensitive to the effects of climate changes as previously thought.</w:t>
      </w:r>
    </w:p>
    <w:p>
      <w:pPr>
        <w:pStyle w:val="Heading2"/>
      </w:pPr>
      <w:bookmarkStart w:id="44" w:name="do-biomass-partitioning-and-c-allocation-respond-the-same-to-climate-change"/>
      <w:bookmarkEnd w:id="44"/>
      <w:r>
        <w:t xml:space="preserve">Do biomass partitioning and C allocation respond the same to climate change</w:t>
      </w:r>
    </w:p>
    <w:p>
      <w:r>
        <w:t xml:space="preserve">Here, we used final harvest biomass to determine patterns of biomass partitioning to leaves, stems and roots. We then combined cumulative tree C fluxes with tissue biomass production and turnover to measure C allocation to stems, leaves and total belowground pools, via mass balance. This approach allowed us to evaluate the impacts of climate change treatments on these two fundamentally different processes affecting overall tree growth. This is because there are many possible fates for C assimilates and only one of these is the production of plant biomass</w:t>
      </w:r>
      <w:r>
        <w:t xml:space="preserve"> </w:t>
      </w:r>
      <w:r>
        <w:t xml:space="preserve">(</w:t>
      </w:r>
      <w:r>
        <w:rPr>
          <w:b/>
        </w:rPr>
        <w:t xml:space="preserve">???</w:t>
      </w:r>
      <w:r>
        <w:t xml:space="preserve">)</w:t>
      </w:r>
      <w:r>
        <w:t xml:space="preserve">. Changes in C allocation encompass effects of tissue turnover, the storage and use of carbohydrates, root exudation to stimulate microbial activity, with each representing significant tree and ecosystem responses to environmental change. Thus, patterns in biomass partitioning and C allocation may not be consistent with respect to the tissue or ecosystem pool in question, which contributes to the current uncertainty in modelling tree growth responses to interacting climate change factors.</w:t>
      </w:r>
    </w:p>
    <w:p>
      <w:r>
        <w:br w:type="textWrapping"/>
      </w:r>
      <w:r>
        <w:t xml:space="preserve">We found that SMF increased with total plant size and surprisingly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As a result,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by eC</w:t>
      </w:r>
      <w:r>
        <w:rPr>
          <w:vertAlign w:val="subscript"/>
        </w:rPr>
        <w:t xml:space="preserve">a</w:t>
      </w:r>
      <w:r>
        <w:t xml:space="preserve"> </w:t>
      </w:r>
      <w:r>
        <w:t xml:space="preserve">which infers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negatively affected other tree or ecosystem processes, unrelated to stem production, which first decreased overall tree size.</w:t>
      </w:r>
    </w:p>
    <w:p>
      <w:r>
        <w:br w:type="textWrapping"/>
      </w:r>
      <w:r>
        <w:t xml:space="preserve">Contrary to expectation we found that both LMF and C allocation to leaves increased under eC</w:t>
      </w:r>
      <w:r>
        <w:rPr>
          <w:vertAlign w:val="subscript"/>
        </w:rPr>
        <w:t xml:space="preserve">a</w:t>
      </w:r>
      <w:r>
        <w:t xml:space="preserve">.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(see 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are known to increase in under eC~a</w:t>
      </w:r>
      <w:r>
        <w:t xml:space="preserve"> </w:t>
      </w:r>
      <w:r>
        <w:t xml:space="preserve">(Roden and Ball 1996, Picon et al. 1997, Poorter et al. 1997, Loewe et al. 2000, Walter et al. 2005)</w:t>
      </w:r>
      <w:r>
        <w:t xml:space="preserve">. Increased C allocation to leaves could result an increase in TNC, which could fulfil increased canopy respiratory demands or meet sink demands of other tissues. Contrary to stems, these results highlight how changes in tissue C allocation can respond to climate change factors without measureable effects on harvested biomass.</w:t>
      </w:r>
    </w:p>
    <w:p>
      <w:pPr>
        <w:pStyle w:val="Heading2"/>
      </w:pPr>
      <w:bookmarkStart w:id="45" w:name="tbca-response-to-climate-change-in-a-single-tree-ecosystem"/>
      <w:bookmarkEnd w:id="45"/>
      <w:r>
        <w:t xml:space="preserve">TBCA response to climate change in a single-tree ecosystem</w:t>
      </w:r>
    </w:p>
    <w:p>
      <w:r>
        <w:t xml:space="preserve">Despite increased attention of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under eC~a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 but the single tree ecosystem design of the WTC allowed us to evaluate the effects of climate change factors without the inherent environmental complexity of a forest community. The unique design of the WTC allowed us to track TBCA as a cumulative total and across daily time steps over an eleven month period, both of which should improve representation of C allocation in models.</w:t>
      </w:r>
    </w:p>
    <w:p>
      <w:r>
        <w:br w:type="textWrapping"/>
      </w:r>
      <w:r>
        <w:t xml:space="preserve">With high resolution flux data and reliable estimates of aboveground dry mass production we show that cumulative TBCA was not affected by eC</w:t>
      </w:r>
      <w:r>
        <w:rPr>
          <w:vertAlign w:val="subscript"/>
        </w:rPr>
        <w:t xml:space="preserve">a</w:t>
      </w:r>
      <w:r>
        <w:t xml:space="preserve"> </w:t>
      </w:r>
      <w:r>
        <w:t xml:space="preserve">or drought across the final eleven months of the experiment. Contrary to expectation, we detected minimal effects of eC</w:t>
      </w:r>
      <w:r>
        <w:rPr>
          <w:vertAlign w:val="subscript"/>
        </w:rPr>
        <w:t xml:space="preserve">a</w:t>
      </w:r>
      <w:r>
        <w:t xml:space="preserve"> </w:t>
      </w:r>
      <w:r>
        <w:t xml:space="preserve">or drought on root biomass partitioning, although we did not differentiate fine and coarse roots pools. Although our findings disagree with results from forested FACE experiments</w:t>
      </w:r>
      <w:r>
        <w:t xml:space="preserve"> </w:t>
      </w:r>
      <w:r>
        <w:t xml:space="preserve">(see Palmroth et al. 2006)</w:t>
      </w:r>
      <w:r>
        <w:t xml:space="preserve">, comparing a single tree ecosystem with evidence from forest ecosystem experiments should be made with caution. Nevertheless, we show that TBCA in Eucalyptus trees may be less sensitive to climate change factors than expected over a ~1 year period. However, a lack of cumulative change in TBCA does not necessarily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 [marshall1986drought; meier2008belowground], reduced root exudation</w:t>
      </w:r>
      <w:r>
        <w:t xml:space="preserve"> </w:t>
      </w:r>
      <w:r>
        <w:t xml:space="preserve">(Iversen and Norby 2014)</w:t>
      </w:r>
      <w:r>
        <w:t xml:space="preserve"> </w:t>
      </w:r>
      <w:r>
        <w:t xml:space="preserve">or reduced C demand via decreases in root respiration rates [burton1998]. Alternatively, the lack of belowground competition for soil mineral resources in this single tree system might have delayed enhancement of TBCA to eC</w:t>
      </w:r>
      <w:r>
        <w:rPr>
          <w:vertAlign w:val="subscript"/>
        </w:rPr>
        <w:t xml:space="preserve">a</w:t>
      </w:r>
      <w:r>
        <w:t xml:space="preserve"> </w:t>
      </w:r>
      <w:r>
        <w:t xml:space="preserve">treatments, such as enhanced root production and exudation.</w:t>
      </w:r>
    </w:p>
    <w:p>
      <w:r>
        <w:br w:type="textWrapping"/>
      </w:r>
      <w:r>
        <w:t xml:space="preserve">With estimations of daily aboveground C accrual and measured cumulative whole tree C flux we were then able to uniquely track dynamic short term effects of eC</w:t>
      </w:r>
      <w:r>
        <w:rPr>
          <w:vertAlign w:val="subscript"/>
        </w:rPr>
        <w:t xml:space="preserve">a</w:t>
      </w:r>
      <w:r>
        <w:t xml:space="preserve"> </w:t>
      </w:r>
      <w:r>
        <w:t xml:space="preserve">or drought on TBCA. Across daily time steps, we observed a relatively constant fraction of total tree C flux distributed to TBCA over a period of eleven months. The ability to calculate TBCA as a simple residual between observed aboveground processes gives us reliable estimates of the absolute amount of C distributed belowground each day, which appear to be insensitive to sustained eC</w:t>
      </w:r>
      <w:r>
        <w:rPr>
          <w:vertAlign w:val="subscript"/>
        </w:rPr>
        <w:t xml:space="preserve">a</w:t>
      </w:r>
      <w:r>
        <w:t xml:space="preserve"> </w:t>
      </w:r>
      <w:r>
        <w:t xml:space="preserve">fumigation 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residency time in any tissue or soil component. As a result, the consistency of TBCA across daily intervals along with lack of a cumulative response of TBCA raises questions about the regularity of belowground response to climate change often reported. Our results confirm the need for more reliable estimates of TBCA in future studies, which are crucial for predicting forest responses to climate change.</w:t>
      </w:r>
    </w:p>
    <w:p>
      <w:pPr>
        <w:pStyle w:val="Heading2"/>
      </w:pPr>
      <w:bookmarkStart w:id="46" w:name="summary"/>
      <w:bookmarkEnd w:id="46"/>
      <w:r>
        <w:t xml:space="preserve">Summary</w:t>
      </w:r>
    </w:p>
    <w:p>
      <w:pPr>
        <w:pStyle w:val="Heading1"/>
      </w:pPr>
      <w:bookmarkStart w:id="47" w:name="list-of-tables"/>
      <w:bookmarkEnd w:id="47"/>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8" w:name="list-of-figures"/>
      <w:bookmarkEnd w:id="48"/>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(boles + branches) (c) and roots (e) as a function of tree size, via total tree C mass. Treatment means of total C allocation to leaves (b) and stems (d) as a function of total aboveground net C flux. Root C allocation could not be estimated as root turnover was not known. Values for mass fractions and C allocation are estimated over the final eleven months of the experiment and total aboveground net C flux is the cumulative total over the same time period. Solid lines represent overall model fit for leaf, stem and root mass fractions (R</w:t>
      </w:r>
      <w:r>
        <w:rPr>
          <w:vertAlign w:val="superscript"/>
        </w:rPr>
        <w:t xml:space="preserve">2</w:t>
      </w:r>
      <w:r>
        <w:t xml:space="preserve"> </w:t>
      </w:r>
      <w:r>
        <w:t xml:space="preserve">= -0.57, 0.52 and 0.02,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9" w:name="tables"/>
      <w:bookmarkEnd w:id="49"/>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0" w:name="figures"/>
      <w:bookmarkEnd w:id="50"/>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5"/>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8" w:name="supporting-information"/>
      <w:bookmarkEnd w:id="58"/>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9"/>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60" w:name="references"/>
      <w:bookmarkEnd w:id="60"/>
      <w:r>
        <w:t xml:space="preserve">References</w:t>
      </w:r>
    </w:p>
    <w:p>
      <w:pPr>
        <w:pStyle w:val="Bibliography"/>
      </w:pPr>
      <w:r>
        <w:t xml:space="preserve">Abramowitz G (2005) Towards a benchmark for land surface models. Geophysical Research Letters 32</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1">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2">
        <w:r>
          <w:rPr>
            <w:rStyle w:val="Link"/>
          </w:rPr>
          <w:t xml:space="preserve">http://jxb.oxfordjournals.org/content/60/10/2859.abstract</w:t>
        </w:r>
      </w:hyperlink>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3">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4">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6">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7">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68">
        <w:r>
          <w:rPr>
            <w:rStyle w:val="Link"/>
          </w:rPr>
          <w:t xml:space="preserve">http://www.pnas.org/content/98/5/2479.abstract</w:t>
        </w:r>
      </w:hyperlink>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14ee483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6" Target="media/rId56.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hyperlink" Id="rId61" Target="http://aob.oxfordjournals.org/content/94/5/647.abstract" TargetMode="External" /><Relationship Type="http://schemas.openxmlformats.org/officeDocument/2006/relationships/hyperlink" Id="rId64" Target="http://dx.doi.org/10.1046/j.1365-3040.1997.d01-84.x" TargetMode="External" /><Relationship Type="http://schemas.openxmlformats.org/officeDocument/2006/relationships/hyperlink" Id="rId67" Target="http://dx.doi.org/10.1111/j.1365-2486.2005.00990.x" TargetMode="External" /><Relationship Type="http://schemas.openxmlformats.org/officeDocument/2006/relationships/hyperlink" Id="rId63" Target="http://jxb.oxfordjournals.org/content/48/8/1547.abstract" TargetMode="External" /><Relationship Type="http://schemas.openxmlformats.org/officeDocument/2006/relationships/hyperlink" Id="rId62" Target="http://jxb.oxfordjournals.org/content/60/10/2859.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8" Target="http://www.pnas.org/content/98/5/247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1" Target="http://aob.oxfordjournals.org/content/94/5/647.abstract" TargetMode="External" /><Relationship Type="http://schemas.openxmlformats.org/officeDocument/2006/relationships/hyperlink" Id="rId64" Target="http://dx.doi.org/10.1046/j.1365-3040.1997.d01-84.x" TargetMode="External" /><Relationship Type="http://schemas.openxmlformats.org/officeDocument/2006/relationships/hyperlink" Id="rId67" Target="http://dx.doi.org/10.1111/j.1365-2486.2005.00990.x" TargetMode="External" /><Relationship Type="http://schemas.openxmlformats.org/officeDocument/2006/relationships/hyperlink" Id="rId63" Target="http://jxb.oxfordjournals.org/content/48/8/1547.abstract" TargetMode="External" /><Relationship Type="http://schemas.openxmlformats.org/officeDocument/2006/relationships/hyperlink" Id="rId62" Target="http://jxb.oxfordjournals.org/content/60/10/2859.abstract" TargetMode="External" /><Relationship Type="http://schemas.openxmlformats.org/officeDocument/2006/relationships/hyperlink" Id="rId66" Target="http://www.plantphysiol.org/content/111/3/909.abstract" TargetMode="External" /><Relationship Type="http://schemas.openxmlformats.org/officeDocument/2006/relationships/hyperlink" Id="rId68" Target="http://www.pnas.org/content/98/5/2479.abstract" TargetMode="External" /><Relationship Type="http://schemas.openxmlformats.org/officeDocument/2006/relationships/hyperlink" Id="rId6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