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2"/>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the effects of global change on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predictions of C allocation are a weak link in current models</w:t>
      </w:r>
      <w:r>
        <w:t xml:space="preserve"> </w:t>
      </w:r>
      <w:r>
        <w:t xml:space="preserve">(McMurtrie and Dewar 2013)</w:t>
      </w:r>
      <w:r>
        <w:t xml:space="preserve">. The deficiency of large-scale models to allocate C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droughted enviroments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(2) As C uptake and growth should be coordinated over long time periods, we expected both total leaf area and harvested tree C mass to correlate with cumulative total aboveground net canopy C uptake.</w:t>
      </w:r>
    </w:p>
    <w:p>
      <w:r>
        <w:br w:type="textWrapping"/>
      </w:r>
      <w:r>
        <w:t xml:space="preserve">(3) As shifts in partitioning to root biomass were hypothesized, we expected TBCA to vary through time as cumultaive tree C flux was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to compare to harvested tree C mass, leaf area and C allocation above and belowground.</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Measured dry mass, length and basal area of harvested branches was used to determine the branch density as well as a geometric shape factor</w:t>
      </w:r>
      <w:r>
        <w:t xml:space="preserve"> </w:t>
      </w:r>
      <w:r>
        <w:t xml:space="preserve">(see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respresents the combined density of wood and bark and</w:t>
      </w:r>
      <w:r>
        <w:t xml:space="preserve"> </w:t>
      </w:r>
      <m:oMath>
        <m:r>
          <m:rPr>
            <m:sty m:val="p"/>
          </m:rPr>
          <m:t>ϕ</m:t>
        </m:r>
      </m:oMath>
      <w:r>
        <w:t xml:space="preserve"> </w:t>
      </w:r>
      <w:r>
        <w:t xml:space="preserve">corrects branch volume estimates to an intermediate shape between a cone and a cylinder.</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any survey point was the summed mass of all indiviudal branches.</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calculating-c-allocation-and-mass-partitioning"/>
      <w:bookmarkEnd w:id="33"/>
      <w:r>
        <w:t xml:space="preserve">Calculating C allocation and mass partitioning</w:t>
      </w:r>
    </w:p>
    <w:p>
      <w:r>
        <w:t xml:space="preserve">The effects of elevated C</w:t>
      </w:r>
      <w:r>
        <w:rPr>
          <w:vertAlign w:val="subscript"/>
        </w:rPr>
        <w:t xml:space="preserve">a</w:t>
      </w:r>
      <w:r>
        <w:t xml:space="preserve"> </w:t>
      </w:r>
      <w:r>
        <w:t xml:space="preserve">and drought on C mass paritioning The fractions of mass F</w:t>
      </w:r>
      <w:r>
        <w:rPr>
          <w:vertAlign w:val="subscript"/>
        </w:rPr>
        <w:t xml:space="preserve">m</w:t>
      </w:r>
      <w:r>
        <w:t xml:space="preserve"> </w:t>
      </w:r>
      <w:r>
        <w:t xml:space="preserve">at</w:t>
      </w:r>
    </w:p>
    <w:p>
      <m:oMathPara>
        <m:oMathParaPr>
          <m:jc m:val="center"/>
        </m:oMathParaPr>
        <m:oMath>
          <m:r>
            <m:rPr>
              <m:sty m:val="p"/>
            </m:rPr>
            <m:t>d</m:t>
          </m:r>
          <m:sSub>
            <m:e>
              <m:r>
                <m:rPr>
                  <m:sty m:val="p"/>
                </m:rPr>
                <m:t>M</m:t>
              </m:r>
            </m:e>
            <m:sub>
              <m:r>
                <m:rPr>
                  <m:sty m:val="p"/>
                </m:rPr>
                <m:t>f</m:t>
              </m:r>
            </m:sub>
          </m:sSub>
          <m:r>
            <m:rPr>
              <m:sty m:val="p"/>
            </m:rPr>
            <m:t>/</m:t>
          </m:r>
          <m:r>
            <m:rPr>
              <m:sty m:val="p"/>
            </m:rPr>
            <m:t>d</m:t>
          </m:r>
          <m:r>
            <m:rPr>
              <m:sty m:val="p"/>
            </m:rPr>
            <m:t>t</m:t>
          </m:r>
          <m:r>
            <m:rPr>
              <m:sty m:val="p"/>
            </m:rPr>
            <m:t>=</m:t>
          </m:r>
          <m:sSub>
            <m:e>
              <m:r>
                <m:rPr>
                  <m:sty m:val="p"/>
                </m:rPr>
                <m:t>a</m:t>
              </m:r>
            </m:e>
            <m:sub>
              <m:r>
                <m:rPr>
                  <m:sty m:val="p"/>
                </m:rPr>
                <m:t>f</m:t>
              </m:r>
            </m:sub>
          </m:sSub>
          <m:r>
            <m:rPr>
              <m:sty m:val="p"/>
            </m:rPr>
            <m:t> </m:t>
          </m:r>
          <m:sSub>
            <m:e>
              <m:r>
                <m:rPr>
                  <m:sty m:val="p"/>
                </m:rPr>
                <m:t>F</m:t>
              </m:r>
            </m:e>
            <m:sub>
              <m:r>
                <m:rPr>
                  <m:sty m:val="p"/>
                </m:rPr>
                <m:t>,</m:t>
              </m:r>
              <m:r>
                <m:rPr>
                  <m:sty m:val="p"/>
                </m:rPr>
                <m:t>c</m:t>
              </m:r>
              <m:r>
                <m:rPr>
                  <m:sty m:val="p"/>
                </m:rPr>
                <m:t>,</m:t>
              </m:r>
              <m:r>
                <m:rPr>
                  <m:sty m:val="p"/>
                </m:rPr>
                <m:t>d</m:t>
              </m:r>
            </m:sub>
          </m:sSub>
          <m:r>
            <m:rPr>
              <m:sty m:val="p"/>
            </m:rPr>
            <m:t>−</m:t>
          </m:r>
          <m:r>
            <m:rPr>
              <m:sty m:val="p"/>
            </m:rPr>
            <m:t>Λ</m:t>
          </m:r>
          <m:sSub>
            <m:e>
              <m:r>
                <m:rPr>
                  <m:sty m:val="p"/>
                </m:rPr>
                <m:t>M</m:t>
              </m:r>
            </m:e>
            <m:sub>
              <m:r>
                <m:rPr>
                  <m:sty m:val="p"/>
                </m:rPr>
                <m:t>f</m:t>
              </m:r>
            </m:sub>
          </m:sSub>
        </m:oMath>
      </m:oMathPara>
    </w:p>
    <w:p>
      <m:oMathPara>
        <m:oMathParaPr>
          <m:jc m:val="center"/>
        </m:oMathParaPr>
        <m:oMath>
          <m:sSub>
            <m:e>
              <m:r>
                <m:rPr>
                  <m:sty m:val="p"/>
                </m:rPr>
                <m:t>M</m:t>
              </m:r>
            </m:e>
            <m:sub>
              <m:r>
                <m:rPr>
                  <m:sty m:val="p"/>
                </m:rPr>
                <m:t>f</m:t>
              </m:r>
              <m:r>
                <m:rPr>
                  <m:sty m:val="p"/>
                </m:rPr>
                <m:t>,</m:t>
              </m:r>
              <m:r>
                <m:rPr>
                  <m:sty m:val="p"/>
                </m:rPr>
                <m:t>t</m:t>
              </m:r>
            </m:sub>
          </m:sSub>
          <m:r>
            <m:rPr>
              <m:sty m:val="p"/>
            </m:rPr>
            <m:t>=</m:t>
          </m:r>
          <m:r>
            <m:rPr>
              <m:sty m:val="p"/>
            </m:rPr>
            <m:t>∫</m:t>
          </m:r>
          <m:sSub>
            <m:e>
              <m:r>
                <m:rPr>
                  <m:sty m:val="p"/>
                </m:rPr>
                <m:t>a</m:t>
              </m:r>
            </m:e>
            <m:sub>
              <m:r>
                <m:rPr>
                  <m:sty m:val="p"/>
                </m:rPr>
                <m:t>f</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f</m:t>
              </m:r>
            </m:sub>
          </m:sSub>
        </m:oMath>
      </m:oMathPara>
    </w:p>
    <w:p>
      <m:oMathPara>
        <m:oMathParaPr>
          <m:jc m:val="center"/>
        </m:oMathParaPr>
        <m:oMath>
          <m:sSub>
            <m:e>
              <m:r>
                <m:rPr>
                  <m:sty m:val="p"/>
                </m:rPr>
                <m:t>M</m:t>
              </m:r>
            </m:e>
            <m:sub>
              <m:r>
                <m:rPr>
                  <m:sty m:val="p"/>
                </m:rPr>
                <m:t>f</m:t>
              </m:r>
              <m:r>
                <m:rPr>
                  <m:sty m:val="p"/>
                </m:rPr>
                <m:t>,</m:t>
              </m:r>
              <m:r>
                <m:rPr>
                  <m:sty m:val="p"/>
                </m:rPr>
                <m:t>t</m:t>
              </m:r>
            </m:sub>
          </m:sSub>
          <m:r>
            <m:rPr>
              <m:sty m:val="p"/>
            </m:rPr>
            <m:t>=</m:t>
          </m:r>
          <m:sSub>
            <m:e>
              <m:r>
                <m:rPr>
                  <m:sty m:val="p"/>
                </m:rPr>
                <m:t>a</m:t>
              </m:r>
            </m:e>
            <m:sub>
              <m:r>
                <m:rPr>
                  <m:sty m:val="p"/>
                </m:rPr>
                <m:t>f</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f</m:t>
              </m:r>
              <m:r>
                <m:rPr>
                  <m:sty m:val="p"/>
                </m:rPr>
                <m:t>,</m:t>
              </m:r>
              <m:r>
                <m:rPr>
                  <m:sty m:val="p"/>
                </m:rPr>
                <m:t>t</m:t>
              </m:r>
            </m:sub>
          </m:sSub>
        </m:oMath>
      </m:oMathPara>
    </w:p>
    <w:p>
      <m:oMathPara>
        <m:oMathParaPr>
          <m:jc m:val="center"/>
        </m:oMathParaPr>
        <m:oMath>
          <m:sSub>
            <m:e>
              <m:r>
                <m:rPr>
                  <m:sty m:val="p"/>
                </m:rPr>
                <m:t>a</m:t>
              </m:r>
            </m:e>
            <m:sub>
              <m:r>
                <m:rPr>
                  <m:sty m:val="p"/>
                </m:rPr>
                <m:t>f</m:t>
              </m:r>
            </m:sub>
          </m:sSub>
          <m:r>
            <m:rPr>
              <m:sty m:val="p"/>
            </m:rPr>
            <m:t>=</m:t>
          </m:r>
          <m:r>
            <m:rPr>
              <m:sty m:val="p"/>
            </m:rPr>
            <m:t>(</m:t>
          </m:r>
          <m:sSub>
            <m:e>
              <m:r>
                <m:rPr>
                  <m:sty m:val="p"/>
                </m:rPr>
                <m:t>M</m:t>
              </m:r>
            </m:e>
            <m:sub>
              <m:r>
                <m:rPr>
                  <m:sty m:val="p"/>
                </m:rPr>
                <m:t>f</m:t>
              </m:r>
              <m:r>
                <m:rPr>
                  <m:sty m:val="p"/>
                </m:rPr>
                <m:t>,</m:t>
              </m:r>
              <m:r>
                <m:rPr>
                  <m:sty m:val="p"/>
                </m:rPr>
                <m:t>t</m:t>
              </m:r>
            </m:sub>
          </m:sSub>
          <m:r>
            <m:rPr>
              <m:sty m:val="p"/>
            </m:rPr>
            <m:t>−</m:t>
          </m:r>
          <m:sSub>
            <m:e>
              <m:r>
                <m:rPr>
                  <m:sty m:val="p"/>
                </m:rPr>
                <m:t>L</m:t>
              </m:r>
            </m:e>
            <m:sub>
              <m:r>
                <m:rPr>
                  <m:sty m:val="p"/>
                </m:rPr>
                <m:t>f</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could be caluculated for leaves and abovegroend woody mass but not for R as we have no estimate of</w:t>
      </w:r>
      <w:r>
        <w:t xml:space="preserve"> </w:t>
      </w:r>
      <m:oMath>
        <m:r>
          <m:rPr>
            <m:sty m:val="p"/>
          </m:rPr>
          <m:t>Λ</m:t>
        </m:r>
      </m:oMath>
    </w:p>
    <w:p>
      <w:pPr>
        <w:pStyle w:val="Heading2"/>
      </w:pPr>
      <w:bookmarkStart w:id="34" w:name="total-belowground-carbon-allocation"/>
      <w:bookmarkEnd w:id="34"/>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5" w:name="mass-balance-relationships-between-textf_cd-and-c-allocation."/>
      <w:bookmarkEnd w:id="35"/>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 final</w:t>
      </w:r>
      <w:r>
        <w:t xml:space="preserve"> </w:t>
      </w:r>
      <m:oMath>
        <m:sSub>
          <m:e>
            <m:r>
              <m:rPr>
                <m:sty m:val="p"/>
              </m:rPr>
              <m:t>C</m:t>
            </m:r>
          </m:e>
          <m:sub>
            <m:r>
              <m:rPr>
                <m:sty m:val="p"/>
              </m:rPr>
              <m:t>a</m:t>
            </m:r>
            <m:r>
              <m:rPr>
                <m:sty m:val="p"/>
              </m:rPr>
              <m:t>b</m:t>
            </m:r>
          </m:sub>
        </m:sSub>
      </m:oMath>
      <w:r>
        <w:t xml:space="preserve">. At the end of the time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6" w:name="data-analysis"/>
      <w:bookmarkEnd w:id="36"/>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7" w:name="results"/>
      <w:bookmarkEnd w:id="37"/>
      <w:r>
        <w:t xml:space="preserve">Results</w:t>
      </w:r>
    </w:p>
    <w:p>
      <w:pPr>
        <w:pStyle w:val="Heading2"/>
      </w:pPr>
      <w:bookmarkStart w:id="38" w:name="total-aboveground-carbon-flux-leaf-area-and-whole-tree-carbon"/>
      <w:bookmarkEnd w:id="38"/>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 Integrated over the final 11 months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under eC</w:t>
      </w:r>
      <w:r>
        <w:rPr>
          <w:vertAlign w:val="subscript"/>
        </w:rPr>
        <w:t xml:space="preserve">a</w:t>
      </w:r>
      <w:r>
        <w:t xml:space="preserve"> </w:t>
      </w:r>
      <w:r>
        <w:t xml:space="preserve">(p &lt; 0.001), which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9" w:name="tree-carbon-mass-partitioning"/>
      <w:bookmarkEnd w:id="39"/>
      <w:r>
        <w:t xml:space="preserve">Tree carbon mass partitioning</w:t>
      </w:r>
    </w:p>
    <w:p>
      <w:r>
        <w:t xml:space="preserve">Carbon mass partitioning to individual tissue components, at then end of the experiment, was affected differentially by the C</w:t>
      </w:r>
      <w:r>
        <w:rPr>
          <w:vertAlign w:val="subscript"/>
        </w:rPr>
        <w:t xml:space="preserve">a</w:t>
      </w:r>
      <w:r>
        <w:t xml:space="preserve"> </w:t>
      </w:r>
      <w:r>
        <w:t xml:space="preserve">and drought treatments (Table 1). Aboveground woody C mass were (boles+branches) was reduced 37% under eC</w:t>
      </w:r>
      <w:r>
        <w:rPr>
          <w:vertAlign w:val="subscript"/>
        </w:rPr>
        <w:t xml:space="preserve">a</w:t>
      </w:r>
      <w:r>
        <w:t xml:space="preserve"> </w:t>
      </w:r>
      <w:r>
        <w:t xml:space="preserve">(P = 0.0151).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by the C</w:t>
      </w:r>
      <w:r>
        <w:rPr>
          <w:vertAlign w:val="subscript"/>
        </w:rPr>
        <w:t xml:space="preserve">a</w:t>
      </w:r>
      <w:r>
        <w:t xml:space="preserve"> </w:t>
      </w:r>
      <w:r>
        <w:t xml:space="preserve">and drought treatments.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4b). Root mass fraction was not affected by either treatment and was not correlated to whole tree C (Figure 4c). Integrated over the final 11 months of the experiment, LMF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Niether SMF nor RMF were correlated with adjusted F</w:t>
      </w:r>
      <w:r>
        <w:rPr>
          <w:vertAlign w:val="subscript"/>
        </w:rPr>
        <w:t xml:space="preserve">[c,t]</w:t>
      </w:r>
      <w:r>
        <w:t xml:space="preserve"> </w:t>
      </w:r>
      <w:r>
        <w:t xml:space="preserve">during this time period.</w:t>
      </w:r>
    </w:p>
    <w:p>
      <w:pPr>
        <w:pStyle w:val="Heading2"/>
      </w:pPr>
      <w:bookmarkStart w:id="40" w:name="tree-carbon-allocation"/>
      <w:bookmarkEnd w:id="40"/>
      <w:r>
        <w:t xml:space="preserve">Tree carbon allocation</w:t>
      </w:r>
    </w:p>
    <w:p>
      <w:pPr>
        <w:pStyle w:val="Heading2"/>
      </w:pPr>
      <w:bookmarkStart w:id="41" w:name="total-belowground-carbon-allocation-1"/>
      <w:bookmarkEnd w:id="41"/>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2" w:name="discussion"/>
      <w:bookmarkEnd w:id="42"/>
      <w:r>
        <w:t xml:space="preserve">Discussion</w:t>
      </w:r>
    </w:p>
    <w:p>
      <w:pPr>
        <w:pStyle w:val="Heading2"/>
      </w:pPr>
      <w:bookmarkStart w:id="43" w:name="tbca"/>
      <w:bookmarkEnd w:id="43"/>
      <w:r>
        <w:t xml:space="preserve">TBCA</w:t>
      </w:r>
    </w:p>
    <w:p>
      <w:r>
        <w:t xml:space="preserve">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-0.57, 0.52 and 0.02,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98938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