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were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3</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for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to the interaction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CO_2, N, and diversity on total belowground carbon allocation and ecosystem carbon storage in a grassland community. Ecosystems 12:1037–1052.</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Amthor JS (1994) Scaling CO_2-photosynthesis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CO_2-enriched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[CO_2]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[CO_2]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CO_2: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[CO_2]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CO_2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CO_2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CO_2.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CO_2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[CO_2]-induced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CO_2 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CO_2,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CO_2 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[CO_2]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CO_2 in seedlings of five boreal tree species. New Phytologist 140:197–210.</w:t>
      </w:r>
    </w:p>
    <w:p>
      <w:pPr>
        <w:pStyle w:val="Bibliography"/>
      </w:pPr>
      <w:r>
        <w:t xml:space="preserve">Walter A, Christ MM, Barron-gafford GA, Grieve KA, Murthy R, Rascher U (2005) The effect of elevated CO_2 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CO_2.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CO_2 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c7e455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