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tree carbon (C) allocation above and belowground remains a difficult empirical task and is thus challenging to capture in applied models of forest C cycling. Understanding how global change impacts the distribution of tree photosynthetic is an essential process in determining future terrestrial C balance. This study investigated how treatment manipulations of CO</w:t>
      </w:r>
      <w:r>
        <w:rPr>
          <w:vertAlign w:val="subscript"/>
        </w:rPr>
        <w:t xml:space="preserve">2</w:t>
      </w:r>
      <w:r>
        <w:t xml:space="preserve"> </w:t>
      </w:r>
      <w:r>
        <w:t xml:space="preserve">and drought affected the partitioning of photosynthetic C to biomass components of</w:t>
      </w:r>
      <w:r>
        <w:t xml:space="preserve"> </w:t>
      </w:r>
      <w:r>
        <w:rPr>
          <w:i/>
        </w:rPr>
        <w:t xml:space="preserve">Eucalyptus tereticornis</w:t>
      </w:r>
      <w:r>
        <w:t xml:space="preserve"> </w:t>
      </w:r>
      <w:r>
        <w:t xml:space="preserve">trees grown in climate-controlled whole tree chambers (WTC). It was hypothesized that that both drought and elevated CO</w:t>
      </w:r>
      <w:r>
        <w:rPr>
          <w:vertAlign w:val="subscript"/>
        </w:rPr>
        <w:t xml:space="preserve">2</w:t>
      </w:r>
      <w:r>
        <w:t xml:space="preserve"> </w:t>
      </w:r>
      <w:r>
        <w:t xml:space="preserve">would alter partitioning of C among biomass components. We then utilized the WTC design to provide measurements of aboveground net CO</w:t>
      </w:r>
      <w:r>
        <w:rPr>
          <w:vertAlign w:val="subscript"/>
        </w:rPr>
        <w:t xml:space="preserve">2</w:t>
      </w:r>
      <w:r>
        <w:t xml:space="preserve"> </w:t>
      </w:r>
      <w:r>
        <w:t xml:space="preserve">flux, which were expected to correlate to harvested tree C mass. For each WTC, total belowground C allocation was then calculated as the residual between the aboveground net CO</w:t>
      </w:r>
      <w:r>
        <w:rPr>
          <w:vertAlign w:val="subscript"/>
        </w:rPr>
        <w:t xml:space="preserve">2</w:t>
      </w:r>
      <w:r>
        <w:t xml:space="preserve"> </w:t>
      </w:r>
      <w:r>
        <w:t xml:space="preserve">flux and aboveground C mass. At the end of the experiment we observed that C allocation to aboveground woody tissue components was affected by the climate change treatments, while allocation to leaves and roots were not affected. The measured cumulative aboveground tree net CO</w:t>
      </w:r>
      <w:r>
        <w:rPr>
          <w:vertAlign w:val="subscript"/>
        </w:rPr>
        <w:t xml:space="preserve">2</w:t>
      </w:r>
      <w:r>
        <w:t xml:space="preserve">, after 18 months, correlated positively to both whole tree C mass and mean leaf area over the study period. Additionally, over the final 11 months of the experiment the daily fraction of C uptake allocated belowground remained relatively constant, regardless of climate change treatment or tree size. These results reveal how elevated CO</w:t>
      </w:r>
      <w:r>
        <w:rPr>
          <w:vertAlign w:val="subscript"/>
        </w:rPr>
        <w:t xml:space="preserve">2</w:t>
      </w:r>
      <w:r>
        <w:t xml:space="preserve"> </w:t>
      </w:r>
      <w:r>
        <w:t xml:space="preserve">and drought can impact the investment of photosynthetic C in a Eucalypt tree species and provide further empirical evidence to aid model predictions of forest productivity. The WTC also provide a novel framework to evaluate C allocation belowground.</w:t>
      </w:r>
    </w:p>
    <w:p>
      <w:pPr>
        <w:pStyle w:val="Heading1"/>
      </w:pPr>
      <w:bookmarkStart w:id="23" w:name="key-words"/>
      <w:bookmarkEnd w:id="23"/>
      <w:r>
        <w:t xml:space="preserve">Key Words</w:t>
      </w:r>
    </w:p>
    <w:p>
      <w:r>
        <w:t xml:space="preserve">carbon allocation, whole tree chambers,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w:t>
      </w:r>
      <w:r>
        <w:rPr>
          <w:vertAlign w:val="subscript"/>
        </w:rPr>
        <w:t xml:space="preserve">a</w:t>
      </w:r>
      <w:r>
        <w:t xml:space="preserve"> </w:t>
      </w:r>
      <w:r>
        <w:t xml:space="preserve">did not change. Alternatively, total belowground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Total belowground C allocation is often estimated by subtracting the changes in C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Consequently, the representation of C allocation is rudimentary compared to photosynthesis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 to a particular component, are often used in process-based models of forest C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 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A and respiration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provides near constant annual production enables tree C allocation to be tracked over long periods of time. This experimental system can then be used to validate models that scale leaf A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w:t>
      </w:r>
      <w:r>
        <w:rPr>
          <w:vertAlign w:val="subscript"/>
        </w:rPr>
        <w:t xml:space="preserve">a</w:t>
      </w:r>
      <w:r>
        <w:t xml:space="preserve"> </w:t>
      </w:r>
      <w:r>
        <w:t xml:space="preserve">were smaller than ambient trees and also that larger trees had a smaller reduction in canopy transpiration in drought conditions, via deeper rooting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to track the distribution of C above and belowground across the final eleven months of the experiment.</w:t>
      </w:r>
    </w:p>
    <w:p>
      <w:r>
        <w:br w:type="textWrapping"/>
      </w:r>
      <w:r>
        <w:t xml:space="preserve">(1) Overall, the effects of drought and elevated C</w:t>
      </w:r>
      <w:r>
        <w:rPr>
          <w:vertAlign w:val="subscript"/>
        </w:rPr>
        <w:t xml:space="preserve">a</w:t>
      </w:r>
      <w:r>
        <w:t xml:space="preserve"> </w:t>
      </w:r>
      <w:r>
        <w:t xml:space="preserve">were expected to alter partitioning of C among biomass components.</w:t>
      </w:r>
    </w:p>
    <w:p>
      <w:r>
        <w:br w:type="textWrapping"/>
      </w:r>
      <w:r>
        <w:t xml:space="preserve">(2) As carbon uptake and growth must be coordinated over long time periods, we expected harvested tree C mass to correlate with cumulative total aboveground net canopy C uptake.</w:t>
      </w:r>
    </w:p>
    <w:p>
      <w:r>
        <w:br w:type="textWrapping"/>
      </w:r>
      <w:r>
        <w:t xml:space="preserve">(3) Hypothesis about expectations from daily fluxes and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grow freely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cumulative daily C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generated over the last year of the experiment to compare with C allocation above and belowground.</w:t>
      </w:r>
    </w:p>
    <w:p>
      <w:pPr>
        <w:pStyle w:val="Heading2"/>
      </w:pPr>
      <w:bookmarkStart w:id="28" w:name="harvested-tree-carbon-mass"/>
      <w:bookmarkEnd w:id="28"/>
      <w:r>
        <w:t xml:space="preserve">Harvested tree carbon mass</w:t>
      </w:r>
    </w:p>
    <w:p>
      <w:r>
        <w:t xml:space="preserve">A final destructive harvest was completed in March 2009. Each tree was harvested across 5 canopy layers, set from the floor height and extended through the top of the canopy. Dry biomass of leaves, branches and boles were measured for each layer and summed for each WTC. Root mass was obtained by excavating and sieving all soil inside each root exclusion barrier to the hard layer. Five roots cores (10 mm diameter), sampled before the harvest,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 mass was calculated by multiplying harvested or estimated biomass by the WTC specific mean leaf C content (%). Leaf C content was determined from a sub-sample of final harvest dried and milled leaves analyzed using a Leco TruSpec Micro elemental analyzer (LECO corporation, MI, USA). Mass fractions of leaves, boles+branches and roots were calculated by dividing their respective C mass by total C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reference diameter.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recorded as described above and 1 cm sections were removed from the bole at regular intervals between diameter measurements.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top section was calculated as a cone with a tip radius of .001 cm. The volume below the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stem sections with taper assumed as above. All bole volume units were then summed (including forked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First, the basal area and length of every individual branch was from the final harvest was multipled to estimate individual branch volume, which was summed for each tree (V</w:t>
      </w:r>
      <w:r>
        <w:rPr>
          <w:vertAlign w:val="subscript"/>
        </w:rPr>
        <w:t xml:space="preserve">br</w:t>
      </w:r>
      <w:r>
        <w:t xml:space="preserve">, cm</w:t>
      </w:r>
      <w:r>
        <w:rPr>
          <w:vertAlign w:val="superscript"/>
        </w:rPr>
        <w:t xml:space="preserve">3</w:t>
      </w:r>
      <w:r>
        <w:t xml:space="preserve">). The product of two parameters, a geometric form factor from Makela et al.</w:t>
      </w:r>
      <w:r>
        <w:t xml:space="preserve"> </w:t>
      </w:r>
      <w:r>
        <w:t xml:space="preserve">(1997)</w:t>
      </w:r>
      <w:r>
        <w:t xml:space="preserve"> </w:t>
      </w:r>
      <w:r>
        <w:t xml:space="preserve">(</w:t>
      </w:r>
      <m:oMath>
        <m:sSub>
          <m:e>
            <m:r>
              <m:rPr>
                <m:sty m:val="p"/>
              </m:rPr>
              <m:t>ϕ</m:t>
            </m:r>
          </m:e>
          <m:sub>
            <m:r>
              <m:rPr>
                <m:sty m:val="p"/>
              </m:rPr>
              <m:t>b</m:t>
            </m:r>
            <m:r>
              <m:rPr>
                <m:sty m:val="p"/>
              </m:rPr>
              <m:t>r</m:t>
            </m:r>
          </m:sub>
        </m:sSub>
      </m:oMath>
      <w:r>
        <w:t xml:space="preserve">) and the total branch density (</w:t>
      </w:r>
      <m:oMath>
        <m:sSub>
          <m:e>
            <m:r>
              <m:rPr>
                <m:sty m:val="p"/>
              </m:rPr>
              <m:t>ρ</m:t>
            </m:r>
          </m:e>
          <m:sub>
            <m:r>
              <m:rPr>
                <m:sty m:val="p"/>
              </m:rPr>
              <m:t>b</m:t>
            </m:r>
            <m:r>
              <m:rPr>
                <m:sty m:val="p"/>
              </m:rPr>
              <m:t>r</m:t>
            </m:r>
          </m:sub>
        </m:sSub>
      </m:oMath>
      <w:r>
        <w:t xml:space="preserve">, g cm</w:t>
      </w:r>
      <w:r>
        <w:rPr>
          <w:vertAlign w:val="superscript"/>
        </w:rPr>
        <w:t xml:space="preserve">-3</w:t>
      </w:r>
      <w:r>
        <w:t xml:space="preserve">) was calculated as:</w:t>
      </w:r>
    </w:p>
    <w:p>
      <w:r>
        <w:br w:type="textWrapping"/>
      </w:r>
      <w:r>
        <w:t xml:space="preserve">(1)</w:t>
      </w:r>
    </w:p>
    <w:p>
      <m:oMathPara>
        <m:oMathParaPr>
          <m:jc m:val="center"/>
        </m:oMathParaPr>
        <m:oMath>
          <m:sSub>
            <m:e>
              <m:r>
                <m:rPr>
                  <m:sty m:val="p"/>
                </m:rPr>
                <m:t>ϕ</m:t>
              </m:r>
            </m:e>
            <m:sub>
              <m:r>
                <m:rPr>
                  <m:sty m:val="p"/>
                </m:rPr>
                <m:t>b</m:t>
              </m:r>
              <m:r>
                <m:rPr>
                  <m:sty m:val="p"/>
                </m:rPr>
                <m:t>r</m:t>
              </m:r>
            </m:sub>
          </m:sSub>
          <m:sSub>
            <m:e>
              <m:r>
                <m:rPr>
                  <m:sty m:val="p"/>
                </m:rPr>
                <m:t>ρ</m:t>
              </m:r>
            </m:e>
            <m:sub>
              <m:r>
                <m:rPr>
                  <m:sty m:val="p"/>
                </m:rPr>
                <m:t>b</m:t>
              </m:r>
              <m:r>
                <m:rPr>
                  <m:sty m:val="p"/>
                </m:rPr>
                <m:t>r</m:t>
              </m:r>
            </m:sub>
          </m:sSub>
          <m:r>
            <m:rPr>
              <m:sty m:val="p"/>
            </m:rPr>
            <m:t>=</m:t>
          </m:r>
          <m:f>
            <m:fPr>
              <m:type m:val="bar"/>
            </m:fPr>
            <m:num>
              <m:sSub>
                <m:e>
                  <m:r>
                    <m:rPr>
                      <m:sty m:val="p"/>
                    </m:rPr>
                    <m:t>M</m:t>
                  </m:r>
                </m:e>
                <m:sub>
                  <m:r>
                    <m:rPr>
                      <m:sty m:val="p"/>
                    </m:rPr>
                    <m:t>b</m:t>
                  </m:r>
                  <m:r>
                    <m:rPr>
                      <m:sty m:val="p"/>
                    </m:rPr>
                    <m:t>r</m:t>
                  </m:r>
                </m:sub>
              </m:sSub>
            </m:num>
            <m:den>
              <m:sSub>
                <m:e>
                  <m:r>
                    <m:rPr>
                      <m:sty m:val="p"/>
                    </m:rPr>
                    <m:t>V</m:t>
                  </m:r>
                </m:e>
                <m:sub>
                  <m:r>
                    <m:rPr>
                      <m:sty m:val="p"/>
                    </m:rPr>
                    <m:t>b</m:t>
                  </m:r>
                  <m:r>
                    <m:rPr>
                      <m:sty m:val="p"/>
                    </m:rPr>
                    <m:t>r</m:t>
                  </m:r>
                </m:sub>
              </m:sSub>
            </m:den>
          </m:f>
        </m:oMath>
      </m:oMathPara>
    </w:p>
    <w:p>
      <w:r>
        <w:t xml:space="preserve">where M</w:t>
      </w:r>
      <w:r>
        <w:rPr>
          <w:vertAlign w:val="subscript"/>
        </w:rPr>
        <w:t xml:space="preserve">br</w:t>
      </w:r>
      <w:r>
        <w:t xml:space="preserve"> </w:t>
      </w:r>
      <w:r>
        <w:t xml:space="preserve">is summed dry mass of harvested branches,</w:t>
      </w:r>
      <w:r>
        <w:t xml:space="preserve"> </w:t>
      </w:r>
      <m:oMath>
        <m:r>
          <m:rPr>
            <m:sty m:val="p"/>
          </m:rPr>
          <m:t>ϕ</m:t>
        </m:r>
      </m:oMath>
      <w:r>
        <w:t xml:space="preserve"> </w:t>
      </w:r>
      <w:r>
        <w:t xml:space="preserve">corrects branch volume estimates to an intermediate shape between a cone and a cylinder and</w:t>
      </w:r>
      <w:r>
        <w:t xml:space="preserve"> </w:t>
      </w:r>
      <m:oMath>
        <m:sSub>
          <m:e>
            <m:r>
              <m:rPr>
                <m:sty m:val="p"/>
              </m:rPr>
              <m:t>ρ</m:t>
            </m:r>
          </m:e>
          <m:sub>
            <m:r>
              <m:rPr>
                <m:sty m:val="p"/>
              </m:rPr>
              <m:t>b</m:t>
            </m:r>
            <m:r>
              <m:rPr>
                <m:sty m:val="p"/>
              </m:rPr>
              <m:t>r</m:t>
            </m:r>
          </m:sub>
        </m:sSub>
      </m:oMath>
      <w:r>
        <w:t xml:space="preserve"> </w:t>
      </w:r>
      <w:r>
        <w:t xml:space="preserve">resprsents the combined density of wood and bark.</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the product of</w:t>
      </w:r>
      <w:r>
        <w:t xml:space="preserve"> </w:t>
      </w:r>
      <m:oMath>
        <m:sSub>
          <m:e>
            <m:r>
              <m:rPr>
                <m:sty m:val="p"/>
              </m:rPr>
              <m:t>ϕ</m:t>
            </m:r>
          </m:e>
          <m:sub>
            <m:r>
              <m:rPr>
                <m:sty m:val="p"/>
              </m:rPr>
              <m:t>b</m:t>
            </m:r>
            <m:r>
              <m:rPr>
                <m:sty m:val="p"/>
              </m:rPr>
              <m:t>r</m:t>
            </m:r>
          </m:sub>
        </m:sSub>
      </m:oMath>
      <w:r>
        <w:t xml:space="preserve"> </w:t>
      </w:r>
      <w:r>
        <w:t xml:space="preserve">and</w:t>
      </w:r>
      <w:r>
        <w:t xml:space="preserve"> </w:t>
      </w:r>
      <m:oMath>
        <m:sSub>
          <m:e>
            <m:r>
              <m:rPr>
                <m:sty m:val="p"/>
              </m:rPr>
              <m:t>ρ</m:t>
            </m:r>
          </m:e>
          <m:sub>
            <m:r>
              <m:rPr>
                <m:sty m:val="p"/>
              </m:rPr>
              <m:t>b</m:t>
            </m:r>
            <m:r>
              <m:rPr>
                <m:sty m:val="p"/>
              </m:rPr>
              <m:t>r</m:t>
            </m:r>
          </m:sub>
        </m:sSub>
      </m:oMath>
      <w:r>
        <w:t xml:space="preserve">, specific to each WTC. We assumed that</w:t>
      </w:r>
      <w:r>
        <w:t xml:space="preserve"> </w:t>
      </w:r>
      <m:oMath>
        <m:sSub>
          <m:e>
            <m:r>
              <m:rPr>
                <m:sty m:val="p"/>
              </m:rPr>
              <m:t>ρ</m:t>
            </m:r>
          </m:e>
          <m:sub>
            <m:r>
              <m:rPr>
                <m:sty m:val="p"/>
              </m:rPr>
              <m:t>b</m:t>
            </m:r>
            <m:r>
              <m:rPr>
                <m:sty m:val="p"/>
              </m:rPr>
              <m:t>r</m:t>
            </m:r>
          </m:sub>
        </m:sSub>
      </m:oMath>
      <w:r>
        <w:t xml:space="preserve"> </w:t>
      </w:r>
      <w:r>
        <w:t xml:space="preserve">did not change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d</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total belowground C allocation (TBCA) at any time point was able to be calculated as:</w:t>
      </w:r>
    </w:p>
    <w:p>
      <w:r>
        <w:br w:type="textWrapping"/>
      </w:r>
      <w:r>
        <w:t xml:space="preserve">(4)</w:t>
      </w:r>
    </w:p>
    <w:p>
      <m:oMathPara>
        <m:oMathParaPr>
          <m:jc m:val="center"/>
        </m:oMathParaPr>
        <m:oMath>
          <m:r>
            <m:rPr>
              <m:sty m:val="p"/>
            </m:rPr>
            <m:t>T</m:t>
          </m:r>
          <m:r>
            <m:rPr>
              <m:sty m:val="p"/>
            </m:rPr>
            <m:t>B</m:t>
          </m:r>
          <m:r>
            <m:rPr>
              <m:sty m:val="p"/>
            </m:rPr>
            <m:t>C</m:t>
          </m:r>
          <m:r>
            <m:rPr>
              <m:sty m:val="p"/>
            </m:rPr>
            <m:t>A</m:t>
          </m:r>
          <m:r>
            <m:rPr>
              <m:sty m:val="p"/>
            </m:rPr>
            <m:t>=</m:t>
          </m:r>
          <m:r>
            <m:rPr>
              <m:sty m:val="p"/>
            </m:rPr>
            <m:t>∫</m:t>
          </m:r>
          <m:sSub>
            <m:e>
              <m:r>
                <m:rPr>
                  <m:sty m:val="p"/>
                </m:rPr>
                <m:t>F</m:t>
              </m:r>
            </m:e>
            <m:sub>
              <m:r>
                <m:rPr>
                  <m:sty m:val="p"/>
                </m:rPr>
                <m:t>c</m:t>
              </m:r>
              <m:r>
                <m:rPr>
                  <m:sty m:val="p"/>
                </m:rPr>
                <m:t>,</m:t>
              </m:r>
              <m:r>
                <m:rPr>
                  <m:sty m:val="p"/>
                </m:rPr>
                <m:t>t</m:t>
              </m:r>
            </m:sub>
          </m:sSub>
          <m:r>
            <m:rPr>
              <m:sty m:val="p"/>
            </m:rPr>
            <m:t>(</m:t>
          </m:r>
          <m:r>
            <m:rPr>
              <m:sty m:val="p"/>
            </m:rPr>
            <m:t>d</m:t>
          </m:r>
          <m:r>
            <m:rPr>
              <m:sty m:val="p"/>
            </m:rPr>
            <m:t>t</m:t>
          </m:r>
          <m:r>
            <m:rPr>
              <m:sty m:val="p"/>
            </m:rPr>
            <m: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each tree aboveground minus respiration of leaves, stems and branches and</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cumulative leaf litterfall at final harvest.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soil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 mass balance were visualized by combining estimates of bole, branch, leaf and litterfall C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 uptake for each WTC. The allocation of C to boles and branches were seen by linear interpolation between survey measurements and the final harvest. Daily modeled estimates of leaf and litter C were then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Importantly,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eC</w:t>
      </w:r>
      <w:r>
        <w:rPr>
          <w:vertAlign w:val="subscript"/>
        </w:rPr>
        <w:t xml:space="preserve">a</w:t>
      </w:r>
      <w:r>
        <w:t xml:space="preserve"> </w:t>
      </w:r>
      <w:r>
        <w:t xml:space="preserve">(P = 0.043), while no effects of the drought treatment were detected. Similarly, both whole tree C and</w:t>
      </w:r>
      <w:r>
        <w:t xml:space="preserve"> </w:t>
      </w:r>
      <m:oMath>
        <m:sSub>
          <m:e>
            <m:r>
              <m:rPr>
                <m:sty m:val="p"/>
              </m:rPr>
              <m:t>C</m:t>
            </m:r>
          </m:e>
          <m:sub>
            <m:r>
              <m:rPr>
                <m:sty m:val="p"/>
              </m:rPr>
              <m:t>a</m:t>
            </m:r>
            <m:r>
              <m:rPr>
                <m:sty m:val="p"/>
              </m:rPr>
              <m:t>b</m:t>
            </m:r>
          </m:sub>
        </m:sSub>
      </m:oMath>
      <w:r>
        <w:t xml:space="preserve"> </w:t>
      </w:r>
      <w:r>
        <w:t xml:space="preserve">were reduced under eC</w:t>
      </w:r>
      <w:r>
        <w:rPr>
          <w:vertAlign w:val="subscript"/>
        </w:rPr>
        <w:t xml:space="preserve">a</w:t>
      </w:r>
      <w:r>
        <w:t xml:space="preserve"> </w:t>
      </w:r>
      <w:r>
        <w:t xml:space="preserve">by ca. 32 % (both P &lt; 0.03). Leaf area at the final harvest was significantly reduced by by 31.3% under eC</w:t>
      </w:r>
      <w:r>
        <w:rPr>
          <w:vertAlign w:val="subscript"/>
        </w:rPr>
        <w:t xml:space="preserve">a</w:t>
      </w:r>
      <w:r>
        <w:t xml:space="preserve"> </w:t>
      </w:r>
      <w:r>
        <w:t xml:space="preserve">(p &lt; 0.001), which was evident across the final eleven months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w:t>
      </w:r>
      <w:r>
        <w:rPr>
          <w:vertAlign w:val="subscript"/>
        </w:rPr>
        <w:t xml:space="preserve">a</w:t>
      </w:r>
      <w:r>
        <w:t xml:space="preserve"> </w:t>
      </w:r>
      <w:r>
        <w:t xml:space="preserve">and drought treatments (Table 1). There was a marginal interaction of eC</w:t>
      </w:r>
      <w:r>
        <w:rPr>
          <w:vertAlign w:val="subscript"/>
        </w:rPr>
        <w:t xml:space="preserve">a</w:t>
      </w:r>
      <w:r>
        <w:t xml:space="preserve"> </w:t>
      </w:r>
      <w:r>
        <w:t xml:space="preserve">and drought on harvested bole C mass (p = 0.075). Elevated CO</w:t>
      </w:r>
      <w:r>
        <w:rPr>
          <w:vertAlign w:val="subscript"/>
        </w:rPr>
        <w:t xml:space="preserve">2</w:t>
      </w:r>
      <w:r>
        <w:t xml:space="preserve"> </w:t>
      </w:r>
      <w:r>
        <w:t xml:space="preserve">reduced bole C mass only in wet treatments (P = 0.041), while drought reduced bole C mass in ambient CO</w:t>
      </w:r>
      <w:r>
        <w:rPr>
          <w:vertAlign w:val="subscript"/>
        </w:rPr>
        <w:t xml:space="preserve">2</w:t>
      </w:r>
      <w:r>
        <w:t xml:space="preserve"> </w:t>
      </w:r>
      <w:r>
        <w:t xml:space="preserve">treatments only (P = 0.051). Total branch C mass was marginally reduced under eC</w:t>
      </w:r>
      <w:r>
        <w:rPr>
          <w:vertAlign w:val="subscript"/>
        </w:rPr>
        <w:t xml:space="preserve">a</w:t>
      </w:r>
      <w:r>
        <w:t xml:space="preserve"> </w:t>
      </w:r>
      <w:r>
        <w:t xml:space="preserve">(P = 0.086) but was not affected by drought. Neither leaf or litterfall C mass were affected by C</w:t>
      </w:r>
      <w:r>
        <w:rPr>
          <w:vertAlign w:val="subscript"/>
        </w:rPr>
        <w:t xml:space="preserve">a</w:t>
      </w:r>
      <w:r>
        <w:t xml:space="preserve"> </w:t>
      </w:r>
      <w:r>
        <w:t xml:space="preserve">and drought treatments. Total root C mass was marginally reduced under eC</w:t>
      </w:r>
      <w:r>
        <w:rPr>
          <w:vertAlign w:val="subscript"/>
        </w:rPr>
        <w:t xml:space="preserve">a</w:t>
      </w:r>
      <w:r>
        <w:t xml:space="preserve"> </w:t>
      </w:r>
      <w:r>
        <w:t xml:space="preserve">(P = 0.091) but not affected by drought.</w:t>
      </w:r>
    </w:p>
    <w:p>
      <w:r>
        <w:br w:type="textWrapping"/>
      </w:r>
      <w:r>
        <w:t xml:space="preserve">Final LMF was increased by 15.2% under eC</w:t>
      </w:r>
      <w:r>
        <w:rPr>
          <w:vertAlign w:val="subscript"/>
        </w:rPr>
        <w:t xml:space="preserve">a</w:t>
      </w:r>
      <w:r>
        <w:t xml:space="preserve"> </w:t>
      </w:r>
      <w:r>
        <w:t xml:space="preserve">(P = 0.031) but was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6). Total belowground C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r>
        <w:rPr>
          <w:b/>
        </w:rPr>
        <w:t xml:space="preserve">Table 1</w:t>
      </w:r>
      <w:r>
        <w:t xml:space="preserve">. Final harvest C mass of above and belowground tissues and cumulative aboveground tree C flux. Each value represents the mean (± 1 standard error) for each treatment combination and units for all values are g C. For each component, different letters represent significant differences between treatments with the overall model which includes C</w:t>
      </w:r>
      <w:r>
        <w:rPr>
          <w:vertAlign w:val="subscript"/>
        </w:rPr>
        <w:t xml:space="preserve">a</w:t>
      </w:r>
      <w:r>
        <w:t xml:space="preserve"> </w:t>
      </w:r>
      <w:r>
        <w:t xml:space="preserve">* Drought interactions. Each P value represent overall differences within individual components of the main treatment effects of the C</w:t>
      </w:r>
      <w:r>
        <w:rPr>
          <w:vertAlign w:val="subscript"/>
        </w:rPr>
        <w:t xml:space="preserve">a</w:t>
      </w:r>
      <w:r>
        <w:t xml:space="preserve"> </w:t>
      </w:r>
      <w:r>
        <w:t xml:space="preserve">or Drought and treatment interactions of eC</w:t>
      </w:r>
      <w:r>
        <w:rPr>
          <w:vertAlign w:val="subscript"/>
        </w:rPr>
        <w:t xml:space="preserve">a</w:t>
      </w:r>
      <w:r>
        <w:t xml:space="preserve"> </w:t>
      </w:r>
      <w:r>
        <w:t xml:space="preserve">and Drought.</w:t>
      </w:r>
    </w:p>
    <w:p>
      <w:pPr>
        <w:pStyle w:val="Heading1"/>
      </w:pPr>
      <w:bookmarkStart w:id="42" w:name="list-of-figures"/>
      <w:bookmarkEnd w:id="42"/>
      <w:r>
        <w:t xml:space="preserve">List of Figures</w:t>
      </w:r>
    </w:p>
    <w:p>
      <w:r>
        <w:rPr>
          <w:b/>
        </w:rPr>
        <w:t xml:space="preserve">Figure 1</w:t>
      </w:r>
      <w:r>
        <w:t xml:space="preserve">. Treatment means of harvested whole tree carbon mass (a) and aboveground carbon mass (b) as a function of cumulative aboveground C flux over the final year of the experiment. The dotted line is the 1:1 relationship and the solid lines represent the significant linear model fit for whole tree C (R</w:t>
      </w:r>
      <w:r>
        <w:rPr>
          <w:vertAlign w:val="superscript"/>
        </w:rPr>
        <w:t xml:space="preserve">2</w:t>
      </w:r>
      <w:r>
        <w:t xml:space="preserve"> </w:t>
      </w:r>
      <w:r>
        <w:t xml:space="preserve">= 0.86) and aboveground C mass (R^2 = 0.78).</w:t>
      </w:r>
    </w:p>
    <w:p>
      <w:r>
        <w:br w:type="textWrapping"/>
      </w:r>
      <w:r>
        <w:rPr>
          <w:b/>
        </w:rPr>
        <w:t xml:space="preserve">Figure 2</w:t>
      </w:r>
      <w:r>
        <w:t xml:space="preserve">. Estimated canopy leaf area for each WTC tree over the final eleven months of the experiment (April 2008 to March 2009).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aboveground C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 mass fractions of leaves (a), boles + branches (b) and roots (c) at final harvest as a function of tree size, via total tree carbon mass.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aboveground C flux and additive C allocation to individual tree components from 2008-4-15 to 2009-3-16. Each panel represents mean values for each treatment combination (n=3).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aboveground C flux, total belowground c allocation, and the residual belowground C flux at the final harvest.</w:t>
      </w:r>
    </w:p>
    <w:p>
      <w:r>
        <w:br w:type="textWrapping"/>
      </w:r>
      <w:r>
        <w:rPr>
          <w:b/>
        </w:rPr>
        <w:t xml:space="preserve">Figure 7</w:t>
      </w:r>
      <w:r>
        <w:t xml:space="preserve">. Total belowground c allocation as a function of cumulative aboveground C flux across the final eleven months of the experiment. Carbon allocation aboveground was estimated from allometric surveys, interpolated on a daily time scale and then subtracted from the cumulative aboveground C flux to quantify TBCA. Individual colored lines represent treatment means and the dotted black line is the 1:1 relationship.</w:t>
      </w:r>
    </w:p>
    <w:p>
      <w:r>
        <w:br w:type="textWrapping"/>
      </w:r>
      <w:r>
        <w:rPr>
          <w:b/>
        </w:rPr>
        <w:t xml:space="preserve">Figure S1</w:t>
      </w:r>
      <w:r>
        <w:t xml:space="preserve">. Cumulative aboveground C flux and additive C allocation of individual tree components from 2008-4-15 and 2009-3-16. Panels represent each individual WTC. Both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43" w:name="tables"/>
      <w:bookmarkEnd w:id="43"/>
      <w:r>
        <w:t xml:space="preserve">Tables</w:t>
      </w:r>
    </w:p>
    <w:p>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r>
      <w:tr>
        <w:tc>
          <w:p>
            <w:pPr>
              <w:pStyle w:val="Compact"/>
              <w:jc w:val="left"/>
            </w:pPr>
            <w:r>
              <w:t xml:space="preserve">aCO</w:t>
            </w:r>
            <w:r>
              <w:rPr>
                <w:vertAlign w:val="subscript"/>
              </w:rPr>
              <w:t xml:space="preserve">2</w:t>
            </w:r>
            <w:r>
              <w:t xml:space="preserve">-dry</w:t>
            </w:r>
          </w:p>
        </w:tc>
        <w:tc>
          <w:p>
            <w:pPr>
              <w:pStyle w:val="Compact"/>
              <w:jc w:val="left"/>
            </w:pPr>
            <w:r>
              <w:t xml:space="preserve">5449.8 (715.6) b</w:t>
            </w:r>
          </w:p>
        </w:tc>
        <w:tc>
          <w:p>
            <w:pPr>
              <w:pStyle w:val="Compact"/>
              <w:jc w:val="left"/>
            </w:pPr>
            <w:r>
              <w:t xml:space="preserve">2915.9 (654.4)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3180.1 (521.0) a</w:t>
            </w:r>
          </w:p>
        </w:tc>
        <w:tc>
          <w:p>
            <w:pPr>
              <w:pStyle w:val="Compact"/>
              <w:jc w:val="left"/>
            </w:pPr>
            <w:r>
              <w:t xml:space="preserve">19394.2 (2169.5) a</w:t>
            </w:r>
          </w:p>
        </w:tc>
      </w:tr>
      <w:tr>
        <w:tc>
          <w:p>
            <w:pPr>
              <w:pStyle w:val="Compact"/>
              <w:jc w:val="left"/>
            </w:pPr>
            <w:r>
              <w:t xml:space="preserve">aCO</w:t>
            </w:r>
            <w:r>
              <w:rPr>
                <w:vertAlign w:val="subscript"/>
              </w:rPr>
              <w:t xml:space="preserve">2</w:t>
            </w:r>
            <w:r>
              <w:t xml:space="preserve">-wet</w:t>
            </w:r>
          </w:p>
        </w:tc>
        <w:tc>
          <w:p>
            <w:pPr>
              <w:pStyle w:val="Compact"/>
              <w:jc w:val="left"/>
            </w:pPr>
            <w:r>
              <w:t xml:space="preserve">4250.6 (710.9) ab</w:t>
            </w:r>
          </w:p>
        </w:tc>
        <w:tc>
          <w:p>
            <w:pPr>
              <w:pStyle w:val="Compact"/>
              <w:jc w:val="left"/>
            </w:pPr>
            <w:r>
              <w:t xml:space="preserve">2006.3 (384.8)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2623.6 (501.7) a</w:t>
            </w:r>
          </w:p>
        </w:tc>
        <w:tc>
          <w:p>
            <w:pPr>
              <w:pStyle w:val="Compact"/>
              <w:jc w:val="left"/>
            </w:pPr>
            <w:r>
              <w:t xml:space="preserve">14620.7 (3456.2) a</w:t>
            </w:r>
          </w:p>
        </w:tc>
      </w:tr>
      <w:tr>
        <w:tc>
          <w:p>
            <w:pPr>
              <w:pStyle w:val="Compact"/>
              <w:jc w:val="left"/>
            </w:pPr>
            <w:r>
              <w:t xml:space="preserve">eCO</w:t>
            </w:r>
            <w:r>
              <w:rPr>
                <w:vertAlign w:val="subscript"/>
              </w:rPr>
              <w:t xml:space="preserve">2</w:t>
            </w:r>
            <w:r>
              <w:t xml:space="preserve">-dry</w:t>
            </w:r>
          </w:p>
        </w:tc>
        <w:tc>
          <w:p>
            <w:pPr>
              <w:pStyle w:val="Compact"/>
              <w:jc w:val="left"/>
            </w:pPr>
            <w:r>
              <w:t xml:space="preserve">8109.4 (278.2) a</w:t>
            </w:r>
          </w:p>
        </w:tc>
        <w:tc>
          <w:p>
            <w:pPr>
              <w:pStyle w:val="Compact"/>
              <w:jc w:val="left"/>
            </w:pPr>
            <w:r>
              <w:t xml:space="preserve">3286.0 (715.7)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3830.6 (330.1) a</w:t>
            </w:r>
          </w:p>
        </w:tc>
        <w:tc>
          <w:p>
            <w:pPr>
              <w:pStyle w:val="Compact"/>
              <w:jc w:val="left"/>
            </w:pPr>
            <w:r>
              <w:t xml:space="preserve">23556.5 (1689.0) a</w:t>
            </w:r>
          </w:p>
        </w:tc>
      </w:tr>
      <w:tr>
        <w:tc>
          <w:p>
            <w:pPr>
              <w:pStyle w:val="Compact"/>
              <w:jc w:val="left"/>
            </w:pPr>
            <w:r>
              <w:t xml:space="preserve">eCO</w:t>
            </w:r>
            <w:r>
              <w:rPr>
                <w:vertAlign w:val="subscript"/>
              </w:rPr>
              <w:t xml:space="preserve">2</w:t>
            </w:r>
            <w:r>
              <w:t xml:space="preserve">-wet</w:t>
            </w:r>
          </w:p>
        </w:tc>
        <w:tc>
          <w:p>
            <w:pPr>
              <w:pStyle w:val="Compact"/>
              <w:jc w:val="left"/>
            </w:pPr>
            <w:r>
              <w:t xml:space="preserve">4194.1 (816.0) a</w:t>
            </w:r>
          </w:p>
        </w:tc>
        <w:tc>
          <w:p>
            <w:pPr>
              <w:pStyle w:val="Compact"/>
              <w:jc w:val="left"/>
            </w:pPr>
            <w:r>
              <w:t xml:space="preserve">1934.2 (494.3)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2306.1 (735.2) a</w:t>
            </w:r>
          </w:p>
        </w:tc>
        <w:tc>
          <w:p>
            <w:pPr>
              <w:pStyle w:val="Compact"/>
              <w:jc w:val="left"/>
            </w:pPr>
            <w:r>
              <w:t xml:space="preserve">15197.9 (3253.5)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r>
    </w:tbl>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78c1b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