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1.png" ContentType="image/png"/>
  <Override PartName="/word/media/rId52.png" ContentType="image/png"/>
  <Override PartName="/word/media/rId56.png" ContentType="image/png"/>
  <Override PartName="/word/media/rId50.png" ContentType="image/png"/>
  <Override PartName="/word/media/rId48.png" ContentType="image/png"/>
  <Override PartName="/word/media/rId49.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t xml:space="preserve"> </w:t>
      </w:r>
      <w:r>
        <w:rPr>
          <w:i/>
        </w:rPr>
        <w:t xml:space="preserve">Eucalyptus tereticornis</w:t>
      </w:r>
      <w:r>
        <w:t xml:space="preserve"> </w:t>
      </w:r>
      <w:r>
        <w:t xml:space="preserve">trees, which were expected to correlate to harvested tree C mass. This study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previously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sSub>
          <m:e>
            <m:r>
              <m:rPr>
                <m:sty m:val="p"/>
              </m:rPr>
              <m:t>ρ</m:t>
            </m:r>
          </m:e>
          <m:sub>
            <m:r>
              <m:rPr>
                <m:sty m:val="p"/>
              </m:rPr>
              <m:t>b</m:t>
            </m:r>
            <m:r>
              <m:rPr>
                <m:sty m:val="p"/>
              </m:rPr>
              <m:t>r</m:t>
            </m:r>
          </m:sub>
        </m:sSub>
        <m:r>
          <m:rPr>
            <m:sty m:val="p"/>
          </m:rPr>
          <m:t>ϕ</m:t>
        </m:r>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stems)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For example, C allocation (</w:t>
      </w:r>
      <m:oMath>
        <m:sSub>
          <m:e>
            <m:r>
              <m:rPr>
                <m:sty m:val="p"/>
              </m:rPr>
              <m:t>a</m:t>
            </m:r>
          </m:e>
          <m:sub>
            <m:r>
              <m:rPr>
                <m:sty m:val="p"/>
              </m:rPr>
              <m:t>l</m:t>
            </m:r>
          </m:sub>
        </m:sSub>
      </m:oMath>
      <w:r>
        <w:t xml:space="preserve">) to leaves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with turnover measured as total dry C mass of branch litter collected across the experiment.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 Mass fractions of leaves, boles+branches and roots were then calculated by dividing their respective total C mass by whole tree C mass at the end of this time period. At the end of the eleven month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to P = 0.05 and findings with 0.05 &lt; P &lt; 0.10 were considered marginally significant.</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w:t>
      </w:r>
    </w:p>
    <w:p>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Figure 3).</w:t>
      </w:r>
    </w:p>
    <w:p>
      <w:pPr>
        <w:pStyle w:val="Heading2"/>
      </w:pPr>
      <w:bookmarkStart w:id="40" w:name="harverted-tree-carbon-mass-and-biomass-partitioning"/>
      <w:bookmarkEnd w:id="40"/>
      <w:r>
        <w:t xml:space="preserve">Harverted tree carbon mass and biomass partitioning</w:t>
      </w:r>
    </w:p>
    <w:p>
      <w:r>
        <w:t xml:space="preserve">At the end of the two year experiment, harvested C mass of tissue components were affected by eC</w:t>
      </w:r>
      <w:r>
        <w:rPr>
          <w:vertAlign w:val="subscript"/>
        </w:rPr>
        <w:t xml:space="preserve">a</w:t>
      </w:r>
      <w:r>
        <w:t xml:space="preserve"> </w:t>
      </w:r>
      <w:r>
        <w:t xml:space="preserve">but not drought treaments (Table 1). Stem C mass was (boles+branches) was reduced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standing crop leaf C mass or cumultaive litterfall C mass were affected by C</w:t>
      </w:r>
      <w:r>
        <w:rPr>
          <w:vertAlign w:val="subscript"/>
        </w:rPr>
        <w:t xml:space="preserve">a</w:t>
      </w:r>
      <w:r>
        <w:t xml:space="preserve">. Total root C mass was marginally reduced under eC</w:t>
      </w:r>
      <w:r>
        <w:rPr>
          <w:vertAlign w:val="subscript"/>
        </w:rPr>
        <w:t xml:space="preserve">a</w:t>
      </w:r>
      <w:r>
        <w:t xml:space="preserve"> </w:t>
      </w:r>
      <w:r>
        <w:t xml:space="preserve">(P = 0.091).</w:t>
      </w:r>
    </w:p>
    <w:p>
      <w:r>
        <w:br w:type="textWrapping"/>
      </w:r>
      <w:r>
        <w:t xml:space="preserve">Leaf mass fraction was increased by 24.2 % under eC</w:t>
      </w:r>
      <w:r>
        <w:rPr>
          <w:vertAlign w:val="subscript"/>
        </w:rPr>
        <w:t xml:space="preserve">a</w:t>
      </w:r>
      <w:r>
        <w:t xml:space="preserve"> </w:t>
      </w:r>
      <w:r>
        <w:t xml:space="preserve">(P = 0.009) but was not affected by the drought treatment. Leaf mass fraction was negatively correlated with whole tree C (P= 0.004, Figure 4a). Stem mass fraction was reduced by 9 % under elevated CO</w:t>
      </w:r>
      <w:r>
        <w:rPr>
          <w:vertAlign w:val="subscript"/>
        </w:rPr>
        <w:t xml:space="preserve">2</w:t>
      </w:r>
      <w:r>
        <w:t xml:space="preserve"> </w:t>
      </w:r>
      <w:r>
        <w:t xml:space="preserve">(P = 0.018), with no effect of the drought treatment detected. Stem mass fraction was was positively correlated with whole tree C (P = 0.008, Figure 4c). Root mass fraction was not affected by either treatment and was not correlated to whole tree C (Figure 4e).</w:t>
      </w:r>
    </w:p>
    <w:p>
      <w:pPr>
        <w:pStyle w:val="Heading2"/>
      </w:pPr>
      <w:bookmarkStart w:id="41" w:name="aboveground-carbon-allocation"/>
      <w:bookmarkEnd w:id="41"/>
      <w:r>
        <w:t xml:space="preserve">Aboveground carbon allocation</w:t>
      </w:r>
    </w:p>
    <w:p>
      <w:r>
        <w:t xml:space="preserve">Treatment effects on tissue C allocation were determined by using total mass values obtained from allometric equations over the final eleven months of the experiment with</w:t>
      </w:r>
      <w:r>
        <w:t xml:space="preserve"> </w:t>
      </w:r>
      <m:oMath>
        <m:sSub>
          <m:e>
            <m:r>
              <m:rPr>
                <m:sty m:val="p"/>
              </m:rPr>
              <m:t>F</m:t>
            </m:r>
          </m:e>
          <m:sub>
            <m:r>
              <m:rPr>
                <m:sty m:val="p"/>
              </m:rPr>
              <m:t>c</m:t>
            </m:r>
            <m:r>
              <m:rPr>
                <m:sty m:val="p"/>
              </m:rPr>
              <m:t>,</m:t>
            </m:r>
            <m:r>
              <m:rPr>
                <m:sty m:val="p"/>
              </m:rPr>
              <m:t>t</m:t>
            </m:r>
          </m:sub>
        </m:sSub>
      </m:oMath>
      <w:r>
        <w:t xml:space="preserve"> </w:t>
      </w:r>
      <w:r>
        <w:t xml:space="preserve">cumultaive C flux over the same time period. Total C allocation to leaves marginally increased under eC</w:t>
      </w:r>
      <w:r>
        <w:rPr>
          <w:vertAlign w:val="subscript"/>
        </w:rPr>
        <w:t xml:space="preserve">a</w:t>
      </w:r>
      <w:r>
        <w:t xml:space="preserve"> </w:t>
      </w:r>
      <w:r>
        <w:t xml:space="preserve">(+28 %, P = 0.052),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 adjusted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pPr>
        <w:pStyle w:val="Heading1"/>
      </w:pPr>
      <w:bookmarkStart w:id="44" w:name="list-of-tables"/>
      <w:bookmarkEnd w:id="44"/>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5" w:name="list-of-figures"/>
      <w:bookmarkEnd w:id="45"/>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as a function of tree size, via total tree C mass. Treatment means of total C allocation to leaves (b) and stems (d) as a function of total aboveground net C flux. Root C allocation could not be estimated as root turnover was not known. Values for mass fractions and C allocation are estimated over the final eleven months of the experiment and total aboveground net C flux is the cumulative total over the same time period. Solid lines represent overall model fit for leaf, stem and root mass fractions (R</w:t>
      </w:r>
      <w:r>
        <w:rPr>
          <w:vertAlign w:val="superscript"/>
        </w:rPr>
        <w:t xml:space="preserve">2</w:t>
      </w:r>
      <w:r>
        <w:t xml:space="preserve"> </w:t>
      </w:r>
      <w:r>
        <w:t xml:space="preserve">= -0.57, 0.52 and 0.02,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6" w:name="tables"/>
      <w:bookmarkEnd w:id="46"/>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47" w:name="figures"/>
      <w:bookmarkEnd w:id="47"/>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5" w:name="supporting-information"/>
      <w:bookmarkEnd w:id="55"/>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8">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86684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