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3.png" ContentType="image/png"/>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p>
    <w:p>
      <w:pPr>
        <w:pStyle w:val="FirstParagraph"/>
      </w:pPr>
      <w:r>
        <w:t xml:space="preserve">Article title: Coupled response of stomatal and mesophyll conductance to light enhances photosynthesis of shade leaves under sunflecks.</w:t>
      </w:r>
    </w:p>
    <w:p>
      <w:pPr>
        <w:pStyle w:val="BodyText"/>
      </w:pPr>
      <w:r>
        <w:t xml:space="preserve">Authors: Courtney E. Campany, Mark G. Tjoelker, Susanne von Caemmerer, Remko A. Duursma.</w:t>
      </w:r>
    </w:p>
    <w:p>
      <w:pPr>
        <w:pStyle w:val="Heading2"/>
      </w:pPr>
      <w:bookmarkStart w:id="21" w:name="figures"/>
      <w:bookmarkEnd w:id="21"/>
      <w:r>
        <w:t xml:space="preserve">Figures</w:t>
      </w:r>
    </w:p>
    <w:p>
      <w:pPr>
        <w:pStyle w:val="FirstParagraph"/>
      </w:pPr>
      <w:r>
        <w:drawing>
          <wp:inline>
            <wp:extent cx="5943600" cy="7476671"/>
            <wp:effectExtent b="0" l="0" r="0" t="0"/>
            <wp:docPr descr="" id="1" name="Picture"/>
            <a:graphic>
              <a:graphicData uri="http://schemas.openxmlformats.org/drawingml/2006/picture">
                <pic:pic>
                  <pic:nvPicPr>
                    <pic:cNvPr descr="manuscript_gmes_SuppInfo_files/figure-docx/airvars-1.png" id="0" name="Picture"/>
                    <pic:cNvPicPr>
                      <a:picLocks noChangeArrowheads="1" noChangeAspect="1"/>
                    </pic:cNvPicPr>
                  </pic:nvPicPr>
                  <pic:blipFill>
                    <a:blip r:embed="rId22"/>
                    <a:stretch>
                      <a:fillRect/>
                    </a:stretch>
                  </pic:blipFill>
                  <pic:spPr bwMode="auto">
                    <a:xfrm>
                      <a:off x="0" y="0"/>
                      <a:ext cx="5943600" cy="7476671"/>
                    </a:xfrm>
                    <a:prstGeom prst="rect">
                      <a:avLst/>
                    </a:prstGeom>
                    <a:noFill/>
                    <a:ln w="9525">
                      <a:noFill/>
                      <a:headEnd/>
                      <a:tailEnd/>
                    </a:ln>
                  </pic:spPr>
                </pic:pic>
              </a:graphicData>
            </a:graphic>
          </wp:inline>
        </w:drawing>
      </w:r>
      <w:r>
        <w:br w:type="textWrapping"/>
      </w:r>
      <w:r>
        <w:rPr>
          <w:b/>
        </w:rPr>
        <w:t xml:space="preserve">Figure S1</w:t>
      </w:r>
      <w:r>
        <w:t xml:space="preserve">. Daily maximum and minimum temperature (a), daily maximum VPD (b) and total daily PPFD (c) for each chamber across the experiment duration.</w:t>
      </w:r>
      <w:r>
        <w:br w:type="textWrapping"/>
      </w:r>
      <w:r>
        <w:drawing>
          <wp:inline>
            <wp:extent cx="5486400" cy="5486400"/>
            <wp:effectExtent b="0" l="0" r="0" t="0"/>
            <wp:docPr descr="" id="1" name="Picture"/>
            <a:graphic>
              <a:graphicData uri="http://schemas.openxmlformats.org/drawingml/2006/picture">
                <pic:pic>
                  <pic:nvPicPr>
                    <pic:cNvPr descr="manuscript_gmes_SuppInfo_files/figure-docx/deltacica-1.png" id="0" name="Picture"/>
                    <pic:cNvPicPr>
                      <a:picLocks noChangeArrowheads="1" noChangeAspect="1"/>
                    </pic:cNvPicPr>
                  </pic:nvPicPr>
                  <pic:blipFill>
                    <a:blip r:embed="rId23"/>
                    <a:stretch>
                      <a:fillRect/>
                    </a:stretch>
                  </pic:blipFill>
                  <pic:spPr bwMode="auto">
                    <a:xfrm>
                      <a:off x="0" y="0"/>
                      <a:ext cx="5486400" cy="5486400"/>
                    </a:xfrm>
                    <a:prstGeom prst="rect">
                      <a:avLst/>
                    </a:prstGeom>
                    <a:noFill/>
                    <a:ln w="9525">
                      <a:noFill/>
                      <a:headEnd/>
                      <a:tailEnd/>
                    </a:ln>
                  </pic:spPr>
                </pic:pic>
              </a:graphicData>
            </a:graphic>
          </wp:inline>
        </w:drawing>
      </w:r>
      <w:r>
        <w:br w:type="textWrapping"/>
      </w:r>
      <w:r>
        <w:rPr>
          <w:b/>
        </w:rPr>
        <w:t xml:space="preserve">Figure S2</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w:t>
      </w:r>
      <m:oMath>
        <m:sSub>
          <m:e>
            <m:r>
              <m:rPr/>
              <m:t>Δ</m:t>
            </m:r>
          </m:e>
          <m:sub>
            <m:r>
              <m:rPr/>
              <m:t>o</m:t>
            </m:r>
          </m:sub>
        </m:sSub>
      </m:oMath>
      <w:r>
        <w:t xml:space="preserve">) and measured</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r>
        <w:br w:type="textWrapping"/>
      </w:r>
      <w:r>
        <w:drawing>
          <wp:inline>
            <wp:extent cx="5943600" cy="7653564"/>
            <wp:effectExtent b="0" l="0" r="0" t="0"/>
            <wp:docPr descr="" id="1" name="Picture"/>
            <a:graphic>
              <a:graphicData uri="http://schemas.openxmlformats.org/drawingml/2006/picture">
                <pic:pic>
                  <pic:nvPicPr>
                    <pic:cNvPr descr="manuscript_gmes_SuppInfo_files/figure-docx/gasex_temp3-1.png" id="0" name="Picture"/>
                    <pic:cNvPicPr>
                      <a:picLocks noChangeArrowheads="1" noChangeAspect="1"/>
                    </pic:cNvPicPr>
                  </pic:nvPicPr>
                  <pic:blipFill>
                    <a:blip r:embed="rId24"/>
                    <a:stretch>
                      <a:fillRect/>
                    </a:stretch>
                  </pic:blipFill>
                  <pic:spPr bwMode="auto">
                    <a:xfrm>
                      <a:off x="0" y="0"/>
                      <a:ext cx="5943600" cy="7653564"/>
                    </a:xfrm>
                    <a:prstGeom prst="rect">
                      <a:avLst/>
                    </a:prstGeom>
                    <a:noFill/>
                    <a:ln w="9525">
                      <a:noFill/>
                      <a:headEnd/>
                      <a:tailEnd/>
                    </a:ln>
                  </pic:spPr>
                </pic:pic>
              </a:graphicData>
            </a:graphic>
          </wp:inline>
        </w:drawing>
      </w:r>
      <w:r>
        <w:br w:type="textWrapping"/>
      </w:r>
      <w:r>
        <w:rPr>
          <w:b/>
        </w:rPr>
        <w:t xml:space="preserve">Figure S3</w:t>
      </w:r>
      <w:r>
        <w:t xml:space="preserve">. Response of</w:t>
      </w:r>
      <w:r>
        <w:t xml:space="preserve"> </w:t>
      </w:r>
      <w:r>
        <w:rPr>
          <w:i/>
        </w:rPr>
        <w:t xml:space="preserve">A</w:t>
      </w:r>
      <w:r>
        <w:rPr>
          <w:vertAlign w:val="subscript"/>
        </w:rPr>
        <w:t xml:space="preserve">n</w:t>
      </w:r>
      <w:r>
        <w:t xml:space="preserve"> </w:t>
      </w:r>
      <w:r>
        <w:t xml:space="preserve">(a),</w:t>
      </w:r>
      <w:r>
        <w:t xml:space="preserve"> </w:t>
      </w:r>
      <w:r>
        <w:rPr>
          <w:i/>
        </w:rPr>
        <w:t xml:space="preserve">g</w:t>
      </w:r>
      <w:r>
        <w:rPr>
          <w:vertAlign w:val="subscript"/>
        </w:rPr>
        <w:t xml:space="preserve">m</w:t>
      </w:r>
      <w:r>
        <w:t xml:space="preserve"> </w:t>
      </w:r>
      <w:r>
        <w:t xml:space="preserve">(b) and</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w:t>
      </w:r>
      <w:r>
        <w:t xml:space="preserve">to leaf temperature for sun leaves and shade leaves at low and high light. Shaded symbols represent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w:t>
      </w:r>
      <w:r>
        <w:t xml:space="preserve"> </w:t>
      </w:r>
      <w:r>
        <w:rPr>
          <w:i/>
        </w:rPr>
        <w:t xml:space="preserve">g</w:t>
      </w:r>
      <w:r>
        <w:rPr>
          <w:vertAlign w:val="subscript"/>
        </w:rPr>
        <w:t xml:space="preserve">m</w:t>
      </w:r>
      <w:r>
        <w:t xml:space="preserve"> </w:t>
      </w:r>
      <w:r>
        <w:t xml:space="preserve">and increasing leaf temperature were detected with sun and shade leaves under their local light environment (</w:t>
      </w:r>
      <w:r>
        <w:rPr>
          <w:i/>
        </w:rPr>
        <w:t xml:space="preserve">R</w:t>
      </w:r>
      <w:r>
        <w:rPr>
          <w:vertAlign w:val="superscript"/>
        </w:rPr>
        <w:t xml:space="preserve">2</w:t>
      </w:r>
      <w:r>
        <w:t xml:space="preserve"> </w:t>
      </w:r>
      <w:r>
        <w:t xml:space="preserve">= 0.16 and 0.08, respectively).</w:t>
      </w:r>
      <w:r>
        <w:br w:type="textWrapping"/>
      </w:r>
      <w:r>
        <w:drawing>
          <wp:inline>
            <wp:extent cx="5943600" cy="7653564"/>
            <wp:effectExtent b="0" l="0" r="0" t="0"/>
            <wp:docPr descr="" id="1" name="Picture"/>
            <a:graphic>
              <a:graphicData uri="http://schemas.openxmlformats.org/drawingml/2006/picture">
                <pic:pic>
                  <pic:nvPicPr>
                    <pic:cNvPr descr="manuscript_gmes_SuppInfo_files/figure-docx/gasex_temp4-1.png" id="0" name="Picture"/>
                    <pic:cNvPicPr>
                      <a:picLocks noChangeArrowheads="1" noChangeAspect="1"/>
                    </pic:cNvPicPr>
                  </pic:nvPicPr>
                  <pic:blipFill>
                    <a:blip r:embed="rId25"/>
                    <a:stretch>
                      <a:fillRect/>
                    </a:stretch>
                  </pic:blipFill>
                  <pic:spPr bwMode="auto">
                    <a:xfrm>
                      <a:off x="0" y="0"/>
                      <a:ext cx="5943600" cy="7653564"/>
                    </a:xfrm>
                    <a:prstGeom prst="rect">
                      <a:avLst/>
                    </a:prstGeom>
                    <a:noFill/>
                    <a:ln w="9525">
                      <a:noFill/>
                      <a:headEnd/>
                      <a:tailEnd/>
                    </a:ln>
                  </pic:spPr>
                </pic:pic>
              </a:graphicData>
            </a:graphic>
          </wp:inline>
        </w:drawing>
      </w:r>
      <w:r>
        <w:br w:type="textWrapping"/>
      </w:r>
      <w:r>
        <w:rPr>
          <w:b/>
        </w:rPr>
        <w:t xml:space="preserve">Figure S4</w:t>
      </w:r>
      <w:r>
        <w:t xml:space="preserve">. Response of VPD (a),</w:t>
      </w:r>
      <w:r>
        <w:t xml:space="preserve"> </w:t>
      </w:r>
      <w:r>
        <w:rPr>
          <w:i/>
        </w:rPr>
        <w:t xml:space="preserve">g</w:t>
      </w:r>
      <w:r>
        <w:rPr>
          <w:vertAlign w:val="subscript"/>
        </w:rPr>
        <w:t xml:space="preserve">s</w:t>
      </w:r>
      <w:r>
        <w:t xml:space="preserve"> </w:t>
      </w:r>
      <w:r>
        <w:t xml:space="preserve">(b) and</w:t>
      </w:r>
      <w:r>
        <w:t xml:space="preserve"> </w:t>
      </w:r>
      <w:r>
        <w:rPr>
          <w:i/>
        </w:rPr>
        <w:t xml:space="preserve">C</w:t>
      </w:r>
      <w:r>
        <w:rPr>
          <w:vertAlign w:val="subscript"/>
        </w:rPr>
        <w:t xml:space="preserve">a</w:t>
      </w:r>
      <w:r>
        <w:t xml:space="preserve">-</w:t>
      </w:r>
      <w:r>
        <w:rPr>
          <w:i/>
        </w:rP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w:t>
      </w:r>
      <w:r>
        <w:rPr>
          <w:i/>
        </w:rPr>
        <w:t xml:space="preserve">R</w:t>
      </w:r>
      <w:r>
        <w:rPr>
          <w:vertAlign w:val="superscript"/>
        </w:rPr>
        <w:t xml:space="preserve">2</w:t>
      </w:r>
      <w:r>
        <w:t xml:space="preserve"> </w:t>
      </w:r>
      <w:r>
        <w:t xml:space="preserve">= 0.73, 0.58 and 0.72, respectively).</w:t>
      </w:r>
    </w:p>
    <w:p>
      <w:pPr>
        <w:pStyle w:val="Heading2"/>
      </w:pPr>
      <w:bookmarkStart w:id="26" w:name="methods-s1"/>
      <w:bookmarkEnd w:id="26"/>
      <w:r>
        <w:t xml:space="preserve">Methods S1</w:t>
      </w:r>
    </w:p>
    <w:p>
      <w:pPr>
        <w:pStyle w:val="Heading3"/>
      </w:pPr>
      <w:bookmarkStart w:id="27" w:name="description-of-the-calculation-of-gm-from-carbon-isotope-discrimination-during-c3-photosynthesis"/>
      <w:bookmarkEnd w:id="27"/>
      <w:r>
        <w:t xml:space="preserve">Description of the calculation of</w:t>
      </w:r>
      <w:r>
        <w:t xml:space="preserve"> </w:t>
      </w:r>
      <w:r>
        <w:rPr>
          <w:i/>
        </w:rPr>
        <w:t xml:space="preserve">g</w:t>
      </w:r>
      <w:r>
        <w:rPr>
          <w:vertAlign w:val="subscript"/>
        </w:rPr>
        <w:t xml:space="preserve">m</w:t>
      </w:r>
      <w:r>
        <w:t xml:space="preserve"> </w:t>
      </w:r>
      <w:r>
        <w:t xml:space="preserve">from carbon isotope discrimination during C3 photosynthesis</w:t>
      </w:r>
    </w:p>
    <w:p>
      <w:pPr>
        <w:pStyle w:val="FirstParagraph"/>
      </w:pPr>
      <w:r>
        <w:br w:type="textWrapping"/>
      </w:r>
      <w:r>
        <w:t xml:space="preserve">Using online C isotope discrimination measurements, the difference between the observed discrimination and what is predicted for light saturated gas exchange is proportional to</w:t>
      </w:r>
      <w:r>
        <w:t xml:space="preserve"> </w:t>
      </w:r>
      <w:r>
        <w:rPr>
          <w:i/>
        </w:rPr>
        <w:t xml:space="preserve">g</w:t>
      </w:r>
      <w:r>
        <w:rPr>
          <w:vertAlign w:val="subscript"/>
        </w:rPr>
        <w:t xml:space="preserve">m</w:t>
      </w:r>
      <w:r>
        <w:t xml:space="preserve"> </w:t>
      </w:r>
      <w:r>
        <w:t xml:space="preserve">(Griffiths &amp; Helliker 2013)</w:t>
      </w:r>
      <w:r>
        <w:t xml:space="preserve">. First, leaf C isotope discrimination was calculated by comparing the isotopic composition of the reference gas entering the leaf cuvette (</w:t>
      </w:r>
      <m:oMath>
        <m:r>
          <m:rPr/>
          <m:t>δ</m:t>
        </m:r>
      </m:oMath>
      <w:r>
        <w:rPr>
          <w:vertAlign w:val="superscript"/>
        </w:rPr>
        <w:t xml:space="preserve">13</w:t>
      </w:r>
      <w:r>
        <w:t xml:space="preserve">C</w:t>
      </w:r>
      <w:r>
        <w:rPr>
          <w:vertAlign w:val="subscript"/>
        </w:rPr>
        <w:t xml:space="preserve">e</w:t>
      </w:r>
      <w:r>
        <w:t xml:space="preserve">) with the sample gas (</w:t>
      </w:r>
      <m:oMath>
        <m:r>
          <m:rPr/>
          <m:t>δ</m:t>
        </m:r>
      </m:oMath>
      <w:r>
        <w:rPr>
          <w:vertAlign w:val="superscript"/>
        </w:rPr>
        <w:t xml:space="preserve">13</w:t>
      </w:r>
      <w:r>
        <w:t xml:space="preserve">C</w:t>
      </w:r>
      <w:r>
        <w:rPr>
          <w:vertAlign w:val="subscript"/>
        </w:rPr>
        <w:t xml:space="preserve">o</w:t>
      </w:r>
      <w:r>
        <w:t xml:space="preserve">) such that:</w:t>
      </w:r>
    </w:p>
    <w:p>
      <w:pPr>
        <w:pStyle w:val="BodyText"/>
      </w:pPr>
      <w:r>
        <w:br w:type="textWrapping"/>
      </w:r>
      <w:r>
        <w:t xml:space="preserve">(1)</w:t>
      </w:r>
    </w:p>
    <w:p>
      <w:pPr>
        <w:pStyle w:val="BodyText"/>
      </w:pPr>
      <m:oMathPara>
        <m:oMathParaPr>
          <m:jc m:val="center"/>
        </m:oMathParaPr>
        <m:oMath>
          <m:r>
            <m:rPr/>
            <m:t>δ</m:t>
          </m:r>
          <m:r>
            <m:rPr/>
            <m:t>=</m:t>
          </m:r>
          <m:d>
            <m:dPr>
              <m:begChr m:val="("/>
              <m:endChr m:val=")"/>
              <m:grow/>
            </m:dPr>
            <m:e>
              <m:f>
                <m:fPr>
                  <m:type m:val="bar"/>
                </m:fPr>
                <m:num>
                  <m:sSub>
                    <m:e>
                      <m:r>
                        <m:rPr/>
                        <m:t>R</m:t>
                      </m:r>
                    </m:e>
                    <m:sub>
                      <m:r>
                        <m:rPr/>
                        <m:t>s</m:t>
                      </m:r>
                    </m:sub>
                  </m:sSub>
                </m:num>
                <m:den>
                  <m:sSub>
                    <m:e>
                      <m:r>
                        <m:rPr/>
                        <m:t>R</m:t>
                      </m:r>
                    </m:e>
                    <m:sub>
                      <m:r>
                        <m:rPr/>
                        <m:t>s</m:t>
                      </m:r>
                      <m:r>
                        <m:rPr/>
                        <m:t>t</m:t>
                      </m:r>
                      <m:r>
                        <m:rPr/>
                        <m:t>n</m:t>
                      </m:r>
                      <m:r>
                        <m:rPr/>
                        <m:t>d</m:t>
                      </m:r>
                    </m:sub>
                  </m:sSub>
                </m:den>
              </m:f>
              <m:r>
                <m:rPr/>
                <m:t>−</m:t>
              </m:r>
              <m:r>
                <m:rPr/>
                <m:t>1</m:t>
              </m:r>
            </m:e>
          </m:d>
          <m:r>
            <m:rPr/>
            <m:t>1000</m:t>
          </m:r>
        </m:oMath>
      </m:oMathPara>
    </w:p>
    <w:p>
      <w:pPr>
        <w:pStyle w:val="BodyText"/>
      </w:pPr>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t>Δ</m:t>
        </m:r>
      </m:oMath>
      <w:r>
        <w:rPr>
          <w:vertAlign w:val="subscript"/>
        </w:rPr>
        <w:t xml:space="preserve">o</w:t>
      </w:r>
      <w:r>
        <w:t xml:space="preserve">) is calculated from Evans et al.</w:t>
      </w:r>
      <w:r>
        <w:t xml:space="preserve"> </w:t>
      </w:r>
      <w:r>
        <w:t xml:space="preserve">(1986)</w:t>
      </w:r>
      <w:r>
        <w:t xml:space="preserve">:</w:t>
      </w:r>
    </w:p>
    <w:p>
      <w:pPr>
        <w:pStyle w:val="BodyText"/>
      </w:pPr>
      <w:r>
        <w:br w:type="textWrapping"/>
      </w:r>
      <w:r>
        <w:t xml:space="preserve">(2)</w:t>
      </w:r>
    </w:p>
    <w:p>
      <w:pPr>
        <w:pStyle w:val="BodyText"/>
      </w:pPr>
      <m:oMathPara>
        <m:oMathParaPr>
          <m:jc m:val="center"/>
        </m:oMathParaPr>
        <m:oMath>
          <m:sSub>
            <m:e>
              <m:r>
                <m:rPr/>
                <m:t>Δ</m:t>
              </m:r>
            </m:e>
            <m:sub>
              <m:r>
                <m:rPr/>
                <m:t>o</m:t>
              </m:r>
            </m:sub>
          </m:sSub>
          <m:r>
            <m:rPr/>
            <m:t>=</m:t>
          </m:r>
          <m:f>
            <m:fPr>
              <m:type m:val="bar"/>
            </m:fPr>
            <m:num>
              <m:r>
                <m:rPr/>
                <m:t>ξ</m:t>
              </m:r>
              <m:r>
                <m:rPr/>
                <m:t>(</m:t>
              </m:r>
              <m:sSup>
                <m:e>
                  <m:r>
                    <m:rPr/>
                    <m:t>δ</m:t>
                  </m:r>
                </m:e>
                <m:sup>
                  <m:r>
                    <m:rPr/>
                    <m:t>13</m:t>
                  </m:r>
                </m:sup>
              </m:sSup>
              <m:sSub>
                <m:e>
                  <m:r>
                    <m:rPr/>
                    <m:t>C</m:t>
                  </m:r>
                </m:e>
                <m:sub>
                  <m:r>
                    <m:rPr/>
                    <m:t>o</m:t>
                  </m:r>
                </m:sub>
              </m:sSub>
              <m:r>
                <m:rPr/>
                <m:t>−</m:t>
              </m:r>
              <m:sSup>
                <m:e>
                  <m:r>
                    <m:rPr/>
                    <m:t>δ</m:t>
                  </m:r>
                </m:e>
                <m:sup>
                  <m:r>
                    <m:rPr/>
                    <m:t>13</m:t>
                  </m:r>
                </m:sup>
              </m:sSup>
              <m:sSub>
                <m:e>
                  <m:r>
                    <m:rPr/>
                    <m:t>C</m:t>
                  </m:r>
                </m:e>
                <m:sub>
                  <m:r>
                    <m:rPr/>
                    <m:t>e</m:t>
                  </m:r>
                </m:sub>
              </m:sSub>
              <m:r>
                <m:rPr/>
                <m:t>)</m:t>
              </m:r>
            </m:num>
            <m:den>
              <m:r>
                <m:rPr/>
                <m:t>1000</m:t>
              </m:r>
              <m:r>
                <m:rPr/>
                <m:t>+</m:t>
              </m:r>
              <m:sSup>
                <m:e>
                  <m:r>
                    <m:rPr/>
                    <m:t>δ</m:t>
                  </m:r>
                </m:e>
                <m:sup>
                  <m:r>
                    <m:rPr/>
                    <m:t>13</m:t>
                  </m:r>
                </m:sup>
              </m:sSup>
              <m:sSub>
                <m:e>
                  <m:r>
                    <m:rPr/>
                    <m:t>C</m:t>
                  </m:r>
                </m:e>
                <m:sub>
                  <m:r>
                    <m:rPr/>
                    <m:t>e</m:t>
                  </m:r>
                </m:sub>
              </m:sSub>
              <m:r>
                <m:rPr/>
                <m:t>−</m:t>
              </m:r>
              <m:r>
                <m:rPr/>
                <m:t>ξ</m:t>
              </m:r>
              <m:r>
                <m:rPr/>
                <m:t>(</m:t>
              </m:r>
              <m:sSup>
                <m:e>
                  <m:r>
                    <m:rPr/>
                    <m:t>δ</m:t>
                  </m:r>
                </m:e>
                <m:sup>
                  <m:r>
                    <m:rPr/>
                    <m:t>13</m:t>
                  </m:r>
                </m:sup>
              </m:sSup>
              <m:sSub>
                <m:e>
                  <m:r>
                    <m:rPr/>
                    <m:t>C</m:t>
                  </m:r>
                </m:e>
                <m:sub>
                  <m:r>
                    <m:rPr/>
                    <m:t>o</m:t>
                  </m:r>
                </m:sub>
              </m:sSub>
              <m:r>
                <m:rPr/>
                <m:t>−</m:t>
              </m:r>
              <m:sSup>
                <m:e>
                  <m:r>
                    <m:rPr/>
                    <m:t>δ</m:t>
                  </m:r>
                </m:e>
                <m:sup>
                  <m:r>
                    <m:rPr/>
                    <m:t>13</m:t>
                  </m:r>
                </m:sup>
              </m:sSup>
              <m:sSub>
                <m:e>
                  <m:r>
                    <m:rPr/>
                    <m:t>C</m:t>
                  </m:r>
                </m:e>
                <m:sub>
                  <m:r>
                    <m:rPr/>
                    <m:t>e</m:t>
                  </m:r>
                </m:sub>
              </m:sSub>
              <m:r>
                <m:rPr/>
                <m:t>)</m:t>
              </m:r>
            </m:den>
          </m:f>
        </m:oMath>
      </m:oMathPara>
    </w:p>
    <w:p>
      <w:pPr>
        <w:pStyle w:val="BodyText"/>
      </w:pPr>
      <w:r>
        <w:t xml:space="preserve">where:</w:t>
      </w:r>
    </w:p>
    <w:p>
      <w:pPr>
        <w:pStyle w:val="BodyText"/>
      </w:pPr>
      <w:r>
        <w:br w:type="textWrapping"/>
      </w:r>
      <w:r>
        <w:t xml:space="preserve">(3)</w:t>
      </w:r>
    </w:p>
    <w:p>
      <w:pPr>
        <w:pStyle w:val="BodyText"/>
      </w:pPr>
      <m:oMathPara>
        <m:oMathParaPr>
          <m:jc m:val="center"/>
        </m:oMathParaPr>
        <m:oMath>
          <m:r>
            <m:rPr/>
            <m:t>ξ</m:t>
          </m:r>
          <m:r>
            <m:rPr/>
            <m:t>=</m:t>
          </m:r>
          <m:f>
            <m:fPr>
              <m:type m:val="bar"/>
            </m:fPr>
            <m:num>
              <m:sSub>
                <m:e>
                  <m:r>
                    <m:rPr/>
                    <m:t>C</m:t>
                  </m:r>
                </m:e>
                <m:sub>
                  <m:r>
                    <m:rPr/>
                    <m:t>e</m:t>
                  </m:r>
                </m:sub>
              </m:sSub>
            </m:num>
            <m:den>
              <m:sSub>
                <m:e>
                  <m:r>
                    <m:rPr/>
                    <m:t>C</m:t>
                  </m:r>
                </m:e>
                <m:sub>
                  <m:r>
                    <m:rPr/>
                    <m:t>e</m:t>
                  </m:r>
                </m:sub>
              </m:sSub>
              <m:r>
                <m:rPr/>
                <m:t>−</m:t>
              </m:r>
              <m:sSub>
                <m:e>
                  <m:r>
                    <m:rPr/>
                    <m:t>C</m:t>
                  </m:r>
                </m:e>
                <m:sub>
                  <m:r>
                    <m:rPr/>
                    <m:t>o</m:t>
                  </m:r>
                </m:sub>
              </m:sSub>
            </m:den>
          </m:f>
        </m:oMath>
      </m:oMathPara>
    </w:p>
    <w:p>
      <w:pPr>
        <w:pStyle w:val="BodyText"/>
      </w:pPr>
      <w:r>
        <w:t xml:space="preserve">and</w:t>
      </w:r>
      <w:r>
        <w:t xml:space="preserve"> </w:t>
      </w:r>
      <m:oMath>
        <m:r>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pPr>
        <w:pStyle w:val="BodyText"/>
      </w:pPr>
      <w:r>
        <w:br w:type="textWrapping"/>
      </w:r>
      <w:r>
        <w:t xml:space="preserve">Second, C isotope discrimination during C</w:t>
      </w:r>
      <w:r>
        <w:rPr>
          <w:vertAlign w:val="subscript"/>
        </w:rPr>
        <w:t xml:space="preserve">3</w:t>
      </w:r>
      <w:r>
        <w:t xml:space="preserve"> </w:t>
      </w:r>
      <w:r>
        <w:t xml:space="preserve">photosynthesis (</w:t>
      </w:r>
      <m:oMath>
        <m:r>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the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pPr>
        <w:pStyle w:val="BodyText"/>
      </w:pPr>
      <w:r>
        <w:br w:type="textWrapping"/>
      </w:r>
      <w:r>
        <w:t xml:space="preserve">(4)</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The equations for each are as follows:</w:t>
      </w:r>
    </w:p>
    <w:p>
      <w:pPr>
        <w:pStyle w:val="BodyText"/>
      </w:pPr>
      <w:r>
        <w:br w:type="textWrapping"/>
      </w:r>
      <w:r>
        <w:t xml:space="preserve">(5)</w:t>
      </w:r>
    </w:p>
    <w:p>
      <w:pPr>
        <w:pStyle w:val="BodyText"/>
      </w:pPr>
      <m:oMathPara>
        <m:oMathParaPr>
          <m:jc m:val="center"/>
        </m:oMathParaPr>
        <m:oMath>
          <m:m>
            <m:mPr>
              <m:baseJc m:val="center"/>
              <m:plcHide m:val="on"/>
              <m:mcs>
                <m:mc>
                  <m:mcPr>
                    <m:mcJc m:val="right"/>
                  </m:mcPr>
                </m:mc>
              </m:mcs>
            </m:mPr>
            <m:mr>
              <m:e>
                <m:sSub>
                  <m:e>
                    <m:r>
                      <m:rPr/>
                      <m:t>Δ</m:t>
                    </m:r>
                  </m:e>
                  <m:sub>
                    <m:r>
                      <m:rPr/>
                      <m:t>i</m:t>
                    </m:r>
                  </m:sub>
                </m:sSub>
                <m:r>
                  <m:rPr/>
                  <m:t>=</m:t>
                </m:r>
              </m:e>
              <m:e>
                <m:f>
                  <m:fPr>
                    <m:type m:val="bar"/>
                  </m:fPr>
                  <m:num>
                    <m:r>
                      <m:rPr/>
                      <m:t>1</m:t>
                    </m:r>
                  </m:num>
                  <m:den>
                    <m:r>
                      <m:rPr/>
                      <m:t>1</m:t>
                    </m:r>
                    <m:r>
                      <m:rPr/>
                      <m:t>−</m:t>
                    </m:r>
                    <m:r>
                      <m:rPr/>
                      <m:t>t</m:t>
                    </m:r>
                  </m:den>
                </m:f>
                <m:r>
                  <m:rPr/>
                  <m:t>a</m:t>
                </m:r>
                <m:r>
                  <m:rPr/>
                  <m:t>′</m:t>
                </m:r>
                <m:r>
                  <m:rPr/>
                  <m:t>+</m:t>
                </m:r>
                <m:f>
                  <m:fPr>
                    <m:type m:val="bar"/>
                  </m:fPr>
                  <m:num>
                    <m:r>
                      <m:rPr/>
                      <m:t>1</m:t>
                    </m:r>
                  </m:num>
                  <m:den>
                    <m:r>
                      <m:rPr/>
                      <m:t>1</m:t>
                    </m:r>
                    <m:r>
                      <m:rPr/>
                      <m:t>−</m:t>
                    </m:r>
                    <m:r>
                      <m:rPr/>
                      <m:t>t</m:t>
                    </m:r>
                  </m:den>
                </m:f>
                <m:r>
                  <m:rPr/>
                  <m:t>(</m:t>
                </m:r>
                <m:r>
                  <m:rPr/>
                  <m:t>(</m:t>
                </m:r>
                <m:r>
                  <m:rPr/>
                  <m:t>1</m:t>
                </m:r>
                <m:r>
                  <m:rPr/>
                  <m:t>+</m:t>
                </m:r>
                <m:r>
                  <m:rPr/>
                  <m:t>t</m:t>
                </m:r>
                <m:r>
                  <m:rPr/>
                  <m:t>)</m:t>
                </m:r>
                <m:r>
                  <m:rPr/>
                  <m:t>b</m:t>
                </m:r>
                <m:r>
                  <m:rPr/>
                  <m:t>−</m:t>
                </m:r>
                <m:r>
                  <m:rPr/>
                  <m:t>a</m:t>
                </m:r>
                <m:r>
                  <m:rPr/>
                  <m:t>′</m:t>
                </m:r>
                <m:r>
                  <m:rPr/>
                  <m:t>)</m:t>
                </m:r>
                <m:f>
                  <m:fPr>
                    <m:type m:val="bar"/>
                  </m:fPr>
                  <m:num>
                    <m:sSub>
                      <m:e>
                        <m:r>
                          <m:rPr/>
                          <m:t>C</m:t>
                        </m:r>
                      </m:e>
                      <m:sub>
                        <m:r>
                          <m:rPr/>
                          <m:t>i</m:t>
                        </m:r>
                      </m:sub>
                    </m:sSub>
                  </m:num>
                  <m:den>
                    <m:sSub>
                      <m:e>
                        <m:r>
                          <m:rPr/>
                          <m:t>C</m:t>
                        </m:r>
                      </m:e>
                      <m:sub>
                        <m:r>
                          <m:rPr/>
                          <m:t>a</m:t>
                        </m:r>
                      </m:sub>
                    </m:sSub>
                  </m:den>
                </m:f>
              </m:e>
            </m:mr>
          </m:m>
        </m:oMath>
      </m:oMathPara>
    </w:p>
    <w:p>
      <w:pPr>
        <w:pStyle w:val="BodyText"/>
      </w:pPr>
      <w:r>
        <w:br w:type="textWrapping"/>
      </w:r>
      <w:r>
        <w:t xml:space="preserve">(6)</w:t>
      </w:r>
    </w:p>
    <w:p>
      <w:pPr>
        <w:pStyle w:val="BodyText"/>
      </w:pPr>
      <m:oMathPara>
        <m:oMathParaPr>
          <m:jc m:val="center"/>
        </m:oMathParaPr>
        <m:oMath>
          <m:m>
            <m:mPr>
              <m:baseJc m:val="center"/>
              <m:plcHide m:val="on"/>
              <m:mcs>
                <m:mc>
                  <m:mcPr>
                    <m:mcJc m:val="right"/>
                  </m:mcPr>
                </m:mc>
              </m:mcs>
            </m:mPr>
            <m:mr>
              <m:e>
                <m:sSub>
                  <m:e>
                    <m:r>
                      <m:rPr/>
                      <m:t>Δ</m:t>
                    </m:r>
                  </m:e>
                  <m:sub>
                    <m:r>
                      <m:rPr/>
                      <m:t>g</m:t>
                    </m:r>
                    <m:r>
                      <m:rPr/>
                      <m:t>m</m:t>
                    </m:r>
                  </m:sub>
                </m:sSub>
                <m:r>
                  <m:rPr/>
                  <m:t>=</m:t>
                </m:r>
              </m:e>
              <m:e>
                <m:f>
                  <m:fPr>
                    <m:type m:val="bar"/>
                  </m:fPr>
                  <m:num>
                    <m:r>
                      <m:rPr/>
                      <m:t>1</m:t>
                    </m:r>
                    <m:r>
                      <m:rPr/>
                      <m:t>+</m:t>
                    </m:r>
                    <m:r>
                      <m:rPr/>
                      <m:t>t</m:t>
                    </m:r>
                  </m:num>
                  <m:den>
                    <m:r>
                      <m:rPr/>
                      <m:t>1</m:t>
                    </m:r>
                    <m:r>
                      <m:rPr/>
                      <m:t>−</m:t>
                    </m:r>
                    <m:r>
                      <m:rPr/>
                      <m:t>t</m:t>
                    </m:r>
                  </m:den>
                </m:f>
                <m:d>
                  <m:dPr>
                    <m:begChr m:val="("/>
                    <m:endChr m:val=")"/>
                    <m:grow/>
                  </m:dPr>
                  <m:e>
                    <m:r>
                      <m:rPr/>
                      <m:t>b</m:t>
                    </m:r>
                    <m:r>
                      <m:rPr/>
                      <m:t>−</m:t>
                    </m:r>
                    <m:sSub>
                      <m:e>
                        <m:r>
                          <m:rPr/>
                          <m:t>a</m:t>
                        </m:r>
                      </m:e>
                      <m:sub>
                        <m:r>
                          <m:rPr/>
                          <m:t>i</m:t>
                        </m:r>
                      </m:sub>
                    </m:sSub>
                    <m:r>
                      <m:rPr/>
                      <m:t>−</m:t>
                    </m:r>
                    <m:f>
                      <m:fPr>
                        <m:type m:val="bar"/>
                      </m:fPr>
                      <m:num>
                        <m:r>
                          <m:rPr/>
                          <m:t>e</m:t>
                        </m:r>
                        <m:sSub>
                          <m:e>
                            <m:r>
                              <m:rPr/>
                              <m:t>R</m:t>
                            </m:r>
                          </m:e>
                          <m:sub>
                            <m:r>
                              <m:rPr/>
                              <m:t>d</m:t>
                            </m:r>
                          </m:sub>
                        </m:sSub>
                      </m:num>
                      <m:den>
                        <m:r>
                          <m:rPr/>
                          <m:t>A</m:t>
                        </m:r>
                        <m:r>
                          <m:rPr/>
                          <m:t>+</m:t>
                        </m:r>
                        <m:sSub>
                          <m:e>
                            <m:r>
                              <m:rPr/>
                              <m:t>R</m:t>
                            </m:r>
                          </m:e>
                          <m:sub>
                            <m:r>
                              <m:rPr/>
                              <m:t>d</m:t>
                            </m:r>
                          </m:sub>
                        </m:sSub>
                      </m:den>
                    </m:f>
                  </m:e>
                </m:d>
                <m:f>
                  <m:fPr>
                    <m:type m:val="bar"/>
                  </m:fPr>
                  <m:num>
                    <m:r>
                      <m:rPr/>
                      <m:t>A</m:t>
                    </m:r>
                  </m:num>
                  <m:den>
                    <m:sSub>
                      <m:e>
                        <m:r>
                          <m:rPr/>
                          <m:t>g</m:t>
                        </m:r>
                      </m:e>
                      <m:sub>
                        <m:r>
                          <m:rPr/>
                          <m:t>m</m:t>
                        </m:r>
                      </m:sub>
                    </m:sSub>
                    <m:sSub>
                      <m:e>
                        <m:r>
                          <m:rPr/>
                          <m:t>C</m:t>
                        </m:r>
                      </m:e>
                      <m:sub>
                        <m:r>
                          <m:rPr/>
                          <m:t>a</m:t>
                        </m:r>
                      </m:sub>
                    </m:sSub>
                  </m:den>
                </m:f>
              </m:e>
            </m:mr>
          </m:m>
        </m:oMath>
      </m:oMathPara>
    </w:p>
    <w:p>
      <w:pPr>
        <w:pStyle w:val="BodyText"/>
      </w:pPr>
      <w:r>
        <w:br w:type="textWrapping"/>
      </w:r>
      <w:r>
        <w:t xml:space="preserve">(7)</w:t>
      </w:r>
    </w:p>
    <w:p>
      <w:pPr>
        <w:pStyle w:val="BodyText"/>
      </w:pPr>
      <m:oMathPara>
        <m:oMathParaPr>
          <m:jc m:val="center"/>
        </m:oMathParaPr>
        <m:oMath>
          <m:m>
            <m:mPr>
              <m:baseJc m:val="center"/>
              <m:plcHide m:val="on"/>
              <m:mcs>
                <m:mc>
                  <m:mcPr>
                    <m:mcJc m:val="right"/>
                  </m:mcPr>
                </m:mc>
              </m:mcs>
            </m:mPr>
            <m:mr>
              <m:e>
                <m:sSub>
                  <m:e>
                    <m:r>
                      <m:rPr/>
                      <m:t>Δ</m:t>
                    </m:r>
                  </m:e>
                  <m:sub>
                    <m:r>
                      <m:rPr/>
                      <m:t>e</m:t>
                    </m:r>
                  </m:sub>
                </m:sSub>
                <m:r>
                  <m:rPr/>
                  <m:t>=</m:t>
                </m:r>
              </m:e>
              <m:e>
                <m:f>
                  <m:fPr>
                    <m:type m:val="bar"/>
                  </m:fPr>
                  <m:num>
                    <m:r>
                      <m:rPr/>
                      <m:t>1</m:t>
                    </m:r>
                    <m:r>
                      <m:rPr/>
                      <m:t>+</m:t>
                    </m:r>
                    <m:r>
                      <m:rPr/>
                      <m:t>t</m:t>
                    </m:r>
                  </m:num>
                  <m:den>
                    <m:r>
                      <m:rPr/>
                      <m:t>1</m:t>
                    </m:r>
                    <m:r>
                      <m:rPr/>
                      <m:t>−</m:t>
                    </m:r>
                    <m:r>
                      <m:rPr/>
                      <m:t>t</m:t>
                    </m:r>
                  </m:den>
                </m:f>
                <m:d>
                  <m:dPr>
                    <m:begChr m:val="("/>
                    <m:endChr m:val=")"/>
                    <m:grow/>
                  </m:dPr>
                  <m:e>
                    <m:f>
                      <m:fPr>
                        <m:type m:val="bar"/>
                      </m:fPr>
                      <m:num>
                        <m:r>
                          <m:rPr/>
                          <m:t>e</m:t>
                        </m:r>
                        <m:sSub>
                          <m:e>
                            <m:r>
                              <m:rPr/>
                              <m:t>R</m:t>
                            </m:r>
                          </m:e>
                          <m:sub>
                            <m:r>
                              <m:rPr/>
                              <m:t>d</m:t>
                            </m:r>
                          </m:sub>
                        </m:sSub>
                      </m:num>
                      <m:den>
                        <m:r>
                          <m:rPr/>
                          <m:t>(</m:t>
                        </m:r>
                        <m:r>
                          <m:rPr/>
                          <m:t>A</m:t>
                        </m:r>
                        <m:r>
                          <m:rPr/>
                          <m:t>+</m:t>
                        </m:r>
                        <m:sSub>
                          <m:e>
                            <m:r>
                              <m:rPr/>
                              <m:t>R</m:t>
                            </m:r>
                          </m:e>
                          <m:sub>
                            <m:r>
                              <m:rPr/>
                              <m:t>d</m:t>
                            </m:r>
                          </m:sub>
                        </m:sSub>
                        <m:r>
                          <m:rPr/>
                          <m:t>)</m:t>
                        </m:r>
                        <m:sSub>
                          <m:e>
                            <m:r>
                              <m:rPr/>
                              <m:t>C</m:t>
                            </m:r>
                          </m:e>
                          <m:sub>
                            <m:r>
                              <m:rPr/>
                              <m:t>a</m:t>
                            </m:r>
                          </m:sub>
                        </m:sSub>
                      </m:den>
                    </m:f>
                    <m:r>
                      <m:rPr/>
                      <m:t>(</m:t>
                    </m:r>
                    <m:sSub>
                      <m:e>
                        <m:r>
                          <m:rPr/>
                          <m:t>C</m:t>
                        </m:r>
                      </m:e>
                      <m:sub>
                        <m:r>
                          <m:rPr/>
                          <m:t>i</m:t>
                        </m:r>
                      </m:sub>
                    </m:sSub>
                    <m:r>
                      <m:rPr/>
                      <m:t>−</m:t>
                    </m:r>
                    <m:sSub>
                      <m:e>
                        <m:r>
                          <m:rPr/>
                          <m:t>Γ</m:t>
                        </m:r>
                      </m:e>
                      <m:sub>
                        <m:r>
                          <m:rPr/>
                          <m:t>*</m:t>
                        </m:r>
                      </m:sub>
                    </m:sSub>
                    <m:r>
                      <m:rPr/>
                      <m:t>)</m:t>
                    </m:r>
                  </m:e>
                </m:d>
              </m:e>
            </m:mr>
          </m:m>
        </m:oMath>
      </m:oMathPara>
    </w:p>
    <w:p>
      <w:pPr>
        <w:pStyle w:val="BodyText"/>
      </w:pPr>
      <w:r>
        <w:br w:type="textWrapping"/>
      </w:r>
      <w:r>
        <w:t xml:space="preserve">(8)</w:t>
      </w:r>
    </w:p>
    <w:p>
      <w:pPr>
        <w:pStyle w:val="BodyText"/>
      </w:pPr>
      <m:oMathPara>
        <m:oMathParaPr>
          <m:jc m:val="center"/>
        </m:oMathParaPr>
        <m:oMath>
          <m:m>
            <m:mPr>
              <m:baseJc m:val="center"/>
              <m:plcHide m:val="on"/>
              <m:mcs>
                <m:mc>
                  <m:mcPr>
                    <m:mcJc m:val="right"/>
                  </m:mcPr>
                </m:mc>
              </m:mcs>
            </m:mPr>
            <m:mr>
              <m:e>
                <m:sSub>
                  <m:e>
                    <m:r>
                      <m:rPr/>
                      <m:t>Δ</m:t>
                    </m:r>
                  </m:e>
                  <m:sub>
                    <m:r>
                      <m:rPr/>
                      <m:t>f</m:t>
                    </m:r>
                  </m:sub>
                </m:sSub>
                <m:r>
                  <m:rPr/>
                  <m:t>=</m:t>
                </m:r>
              </m:e>
              <m:e>
                <m:f>
                  <m:fPr>
                    <m:type m:val="bar"/>
                  </m:fPr>
                  <m:num>
                    <m:r>
                      <m:rPr/>
                      <m:t>1</m:t>
                    </m:r>
                    <m:r>
                      <m:rPr/>
                      <m:t>+</m:t>
                    </m:r>
                    <m:r>
                      <m:rPr/>
                      <m:t>t</m:t>
                    </m:r>
                  </m:num>
                  <m:den>
                    <m:r>
                      <m:rPr/>
                      <m:t>1</m:t>
                    </m:r>
                    <m:r>
                      <m:rPr/>
                      <m:t>−</m:t>
                    </m:r>
                    <m:r>
                      <m:rPr/>
                      <m:t>t</m:t>
                    </m:r>
                  </m:den>
                </m:f>
                <m:d>
                  <m:dPr>
                    <m:begChr m:val="("/>
                    <m:endChr m:val=")"/>
                    <m:grow/>
                  </m:dPr>
                  <m:e>
                    <m:r>
                      <m:rPr/>
                      <m:t>f</m:t>
                    </m:r>
                    <m:f>
                      <m:fPr>
                        <m:type m:val="bar"/>
                      </m:fPr>
                      <m:num>
                        <m:sSub>
                          <m:e>
                            <m:r>
                              <m:rPr/>
                              <m:t>Γ</m:t>
                            </m:r>
                          </m:e>
                          <m:sub>
                            <m:r>
                              <m:rPr/>
                              <m:t>*</m:t>
                            </m:r>
                          </m:sub>
                        </m:sSub>
                      </m:num>
                      <m:den>
                        <m:sSub>
                          <m:e>
                            <m:r>
                              <m:rPr/>
                              <m:t>C</m:t>
                            </m:r>
                          </m:e>
                          <m:sub>
                            <m:r>
                              <m:rPr/>
                              <m:t>a</m:t>
                            </m:r>
                          </m:sub>
                        </m:sSub>
                      </m:den>
                    </m:f>
                  </m:e>
                </m:d>
              </m:e>
            </m:mr>
          </m:m>
        </m:oMath>
      </m:oMathPara>
    </w:p>
    <w:p>
      <w:pPr>
        <w:pStyle w:val="BodyText"/>
      </w:pPr>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pPr>
        <w:pStyle w:val="BodyText"/>
      </w:pPr>
      <w:r>
        <w:br w:type="textWrapping"/>
      </w:r>
      <w:r>
        <w:t xml:space="preserve">(9)</w:t>
      </w:r>
    </w:p>
    <w:p>
      <w:pPr>
        <w:pStyle w:val="BodyText"/>
      </w:pPr>
      <m:oMathPara>
        <m:oMathParaPr>
          <m:jc m:val="center"/>
        </m:oMathParaPr>
        <m:oMath>
          <m:r>
            <m:rPr/>
            <m:t>a</m:t>
          </m:r>
          <m:r>
            <m:rPr/>
            <m:t>′</m:t>
          </m:r>
          <m:r>
            <m:rPr/>
            <m:t>=</m:t>
          </m:r>
          <m:f>
            <m:fPr>
              <m:type m:val="bar"/>
            </m:fPr>
            <m:num>
              <m:sSub>
                <m:e>
                  <m:r>
                    <m:rPr/>
                    <m:t>a</m:t>
                  </m:r>
                </m:e>
                <m:sub>
                  <m:r>
                    <m:rPr/>
                    <m:t>b</m:t>
                  </m:r>
                </m:sub>
              </m:sSub>
              <m:r>
                <m:rPr/>
                <m:t>(</m:t>
              </m:r>
              <m:sSub>
                <m:e>
                  <m:r>
                    <m:rPr/>
                    <m:t>C</m:t>
                  </m:r>
                </m:e>
                <m:sub>
                  <m:r>
                    <m:rPr/>
                    <m:t>a</m:t>
                  </m:r>
                </m:sub>
              </m:sSub>
              <m:r>
                <m:rPr/>
                <m:t>−</m:t>
              </m:r>
              <m:sSub>
                <m:e>
                  <m:r>
                    <m:rPr/>
                    <m:t>C</m:t>
                  </m:r>
                </m:e>
                <m:sub>
                  <m:r>
                    <m:rPr/>
                    <m:t>i</m:t>
                  </m:r>
                </m:sub>
              </m:sSub>
              <m:r>
                <m:rPr/>
                <m:t>)</m:t>
              </m:r>
              <m:r>
                <m:rPr/>
                <m:t>+</m:t>
              </m:r>
              <m:r>
                <m:rPr/>
                <m:t>a</m:t>
              </m:r>
              <m:r>
                <m:rPr/>
                <m:t>(</m:t>
              </m:r>
              <m:sSub>
                <m:e>
                  <m:r>
                    <m:rPr/>
                    <m:t>C</m:t>
                  </m:r>
                </m:e>
                <m:sub>
                  <m:r>
                    <m:rPr/>
                    <m:t>s</m:t>
                  </m:r>
                </m:sub>
              </m:sSub>
              <m:r>
                <m:rPr/>
                <m:t>−</m:t>
              </m:r>
              <m:sSub>
                <m:e>
                  <m:r>
                    <m:rPr/>
                    <m:t>C</m:t>
                  </m:r>
                </m:e>
                <m:sub>
                  <m:r>
                    <m:rPr/>
                    <m:t>i</m:t>
                  </m:r>
                </m:sub>
              </m:sSub>
              <m:r>
                <m:rPr/>
                <m:t>)</m:t>
              </m:r>
            </m:num>
            <m:den>
              <m:sSub>
                <m:e>
                  <m:r>
                    <m:rPr/>
                    <m:t>C</m:t>
                  </m:r>
                </m:e>
                <m:sub>
                  <m:r>
                    <m:rPr/>
                    <m:t>a</m:t>
                  </m:r>
                </m:sub>
              </m:sSub>
              <m:r>
                <m:rPr/>
                <m:t>−</m:t>
              </m:r>
              <m:sSub>
                <m:e>
                  <m:r>
                    <m:rPr/>
                    <m:t>C</m:t>
                  </m:r>
                </m:e>
                <m:sub>
                  <m:r>
                    <m:rPr/>
                    <m:t>i</m:t>
                  </m:r>
                </m:sub>
              </m:sSub>
            </m:den>
          </m:f>
        </m:oMath>
      </m:oMathPara>
    </w:p>
    <w:p>
      <w:pPr>
        <w:pStyle w:val="BodyText"/>
      </w:pPr>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w:t>
      </w:r>
      <w:r>
        <w:t xml:space="preserve"> </w:t>
      </w:r>
      <w:r>
        <w:rPr>
          <w:i/>
        </w:rPr>
        <w:t xml:space="preserve">et al.</w:t>
      </w:r>
      <w:r>
        <w:t xml:space="preserve"> </w:t>
      </w:r>
      <w:r>
        <w:t xml:space="preserve">1986)</w:t>
      </w:r>
      <w:r>
        <w:t xml:space="preserve">. We calculate discrimination during day respiration (e) following Wingate et al.</w:t>
      </w:r>
      <w:r>
        <w:t xml:space="preserve"> </w:t>
      </w:r>
      <w:r>
        <w:t xml:space="preserve">(2007)</w:t>
      </w:r>
      <w:r>
        <w:t xml:space="preserve"> </w:t>
      </w:r>
      <w:r>
        <w:t xml:space="preserve">as e =</w:t>
      </w:r>
      <w:r>
        <w:t xml:space="preserve"> </w:t>
      </w:r>
      <m:oMath>
        <m:sSup>
          <m:e>
            <m:r>
              <m:rPr/>
              <m:t>δ</m:t>
            </m:r>
          </m:e>
          <m:sup>
            <m:r>
              <m:rPr/>
              <m:t>13</m:t>
            </m:r>
          </m:sup>
        </m:sSup>
        <m:sSub>
          <m:e>
            <m:r>
              <m:rPr/>
              <m:t>C</m:t>
            </m:r>
          </m:e>
          <m:sub>
            <m:r>
              <m:rPr/>
              <m:t>t</m:t>
            </m:r>
            <m:r>
              <m:rPr/>
              <m:t>a</m:t>
            </m:r>
            <m:r>
              <m:rPr/>
              <m:t>n</m:t>
            </m:r>
            <m:r>
              <m:rPr/>
              <m:t>k</m:t>
            </m:r>
          </m:sub>
        </m:sSub>
      </m:oMath>
      <w:r>
        <w:t xml:space="preserve"> </w:t>
      </w:r>
      <w:r>
        <w:t xml:space="preserve">-</w:t>
      </w:r>
      <w:r>
        <w:t xml:space="preserve"> </w:t>
      </w:r>
      <m:oMath>
        <m:sSup>
          <m:e>
            <m:r>
              <m:rPr/>
              <m:t>δ</m:t>
            </m:r>
          </m:e>
          <m:sup>
            <m:r>
              <m:rPr/>
              <m:t>13</m:t>
            </m:r>
          </m:sup>
        </m:sSup>
        <m:sSub>
          <m:e>
            <m:r>
              <m:rPr/>
              <m:t>C</m:t>
            </m:r>
          </m:e>
          <m:sub>
            <m:r>
              <m:rPr/>
              <m:t>a</m:t>
            </m:r>
            <m:r>
              <m:rPr/>
              <m:t>t</m:t>
            </m:r>
            <m:r>
              <m:rPr/>
              <m:t>m</m:t>
            </m:r>
            <m:r>
              <m:rPr/>
              <m:t>o</m:t>
            </m:r>
            <m:r>
              <m:rPr/>
              <m:t>s</m:t>
            </m:r>
            <m:r>
              <m:rPr/>
              <m:t>p</m:t>
            </m:r>
            <m:r>
              <m:rPr/>
              <m:t>h</m:t>
            </m:r>
            <m:r>
              <m:rPr/>
              <m:t>e</m:t>
            </m:r>
            <m:r>
              <m:rPr/>
              <m:t>r</m:t>
            </m:r>
            <m:r>
              <m:rPr/>
              <m:t>e</m:t>
            </m:r>
          </m:sub>
        </m:sSub>
      </m:oMath>
      <w:r>
        <w:t xml:space="preserve">. In this study,</w:t>
      </w:r>
      <w:r>
        <w:t xml:space="preserve"> </w:t>
      </w:r>
      <m:oMath>
        <m:sSup>
          <m:e>
            <m:r>
              <m:rPr/>
              <m:t>δ</m:t>
            </m:r>
          </m:e>
          <m:sup>
            <m:r>
              <m:rPr/>
              <m:t>13</m:t>
            </m:r>
          </m:sup>
        </m:sSup>
        <m:sSub>
          <m:e>
            <m:r>
              <m:rPr/>
              <m:t>C</m:t>
            </m:r>
          </m:e>
          <m:sub>
            <m:r>
              <m:rPr/>
              <m:t>t</m:t>
            </m:r>
            <m:r>
              <m:rPr/>
              <m:t>a</m:t>
            </m:r>
            <m:r>
              <m:rPr/>
              <m:t>n</m:t>
            </m:r>
            <m:r>
              <m:rPr/>
              <m:t>k</m:t>
            </m:r>
          </m:sub>
        </m:sSub>
      </m:oMath>
      <w:r>
        <w:t xml:space="preserve"> </w:t>
      </w:r>
      <w:r>
        <w:t xml:space="preserve">was -4 to -6‰ and</w:t>
      </w:r>
      <w:r>
        <w:t xml:space="preserve"> </w:t>
      </w:r>
      <m:oMath>
        <m:sSup>
          <m:e>
            <m:r>
              <m:rPr/>
              <m:t>δ</m:t>
            </m:r>
          </m:e>
          <m:sup>
            <m:r>
              <m:rPr/>
              <m:t>13</m:t>
            </m:r>
          </m:sup>
        </m:sSup>
        <m:sSub>
          <m:e>
            <m:r>
              <m:rPr/>
              <m:t>C</m:t>
            </m:r>
          </m:e>
          <m:sub>
            <m:r>
              <m:rPr/>
              <m:t>a</m:t>
            </m:r>
            <m:r>
              <m:rPr/>
              <m:t>t</m:t>
            </m:r>
            <m:r>
              <m:rPr/>
              <m:t>m</m:t>
            </m:r>
            <m:r>
              <m:rPr/>
              <m:t>o</m:t>
            </m:r>
            <m:r>
              <m:rPr/>
              <m:t>s</m:t>
            </m:r>
            <m:r>
              <m:rPr/>
              <m:t>p</m:t>
            </m:r>
            <m:r>
              <m:rPr/>
              <m:t>h</m:t>
            </m:r>
            <m:r>
              <m:rPr/>
              <m:t>e</m:t>
            </m:r>
            <m:r>
              <m:rPr/>
              <m:t>r</m:t>
            </m:r>
            <m:r>
              <m:rPr/>
              <m:t>e</m:t>
            </m:r>
          </m:sub>
        </m:sSub>
      </m:oMath>
      <w:r>
        <w:t xml:space="preserve"> </w:t>
      </w:r>
      <w:r>
        <w:t xml:space="preserve">was -12‰.</w:t>
      </w:r>
      <w:r>
        <w:t xml:space="preserve"> </w:t>
      </w:r>
      <m:oMath>
        <m:sSup>
          <m:e>
            <m:r>
              <m:rPr/>
              <m:t>δ</m:t>
            </m:r>
          </m:e>
          <m:sup>
            <m:r>
              <m:rPr/>
              <m:t>13</m:t>
            </m:r>
          </m:sup>
        </m:sSup>
        <m:sSub>
          <m:e>
            <m:r>
              <m:rPr/>
              <m:t>C</m:t>
            </m:r>
          </m:e>
          <m:sub>
            <m:r>
              <m:rPr/>
              <m:t>a</m:t>
            </m:r>
            <m:r>
              <m:rPr/>
              <m:t>t</m:t>
            </m:r>
            <m:r>
              <m:rPr/>
              <m:t>m</m:t>
            </m:r>
            <m:r>
              <m:rPr/>
              <m:t>o</m:t>
            </m:r>
            <m:r>
              <m:rPr/>
              <m:t>s</m:t>
            </m:r>
            <m:r>
              <m:rPr/>
              <m:t>p</m:t>
            </m:r>
            <m:r>
              <m:rPr/>
              <m:t>h</m:t>
            </m:r>
            <m:r>
              <m:rPr/>
              <m:t>e</m:t>
            </m:r>
            <m:r>
              <m:rPr/>
              <m:t>r</m:t>
            </m:r>
            <m:r>
              <m:rPr/>
              <m:t>e</m:t>
            </m:r>
          </m:sub>
        </m:sSub>
      </m:oMath>
      <w:r>
        <w:t xml:space="preserve"> </w:t>
      </w:r>
      <w:r>
        <w:t xml:space="preserve">represents the mean whole-tree chamber</w:t>
      </w:r>
      <w:r>
        <w:t xml:space="preserve"> </w:t>
      </w:r>
      <m:oMath>
        <m:sSup>
          <m:e>
            <m:r>
              <m:rPr/>
              <m:t>δ</m:t>
            </m:r>
          </m:e>
          <m:sup>
            <m:r>
              <m:rPr/>
              <m:t>13</m:t>
            </m:r>
          </m:sup>
        </m:sSup>
        <m:r>
          <m:rPr/>
          <m:t>C</m:t>
        </m:r>
      </m:oMath>
      <w:r>
        <w:t xml:space="preserve"> </w:t>
      </w:r>
      <w:r>
        <w:t xml:space="preserve">measured in a separate experiment (data not shown), during similar diurnal time periods as the gas exchange campaigns presented here.</w:t>
      </w:r>
      <w:r>
        <w:t xml:space="preserve"> </w:t>
      </w:r>
      <w:r>
        <w:rPr>
          <w:i/>
        </w:rPr>
        <w:t xml:space="preserve">C</w:t>
      </w:r>
      <w:r>
        <w:rPr>
          <w:vertAlign w:val="subscript"/>
        </w:rPr>
        <w:t xml:space="preserve">a</w:t>
      </w:r>
      <w:r>
        <w:t xml:space="preserve"> </w:t>
      </w:r>
      <w:r>
        <w:t xml:space="preserve">and</w:t>
      </w:r>
      <w:r>
        <w:t xml:space="preserve"> </w:t>
      </w:r>
      <w:r>
        <w:rPr>
          <w:i/>
        </w:rPr>
        <w:t xml:space="preserve">C</w:t>
      </w:r>
      <w:r>
        <w:rPr>
          <w:vertAlign w:val="subscript"/>
        </w:rPr>
        <w:t xml:space="preserve">i</w:t>
      </w:r>
      <w:r>
        <w:t xml:space="preserve"> </w:t>
      </w:r>
      <w:r>
        <w:t xml:space="preserve">are the atmospheric and intercellular partial pressures and</w:t>
      </w:r>
      <w:r>
        <w:t xml:space="preserve"> </w:t>
      </w:r>
      <m:oMath>
        <m:sSub>
          <m:e>
            <m:r>
              <m:rPr/>
              <m:t>Γ</m:t>
            </m:r>
          </m:e>
          <m:sub>
            <m:r>
              <m:rPr/>
              <m:t>*</m:t>
            </m:r>
          </m:sub>
        </m:sSub>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sSub>
          <m:e>
            <m:r>
              <m:rPr/>
              <m:t>Γ</m:t>
            </m:r>
          </m:e>
          <m:sub>
            <m:r>
              <m:rPr/>
              <m:t>*</m:t>
            </m:r>
          </m:sub>
        </m:sSub>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 Crous et al.</w:t>
      </w:r>
      <w:r>
        <w:t xml:space="preserve"> </w:t>
      </w:r>
      <w:r>
        <w:t xml:space="preserve">(2012)</w:t>
      </w:r>
      <w:r>
        <w:t xml:space="preserve">. The ternary effect corrections (t) are described by:</w:t>
      </w:r>
    </w:p>
    <w:p>
      <w:pPr>
        <w:pStyle w:val="BodyText"/>
      </w:pPr>
      <w:r>
        <w:br w:type="textWrapping"/>
      </w:r>
      <w:r>
        <w:t xml:space="preserve">(10)</w:t>
      </w:r>
    </w:p>
    <w:p>
      <w:pPr>
        <w:pStyle w:val="BodyText"/>
      </w:pPr>
      <m:oMathPara>
        <m:oMathParaPr>
          <m:jc m:val="center"/>
        </m:oMathParaPr>
        <m:oMath>
          <m:r>
            <m:rPr/>
            <m:t>t</m:t>
          </m:r>
          <m:r>
            <m:rPr/>
            <m:t>=</m:t>
          </m:r>
          <m:f>
            <m:fPr>
              <m:type m:val="bar"/>
            </m:fPr>
            <m:num>
              <m:r>
                <m:rPr/>
                <m:t>(</m:t>
              </m:r>
              <m:r>
                <m:rPr/>
                <m:t>1</m:t>
              </m:r>
              <m:r>
                <m:rPr/>
                <m:t>+</m:t>
              </m:r>
              <m:r>
                <m:rPr/>
                <m:t>a</m:t>
              </m:r>
              <m:r>
                <m:rPr/>
                <m:t>′</m:t>
              </m:r>
              <m:r>
                <m:rPr/>
                <m:t>)</m:t>
              </m:r>
              <m:r>
                <m:rPr/>
                <m:t>E</m:t>
              </m:r>
            </m:num>
            <m:den>
              <m:r>
                <m:rPr/>
                <m:t>2</m:t>
              </m:r>
              <m:sSubSup>
                <m:e>
                  <m:r>
                    <m:rPr/>
                    <m:t>g</m:t>
                  </m:r>
                </m:e>
                <m:sub>
                  <m:r>
                    <m:rPr/>
                    <m:t>a</m:t>
                  </m:r>
                  <m:r>
                    <m:rPr/>
                    <m:t>c</m:t>
                  </m:r>
                </m:sub>
                <m:sup>
                  <m:r>
                    <m:rPr/>
                    <m:t>t</m:t>
                  </m:r>
                </m:sup>
              </m:sSubSup>
            </m:den>
          </m:f>
        </m:oMath>
      </m:oMathPara>
    </w:p>
    <w:p>
      <w:pPr>
        <w:pStyle w:val="BodyText"/>
      </w:pPr>
      <w:r>
        <w:t xml:space="preserve">where E denotes the transpiration rate and</w:t>
      </w:r>
      <w:r>
        <w:t xml:space="preserve"> </w:t>
      </w:r>
      <m:oMath>
        <m:sSubSup>
          <m:e>
            <m:r>
              <m:rPr>
                <m:sty m:val="p"/>
              </m:rPr>
              <m:t>g</m:t>
            </m:r>
          </m:e>
          <m:sub>
            <m:r>
              <m:rPr/>
              <m:t>a</m:t>
            </m:r>
            <m:r>
              <m:rPr/>
              <m:t>c</m:t>
            </m:r>
          </m:sub>
          <m:sup>
            <m:r>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pPr>
        <w:pStyle w:val="BodyText"/>
      </w:pPr>
      <w:r>
        <w:br w:type="textWrapping"/>
      </w:r>
      <w:r>
        <w:t xml:space="preserve">The</w:t>
      </w:r>
      <w:r>
        <w:t xml:space="preserve"> </w:t>
      </w:r>
      <w:r>
        <w:rPr>
          <w:i/>
        </w:rPr>
        <w:t xml:space="preserve">g</w:t>
      </w:r>
      <w:r>
        <w:rPr>
          <w:vertAlign w:val="subscript"/>
        </w:rPr>
        <w:t xml:space="preserve">m</w:t>
      </w:r>
      <w:r>
        <w:t xml:space="preserve"> </w:t>
      </w:r>
      <w:r>
        <w:t xml:space="preserve">can then be calculated as:</w:t>
      </w:r>
    </w:p>
    <w:p>
      <w:pPr>
        <w:pStyle w:val="BodyText"/>
      </w:pPr>
      <w:r>
        <w:br w:type="textWrapping"/>
      </w:r>
      <w:r>
        <w:t xml:space="preserve">(11)</w:t>
      </w:r>
    </w:p>
    <w:p>
      <w:pPr>
        <w:pStyle w:val="BodyText"/>
      </w:pPr>
      <m:oMathPara>
        <m:oMathParaPr>
          <m:jc m:val="center"/>
        </m:oMathParaPr>
        <m:oMath>
          <m:m>
            <m:mPr>
              <m:baseJc m:val="center"/>
              <m:plcHide m:val="on"/>
              <m:mcs>
                <m:mc>
                  <m:mcPr>
                    <m:mcJc m:val="right"/>
                  </m:mcPr>
                </m:mc>
              </m:mcs>
            </m:mPr>
            <m:mr>
              <m:e>
                <m:sSub>
                  <m:e>
                    <m:r>
                      <m:rPr/>
                      <m:t>g</m:t>
                    </m:r>
                  </m:e>
                  <m:sub>
                    <m:r>
                      <m:rPr/>
                      <m:t>m</m:t>
                    </m:r>
                  </m:sub>
                </m:sSub>
                <m:r>
                  <m:rPr/>
                  <m:t>=</m:t>
                </m:r>
                <m:d>
                  <m:dPr>
                    <m:begChr m:val="("/>
                    <m:endChr m:val=")"/>
                    <m:grow/>
                  </m:dPr>
                  <m:e>
                    <m:f>
                      <m:fPr>
                        <m:type m:val="bar"/>
                      </m:fPr>
                      <m:num>
                        <m:r>
                          <m:rPr/>
                          <m:t>1</m:t>
                        </m:r>
                        <m:r>
                          <m:rPr/>
                          <m:t>+</m:t>
                        </m:r>
                        <m:r>
                          <m:rPr/>
                          <m:t>t</m:t>
                        </m:r>
                      </m:num>
                      <m:den>
                        <m:r>
                          <m:rPr/>
                          <m:t>1</m:t>
                        </m:r>
                        <m:r>
                          <m:rPr/>
                          <m:t>−</m:t>
                        </m:r>
                        <m:r>
                          <m:rPr/>
                          <m:t>t</m:t>
                        </m:r>
                      </m:den>
                    </m:f>
                    <m:d>
                      <m:dPr>
                        <m:begChr m:val="("/>
                        <m:endChr m:val=")"/>
                        <m:grow/>
                      </m:dPr>
                      <m:e>
                        <m:r>
                          <m:rPr/>
                          <m:t>b</m:t>
                        </m:r>
                        <m:r>
                          <m:rPr/>
                          <m:t>−</m:t>
                        </m:r>
                        <m:sSub>
                          <m:e>
                            <m:r>
                              <m:rPr/>
                              <m:t>a</m:t>
                            </m:r>
                          </m:e>
                          <m:sub>
                            <m:r>
                              <m:rPr/>
                              <m:t>i</m:t>
                            </m:r>
                          </m:sub>
                        </m:sSub>
                        <m:r>
                          <m:rPr/>
                          <m:t>−</m:t>
                        </m:r>
                        <m:f>
                          <m:fPr>
                            <m:type m:val="bar"/>
                          </m:fPr>
                          <m:num>
                            <m:r>
                              <m:rPr/>
                              <m:t>e</m:t>
                            </m:r>
                            <m:sSub>
                              <m:e>
                                <m:r>
                                  <m:rPr/>
                                  <m:t>R</m:t>
                                </m:r>
                              </m:e>
                              <m:sub>
                                <m:r>
                                  <m:rPr/>
                                  <m:t>d</m:t>
                                </m:r>
                              </m:sub>
                            </m:sSub>
                          </m:num>
                          <m:den>
                            <m:r>
                              <m:rPr/>
                              <m:t>A</m:t>
                            </m:r>
                            <m:r>
                              <m:rPr/>
                              <m:t>+</m:t>
                            </m:r>
                            <m:sSub>
                              <m:e>
                                <m:r>
                                  <m:rPr/>
                                  <m:t>R</m:t>
                                </m:r>
                              </m:e>
                              <m:sub>
                                <m:r>
                                  <m:rPr/>
                                  <m:t>d</m:t>
                                </m:r>
                              </m:sub>
                            </m:sSub>
                          </m:den>
                        </m:f>
                      </m:e>
                    </m:d>
                    <m:f>
                      <m:fPr>
                        <m:type m:val="bar"/>
                      </m:fPr>
                      <m:num>
                        <m:r>
                          <m:rPr/>
                          <m:t>A</m:t>
                        </m:r>
                      </m:num>
                      <m:den>
                        <m:sSub>
                          <m:e>
                            <m:r>
                              <m:rPr/>
                              <m:t>C</m:t>
                            </m:r>
                          </m:e>
                          <m:sub>
                            <m:r>
                              <m:rPr/>
                              <m:t>a</m:t>
                            </m:r>
                          </m:sub>
                        </m:sSub>
                      </m:den>
                    </m:f>
                  </m:e>
                </m:d>
                <m:r>
                  <m:rPr/>
                  <m:t>/</m:t>
                </m:r>
                <m:d>
                  <m:dPr>
                    <m:begChr m:val="("/>
                    <m:endChr m:val=")"/>
                    <m:grow/>
                  </m:dPr>
                  <m:e>
                    <m:sSub>
                      <m:e>
                        <m:r>
                          <m:rPr/>
                          <m:t>Δ</m:t>
                        </m:r>
                      </m:e>
                      <m:sub>
                        <m:r>
                          <m:rPr/>
                          <m:t>i</m:t>
                        </m:r>
                      </m:sub>
                    </m:sSub>
                    <m:r>
                      <m:rPr/>
                      <m:t>−</m:t>
                    </m:r>
                    <m:sSub>
                      <m:e>
                        <m:r>
                          <m:rPr/>
                          <m:t>Δ</m:t>
                        </m:r>
                      </m:e>
                      <m:sub>
                        <m:r>
                          <m:rPr/>
                          <m:t>o</m:t>
                        </m:r>
                      </m:sub>
                    </m:sSub>
                    <m:r>
                      <m:rPr/>
                      <m:t>−</m:t>
                    </m:r>
                    <m:sSub>
                      <m:e>
                        <m:r>
                          <m:rPr/>
                          <m:t>Δ</m:t>
                        </m:r>
                      </m:e>
                      <m:sub>
                        <m:r>
                          <m:rPr/>
                          <m:t>e</m:t>
                        </m:r>
                      </m:sub>
                    </m:sSub>
                    <m:r>
                      <m:rPr/>
                      <m:t>−</m:t>
                    </m:r>
                    <m:sSub>
                      <m:e>
                        <m:r>
                          <m:rPr/>
                          <m:t>Δ</m:t>
                        </m:r>
                      </m:e>
                      <m:sub>
                        <m:r>
                          <m:rPr/>
                          <m:t>f</m:t>
                        </m:r>
                      </m:sub>
                    </m:sSub>
                  </m:e>
                </m:d>
              </m:e>
            </m:mr>
          </m:m>
        </m:oMath>
      </m:oMathPara>
    </w:p>
    <w:p>
      <w:pPr>
        <w:pStyle w:val="BodyText"/>
      </w:pPr>
      <w:r>
        <w:t xml:space="preserve">Here,</w:t>
      </w:r>
      <w:r>
        <w:t xml:space="preserve"> </w:t>
      </w:r>
      <w:r>
        <w:rPr>
          <w:i/>
        </w:rPr>
        <w:t xml:space="preserve">g</w:t>
      </w:r>
      <w:r>
        <w:rPr>
          <w:vertAlign w:val="subscript"/>
        </w:rPr>
        <w:t xml:space="preserve">m</w:t>
      </w:r>
      <w:r>
        <w:t xml:space="preserve"> </w:t>
      </w:r>
      <w:r>
        <w:t xml:space="preserve">is expressed in units of 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w:t>
      </w:r>
      <w:r>
        <w:t xml:space="preserve">to be consistent with Evans &amp; von Caemmerer</w:t>
      </w:r>
      <w:r>
        <w:t xml:space="preserve"> </w:t>
      </w:r>
      <w:r>
        <w:t xml:space="preserve">(2013)</w:t>
      </w:r>
      <w:r>
        <w:t xml:space="preserve">. As the pressure term is nearly equal to unity, suitable comparisons between</w:t>
      </w:r>
      <w:r>
        <w:t xml:space="preserve"> </w:t>
      </w:r>
      <w:r>
        <w:rPr>
          <w:i/>
        </w:rPr>
        <w:t xml:space="preserve">g</w:t>
      </w:r>
      <w:r>
        <w:rPr>
          <w:vertAlign w:val="subscript"/>
        </w:rPr>
        <w:t xml:space="preserve">m</w:t>
      </w:r>
      <w:r>
        <w:t xml:space="preserve"> </w:t>
      </w:r>
      <w:r>
        <w:t xml:space="preserve">and</w:t>
      </w:r>
      <w:r>
        <w:t xml:space="preserve"> </w:t>
      </w:r>
      <w:r>
        <w:rPr>
          <w:i/>
        </w:rPr>
        <w:t xml:space="preserve">g</w:t>
      </w:r>
      <w:r>
        <w:rPr>
          <w:vertAlign w:val="subscript"/>
        </w:rPr>
        <w:t xml:space="preserve">s</w:t>
      </w:r>
      <w:r>
        <w:t xml:space="preserve"> </w:t>
      </w:r>
      <w:r>
        <w:t xml:space="preserve">can be made.</w:t>
      </w:r>
    </w:p>
    <w:p>
      <w:pPr>
        <w:pStyle w:val="Heading1"/>
      </w:pPr>
      <w:bookmarkStart w:id="28" w:name="references"/>
      <w:bookmarkEnd w:id="28"/>
      <w:r>
        <w:t xml:space="preserve">References</w:t>
      </w:r>
    </w:p>
    <w:p>
      <w:pPr>
        <w:pStyle w:val="Bibliography"/>
      </w:pPr>
      <w:r>
        <w:t xml:space="preserve">Crous K.Y., Zaragoza-Castells J., Ellsworth D.S., Duursma R.A., Loew M., Tissue D.T. &amp;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Evans J.R. &amp;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Evans J.R., Sharkey T.D., Berry J.A. &amp; Farquhar G.D. (1986) Carbon isotope discrimination measured concurrently with gas exchange to investigate CO</w:t>
      </w:r>
      <w:r>
        <w:rPr>
          <w:vertAlign w:val="subscript"/>
        </w:rPr>
        <w:t xml:space="preserve">2</w:t>
      </w:r>
      <w:r>
        <w:t xml:space="preserve"> </w:t>
      </w:r>
      <w:r>
        <w:t xml:space="preserve">diffusion in leaves of higher plants.</w:t>
      </w:r>
      <w:r>
        <w:t xml:space="preserve"> </w:t>
      </w:r>
      <w:r>
        <w:rPr>
          <w:i/>
        </w:rPr>
        <w:t xml:space="preserve">Functional Plant Biology</w:t>
      </w:r>
      <w:r>
        <w:t xml:space="preserve"> </w:t>
      </w:r>
      <w:r>
        <w:rPr>
          <w:b/>
        </w:rPr>
        <w:t xml:space="preserve">13</w:t>
      </w:r>
      <w:r>
        <w:t xml:space="preserve">, 281–292.</w:t>
      </w:r>
    </w:p>
    <w:p>
      <w:pPr>
        <w:pStyle w:val="Bibliography"/>
      </w:pPr>
      <w:r>
        <w:t xml:space="preserve">Farquhar G.D. &amp;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Griffiths H. &amp;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Wingate L., Seibt U., Moncrieff J.B., Jarvis P.G. &amp; Lloyd J. (2007) Variations in</w:t>
      </w:r>
      <w:r>
        <w:t xml:space="preserve"> </w:t>
      </w:r>
      <w:r>
        <w:rPr>
          <w:vertAlign w:val="superscript"/>
        </w:rPr>
        <w:t xml:space="preserve">13</w:t>
      </w:r>
      <w:r>
        <w:t xml:space="preserve">C discrimination during CO</w:t>
      </w:r>
      <w:r>
        <w:rPr>
          <w:vertAlign w:val="subscript"/>
        </w:rPr>
        <w:t xml:space="preserve">2</w:t>
      </w:r>
      <w:r>
        <w:t xml:space="preserve"> </w:t>
      </w:r>
      <w:r>
        <w:t xml:space="preserve">exchange by</w:t>
      </w:r>
      <w:r>
        <w:t xml:space="preserve"> </w:t>
      </w:r>
      <w:r>
        <w:rPr>
          <w:i/>
        </w:rPr>
        <w:t xml:space="preserve">Picea sitchensis</w:t>
      </w:r>
      <w:r>
        <w:t xml:space="preserve"> </w:t>
      </w:r>
      <w:r>
        <w:t xml:space="preserve">branches in the field.</w:t>
      </w:r>
      <w:r>
        <w:t xml:space="preserve"> </w:t>
      </w:r>
      <w:r>
        <w:rPr>
          <w:i/>
        </w:rPr>
        <w:t xml:space="preserve">Plant, Cell &amp; Environment</w:t>
      </w:r>
      <w:r>
        <w:t xml:space="preserve"> </w:t>
      </w:r>
      <w:r>
        <w:rPr>
          <w:b/>
        </w:rPr>
        <w:t xml:space="preserve">30</w:t>
      </w:r>
      <w:r>
        <w:t xml:space="preserve">, 600–616.</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D70B09">
          <w:rPr>
            <w:noProof/>
          </w:rPr>
          <w:t>1</w:t>
        </w:r>
        <w:r>
          <w:rPr>
            <w:noProof/>
          </w:rPr>
          <w:fldChar w:fldCharType="end"/>
        </w:r>
      </w:p>
    </w:sdtContent>
  </w:sdt>
  <w:p w:rsidR="006710CF" w:rsidRDefault="0024648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ddbf2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coreProperties>
</file>