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6.png" ContentType="image/png"/>
  <Override PartName="/word/media/rId44.png" ContentType="image/png"/>
  <Override PartName="/word/media/rId54.png" ContentType="image/png"/>
  <Override PartName="/word/media/rId46.png" ContentType="image/png"/>
  <Override PartName="/word/media/rId49.png" ContentType="image/png"/>
  <Override PartName="/word/media/rId55.png" ContentType="image/png"/>
  <Override PartName="/word/media/rId57.png" ContentType="image/png"/>
  <Override PartName="/word/media/rId58.png" ContentType="image/png"/>
  <Override PartName="/word/media/rId48.png" ContentType="image/png"/>
  <Override PartName="/word/media/rId43.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ARC Centre of Excellence for Translational Photosynthesis, 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p>
    <w:p>
      <w:pPr>
        <w:pStyle w:val="BodyText"/>
      </w:pPr>
      <w:r>
        <w:br w:type="textWrapping"/>
      </w:r>
      <w:r>
        <w:t xml:space="preserve"> </w:t>
      </w:r>
      <w:r>
        <w:t xml:space="preserve">|count | answer|count2 |answer2 | |:-----------------------------|------:|:------------------------------------|:------------------------| |Total word count (main body): | 5535|No. of Figures: |6 (all in color) | |Summary: | 219|No of Tables: |2 | |Introduction: | 1207|No. of Supporting Information files: |6 (5 Figures, 1 Methods) | |Materials and Methods: | 1847| | | |Results: | 1102| | | |Discussion: | 1359| | | |Acknowledgements: | 20| | |</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leaf nitrogen and photosynthetic biochemical parameters (Vc</w:t>
      </w:r>
      <w:r>
        <w:rPr>
          <w:vertAlign w:val="subscript"/>
        </w:rPr>
        <w:t xml:space="preserve">max</w:t>
      </w:r>
      <w:r>
        <w:t xml:space="preserve"> </w:t>
      </w:r>
      <w:r>
        <w:t xml:space="preserve">and J</w:t>
      </w:r>
      <w:r>
        <w:rPr>
          <w:vertAlign w:val="subscript"/>
        </w:rPr>
        <w:t xml:space="preserve">max</w:t>
      </w:r>
      <w:r>
        <w:t xml:space="preserve">), but g</w:t>
      </w:r>
      <w:r>
        <w:rPr>
          <w:vertAlign w:val="subscript"/>
        </w:rPr>
        <w:t xml:space="preserve">s</w:t>
      </w:r>
      <w:r>
        <w:t xml:space="preserve"> </w:t>
      </w:r>
      <w:r>
        <w:t xml:space="preserve">was similar. When light intensity was increased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up-regulation of g</w:t>
      </w:r>
      <w:r>
        <w:rPr>
          <w:vertAlign w:val="subscript"/>
        </w:rPr>
        <w:t xml:space="preserve">m</w:t>
      </w:r>
      <w:r>
        <w:t xml:space="preserve"> </w:t>
      </w:r>
      <w:r>
        <w:t xml:space="preserve">over short time intervals with light enables shade leaves to respond quickly to sunflecks, possibly representing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 Buckley</w:t>
      </w:r>
      <w:r>
        <w:t xml:space="preserve"> </w:t>
      </w:r>
      <w:r>
        <w:rPr>
          <w:i/>
        </w:rPr>
        <w:t xml:space="preserve">et al.</w:t>
      </w:r>
      <w:r>
        <w:t xml:space="preserve">, 2013)</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(Sellin</w:t>
      </w:r>
      <w:r>
        <w:t xml:space="preserve"> </w:t>
      </w:r>
      <w:r>
        <w:rPr>
          <w:i/>
        </w:rPr>
        <w:t xml:space="preserve">et al.</w:t>
      </w:r>
      <w:r>
        <w:t xml:space="preserve">, 2008; Burgess</w:t>
      </w:r>
      <w:r>
        <w:t xml:space="preserve"> </w:t>
      </w:r>
      <w:r>
        <w:rPr>
          <w:i/>
        </w:rPr>
        <w:t xml:space="preserve">et al.</w:t>
      </w:r>
      <w:r>
        <w:t xml:space="preserve">; Sellin &amp; Kupper )</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 terashima2001sun; Hanba</w:t>
      </w:r>
      <w:r>
        <w:t xml:space="preserve"> </w:t>
      </w:r>
      <w:r>
        <w:rPr>
          <w:i/>
        </w:rPr>
        <w:t xml:space="preserve">et al.</w:t>
      </w:r>
      <w:r>
        <w:t xml:space="preserve">, 2002)</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test whether the distribution of nitrogen and water supply and leaf physiological behaviour result in higher photosynthetic capacity in sun leaves compared to shade leaves. As leaves which developed in the shade were expected to have lower biochemical photosynthetic capacity, we then predicted that sunfleck simulations would not increase</w:t>
      </w:r>
      <w:r>
        <w:t xml:space="preserve"> </w:t>
      </w:r>
      <w:r>
        <w:rPr>
          <w:i/>
        </w:rPr>
        <w:t xml:space="preserve">A</w:t>
      </w:r>
      <w:r>
        <w:rPr>
          <w:vertAlign w:val="subscript"/>
          <w:i/>
        </w:rPr>
        <w:t xml:space="preserve">n</w:t>
      </w:r>
      <w:r>
        <w:t xml:space="preserve"> </w:t>
      </w:r>
      <w:r>
        <w:t xml:space="preserve">to rates similar to sun leaves. We further predicted that climate warming would decrease g</w:t>
      </w:r>
      <w:r>
        <w:rPr>
          <w:vertAlign w:val="subscript"/>
        </w:rPr>
        <w:t xml:space="preserve">s</w:t>
      </w:r>
      <w:r>
        <w:t xml:space="preserve"> </w:t>
      </w:r>
      <w:r>
        <w:t xml:space="preserve">and leaf C gain in sun leaves during summer months, as increased evaporation demand from higher temperatures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 Barton et al.</w:t>
      </w:r>
      <w:r>
        <w:t xml:space="preserve"> </w:t>
      </w:r>
      <w:r>
        <w:t xml:space="preserve">(2010)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p>
    <w:p>
      <w:pPr>
        <w:pStyle w:val="BodyText"/>
      </w:pP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(Von 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matter are reported relative to standard Vienna Pee Dee Belemnite.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 neither leaf water potentials (</w:t>
      </w:r>
      <m:oMath>
        <m:sSub>
          <m:e>
            <m:r>
              <m:rPr/>
              <m:t>Ψ</m:t>
            </m:r>
          </m:e>
          <m:sub>
            <m:r>
              <m:rPr/>
              <m:t>p</m:t>
            </m:r>
            <m:r>
              <m:rPr/>
              <m:t>d</m:t>
            </m:r>
          </m:sub>
        </m:sSub>
      </m:oMath>
      <w:r>
        <w:t xml:space="preserve"> </w:t>
      </w:r>
      <w:r>
        <w:t xml:space="preserve">and</w:t>
      </w:r>
      <w:r>
        <w:t xml:space="preserve"> </w:t>
      </w:r>
      <m:oMath>
        <m:sSub>
          <m:e>
            <m:r>
              <m:rPr/>
              <m:t>Ψ</m:t>
            </m:r>
          </m:e>
          <m:sub>
            <m:r>
              <m:rPr/>
              <m:t>l</m:t>
            </m:r>
          </m:sub>
        </m:sSub>
      </m:oMath>
      <w:r>
        <w:t xml:space="preserve">, Table 1) nor transpiration rates (E, Table 2) differed between leaf types. Leaf N</w:t>
      </w:r>
      <w:r>
        <w:rPr>
          <w:vertAlign w:val="subscript"/>
        </w:rPr>
        <w:t xml:space="preserve">a</w:t>
      </w:r>
      <w:r>
        <w:t xml:space="preserve"> </w:t>
      </w:r>
      <w:r>
        <w:t xml:space="preserve">was approximately 20% higher in sun leaves compared to shade leaves (Table 1). Leaf mass per area (LMA) was not different between leaf types (Table 1).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S4a).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S5b).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S5a).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w:t>
      </w:r>
    </w:p>
    <w:p>
      <w:pPr>
        <w:pStyle w:val="BodyText"/>
      </w:pPr>
      <w:r>
        <w:t xml:space="preserve">Following a short-term increase in PPFD from low to high light, g</w:t>
      </w:r>
      <w:r>
        <w:rPr>
          <w:vertAlign w:val="subscript"/>
        </w:rPr>
        <w:t xml:space="preserve">m</w:t>
      </w:r>
      <w:r>
        <w:t xml:space="preserve"> </w:t>
      </w:r>
      <w:r>
        <w:t xml:space="preserve">of shade leaves increased to values significantly greater than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w:t>
      </w:r>
    </w:p>
    <w:p>
      <w:pPr>
        <w:pStyle w:val="BodyText"/>
      </w:pPr>
      <w:r>
        <w:t xml:space="preserve">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S4b),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S3) and AC</w:t>
      </w:r>
      <w:r>
        <w:rPr>
          <w:vertAlign w:val="subscript"/>
        </w:rPr>
        <w:t xml:space="preserve">i</w:t>
      </w:r>
      <w:r>
        <w:t xml:space="preserve"> </w:t>
      </w:r>
      <w:r>
        <w:t xml:space="preserve">curves revealed similar differences between sun and shade leaves.</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S5c and S4c,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&amp;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 Additionally, consistently lower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694.444444444443"/>
        <w:tblLook w:firstRow="1"/>
      </w:tblPr>
      <w:tblGrid>
        <w:gridCol w:w="1100"/>
        <w:gridCol w:w="1870"/>
        <w:gridCol w:w="1650"/>
        <w:gridCol w:w="1650"/>
        <w:gridCol w:w="1650"/>
        <w:gridCol w:w="176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drawing>
          <wp:inline>
            <wp:extent cx="5943600" cy="7439819"/>
            <wp:effectExtent b="0" l="0" r="0" t="0"/>
            <wp:docPr descr="" id="1" name="Picture"/>
            <a:graphic>
              <a:graphicData uri="http://schemas.openxmlformats.org/drawingml/2006/picture">
                <pic:pic>
                  <pic:nvPicPr>
                    <pic:cNvPr descr="manuscript_gmes_files/figure-docx/acicurves-1.png" id="0" name="Picture"/>
                    <pic:cNvPicPr>
                      <a:picLocks noChangeArrowheads="1" noChangeAspect="1"/>
                    </pic:cNvPicPr>
                  </pic:nvPicPr>
                  <pic:blipFill>
                    <a:blip r:embed="rId44"/>
                    <a:stretch>
                      <a:fillRect/>
                    </a:stretch>
                  </pic:blipFill>
                  <pic:spPr bwMode="auto">
                    <a:xfrm>
                      <a:off x="0" y="0"/>
                      <a:ext cx="5943600" cy="7439819"/>
                    </a:xfrm>
                    <a:prstGeom prst="rect">
                      <a:avLst/>
                    </a:prstGeom>
                    <a:noFill/>
                    <a:ln w="9525">
                      <a:noFill/>
                      <a:headEnd/>
                      <a:tailEnd/>
                    </a:ln>
                  </pic:spPr>
                </pic:pic>
              </a:graphicData>
            </a:graphic>
          </wp:inline>
        </w:drawing>
      </w:r>
      <w:r>
        <w:br w:type="textWrapping"/>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w:t>
      </w:r>
      <w:r>
        <w:t xml:space="preserve">. The relationship between</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6"/>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4</w:t>
      </w:r>
      <w:r>
        <w:t xml:space="preserve">. Box plots of measured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5</w:t>
      </w:r>
      <w:r>
        <w:t xml:space="preserve">. (a) The relationship between instantaneous transpiration efficiency (ITE) and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943600" cy="5943600"/>
            <wp:effectExtent b="0" l="0" r="0" t="0"/>
            <wp:docPr descr="" id="1" name="Picture"/>
            <a:graphic>
              <a:graphicData uri="http://schemas.openxmlformats.org/drawingml/2006/picture">
                <pic:pic>
                  <pic:nvPicPr>
                    <pic:cNvPr descr="manuscript_gmes_files/figure-docx/gmshade-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6</w:t>
      </w:r>
      <w:r>
        <w:t xml:space="preserve">. The change in measured g</w:t>
      </w:r>
      <w:r>
        <w:rPr>
          <w:vertAlign w:val="subscript"/>
        </w:rPr>
        <w:t xml:space="preserve">m</w:t>
      </w:r>
      <w:r>
        <w:t xml:space="preserve"> </w:t>
      </w:r>
      <w:r>
        <w:t xml:space="preserve">for individual shade leaves following an increase in PPFD to match the light environment of the full sun leaf in the same tree. Measurements of g</w:t>
      </w:r>
      <w:r>
        <w:rPr>
          <w:vertAlign w:val="subscript"/>
        </w:rPr>
        <w:t xml:space="preserve">m</w:t>
      </w:r>
      <w:r>
        <w:t xml:space="preserve"> </w:t>
      </w:r>
      <w:r>
        <w:t xml:space="preserve">were recorded after CO</w:t>
      </w:r>
      <w:r>
        <w:rPr>
          <w:vertAlign w:val="subscript"/>
        </w:rPr>
        <w:t xml:space="preserve">2</w:t>
      </w:r>
      <w:r>
        <w:t xml:space="preserve"> </w:t>
      </w:r>
      <w:r>
        <w:t xml:space="preserve">and water vapour fluxes were stable in the leaf cuvette, which took approximately 25 minutes once light intensity was increased. The dashed line is the 1:1 relationship.</w:t>
      </w:r>
    </w:p>
    <w:p>
      <w:pPr>
        <w:pStyle w:val="BodyText"/>
      </w:pP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9"/>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7</w:t>
      </w:r>
      <w:r>
        <w:t xml:space="preserve">. Boxplots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50" w:name="acknowledgements"/>
      <w:bookmarkEnd w:id="50"/>
      <w:r>
        <w:t xml:space="preserve">Acknowledgements</w:t>
      </w:r>
    </w:p>
    <w:p>
      <w:pPr>
        <w:pStyle w:val="FirstParagraph"/>
      </w:pPr>
      <w:r>
        <w:t xml:space="preserve">We thank Craig Barton and Burhan Amiji for maintaining the Whole Tree Chambers experiment and for their outstanding technical assistance.</w:t>
      </w:r>
    </w:p>
    <w:p>
      <w:pPr>
        <w:pStyle w:val="Heading3"/>
      </w:pPr>
      <w:bookmarkStart w:id="51" w:name="author-contributions"/>
      <w:bookmarkEnd w:id="51"/>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2" w:name="supporting-information"/>
      <w:bookmarkEnd w:id="52"/>
      <w:r>
        <w:t xml:space="preserve">Supporting Information</w:t>
      </w:r>
    </w:p>
    <w:p>
      <w:pPr>
        <w:pStyle w:val="Heading2"/>
      </w:pPr>
      <w:bookmarkStart w:id="53" w:name="figures-1"/>
      <w:bookmarkEnd w:id="53"/>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4"/>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486400" cy="5486400"/>
            <wp:effectExtent b="0" l="0" r="0" t="0"/>
            <wp:docPr descr="" id="1" name="Picture"/>
            <a:graphic>
              <a:graphicData uri="http://schemas.openxmlformats.org/drawingml/2006/picture">
                <pic:pic>
                  <pic:nvPicPr>
                    <pic:cNvPr descr="manuscript_gmes_files/figure-docx/acc-1.png" id="0" name="Picture"/>
                    <pic:cNvPicPr>
                      <a:picLocks noChangeArrowheads="1" noChangeAspect="1"/>
                    </pic:cNvPicPr>
                  </pic:nvPicPr>
                  <pic:blipFill>
                    <a:blip r:embed="rId56"/>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S4</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8"/>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S5</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9" w:name="methods-s1"/>
      <w:bookmarkEnd w:id="59"/>
      <w:r>
        <w:t xml:space="preserve">Methods S1</w:t>
      </w:r>
    </w:p>
    <w:p>
      <w:pPr>
        <w:pStyle w:val="Heading3"/>
      </w:pPr>
      <w:bookmarkStart w:id="60" w:name="description-of-the-calculation-of-gm-from-carbon-isotope-discrimination-during-c3-photosynthesis"/>
      <w:bookmarkEnd w:id="60"/>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Heading1"/>
      </w:pPr>
      <w:bookmarkStart w:id="61" w:name="references"/>
      <w:bookmarkEnd w:id="61"/>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Buckley TN</w:t>
      </w:r>
      <w:r>
        <w:rPr>
          <w:b/>
        </w:rPr>
        <w:t xml:space="preserve">,</w:t>
      </w:r>
      <w:r>
        <w:rPr>
          <w:b/>
        </w:rPr>
        <w:t xml:space="preserve"> </w:t>
      </w:r>
      <w:r>
        <w:rPr>
          <w:b w:val="0"/>
          <w:b/>
        </w:rPr>
        <w:t xml:space="preserve">Cescatti A</w:t>
      </w:r>
      <w:r>
        <w:rPr>
          <w:b/>
        </w:rPr>
        <w:t xml:space="preserve">,</w:t>
      </w:r>
      <w:r>
        <w:rPr>
          <w:b/>
        </w:rPr>
        <w:t xml:space="preserve"> </w:t>
      </w:r>
      <w:r>
        <w:rPr>
          <w:b w:val="0"/>
          <w:b/>
        </w:rPr>
        <w:t xml:space="preserve">Farquhar GD</w:t>
      </w:r>
      <w:r>
        <w:t xml:space="preserve">.</w:t>
      </w:r>
      <w:r>
        <w:t xml:space="preserve"> </w:t>
      </w:r>
      <w:r>
        <w:rPr>
          <w:b/>
        </w:rPr>
        <w:t xml:space="preserve">2013</w:t>
      </w:r>
      <w:r>
        <w:t xml:space="preserve">. What does optimization theory actually predict about crown profiles of photosynthetic capacity when models incorporate greater realism?</w:t>
      </w:r>
      <w:r>
        <w:t xml:space="preserve"> </w:t>
      </w:r>
      <w:r>
        <w:rPr>
          <w:i/>
        </w:rPr>
        <w:t xml:space="preserve">Plant, Cell &amp; Environment</w:t>
      </w:r>
      <w:r>
        <w:t xml:space="preserve"> </w:t>
      </w:r>
      <w:r>
        <w:rPr>
          <w:b/>
        </w:rPr>
        <w:t xml:space="preserve">36</w:t>
      </w:r>
      <w:r>
        <w:t xml:space="preserve">: 1547–1563.</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w:t>
      </w:r>
      <w:r>
        <w:rPr>
          <w:b/>
        </w:rPr>
        <w:t xml:space="preserve">41</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m:oMath>
        <m:r>
          <m:rPr/>
          <m:t>∖</m:t>
        </m:r>
      </m:oMath>
      <w:r>
        <w:t xml:space="preserve">textit{Eucalyptus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[CO2] in cotton (</w:t>
      </w:r>
      <m:oMath>
        <m:r>
          <m:rPr/>
          <m:t>∖</m:t>
        </m:r>
      </m:oMath>
      <w:r>
        <w:t xml:space="preserve">textit{Gossypium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Cambridge University Press, 25–55.</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Kogami H</w:t>
      </w:r>
      <w:r>
        <w:rPr>
          <w:b/>
        </w:rPr>
        <w:t xml:space="preserve">,</w:t>
      </w:r>
      <w:r>
        <w:rPr>
          <w:b/>
        </w:rPr>
        <w:t xml:space="preserve"> </w:t>
      </w:r>
      <w:r>
        <w:rPr>
          <w:b w:val="0"/>
          <w:b/>
        </w:rPr>
        <w:t xml:space="preserve">Terashima I</w:t>
      </w:r>
      <w:r>
        <w:t xml:space="preserve">.</w:t>
      </w:r>
      <w:r>
        <w:t xml:space="preserve"> </w:t>
      </w:r>
      <w:r>
        <w:rPr>
          <w:b/>
        </w:rPr>
        <w:t xml:space="preserve">2002</w:t>
      </w:r>
      <w:r>
        <w:t xml:space="preserve">. The effect of growth irradiance on leaf anatomy and photosynthesis in</w:t>
      </w:r>
      <w:r>
        <w:t xml:space="preserve"> </w:t>
      </w:r>
      <m:oMath>
        <m:r>
          <m:rPr/>
          <m:t>∖</m:t>
        </m:r>
      </m:oMath>
      <w:r>
        <w:t xml:space="preserve">textit{Acer} species differing in light demand.</w:t>
      </w:r>
      <w:r>
        <w:t xml:space="preserve"> </w:t>
      </w:r>
      <w:r>
        <w:rPr>
          <w:i/>
        </w:rPr>
        <w:t xml:space="preserve">Plant, Cell &amp; Environment</w:t>
      </w:r>
      <w:r>
        <w:t xml:space="preserve"> </w:t>
      </w:r>
      <w:r>
        <w:rPr>
          <w:b/>
        </w:rPr>
        <w:t xml:space="preserve">25</w:t>
      </w:r>
      <w:r>
        <w:t xml:space="preserve">: 1021–1030.</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m:oMath>
        <m:r>
          <m:rPr/>
          <m:t>∖</m:t>
        </m:r>
      </m:oMath>
      <w:r>
        <w:t xml:space="preserve">textit{Fagus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 Stable isotopes in ecology and environmental science. Oxford, UK: Blackwell Publishing Chichester,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Mooney HA</w:t>
      </w:r>
      <w:r>
        <w:rPr>
          <w:b/>
        </w:rPr>
        <w:t xml:space="preserve">,</w:t>
      </w:r>
      <w:r>
        <w:rPr>
          <w:b/>
        </w:rPr>
        <w:t xml:space="preserve"> </w:t>
      </w:r>
      <w:r>
        <w:rPr>
          <w:b w:val="0"/>
          <w:b/>
        </w:rPr>
        <w:t xml:space="preserve">Gulmon SL</w:t>
      </w:r>
      <w:r>
        <w:t xml:space="preserve">.</w:t>
      </w:r>
      <w:r>
        <w:t xml:space="preserve"> </w:t>
      </w:r>
      <w:r>
        <w:rPr>
          <w:b/>
        </w:rPr>
        <w:t xml:space="preserve">1979</w:t>
      </w:r>
      <w:r>
        <w:t xml:space="preserve">. Environmental and evolutionary constraints on the photosynthetic characteristics of higher plants. Topics in plant population biology. columbia university press, new york. New York: Columbia University Press,.</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m:oMath>
        <m:r>
          <m:rPr/>
          <m:t>∖</m:t>
        </m:r>
      </m:oMath>
      <w:r>
        <w:t xml:space="preserve">textit{Betula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m:oMath>
        <m:r>
          <m:rPr/>
          <m:t>∖</m:t>
        </m:r>
      </m:oMath>
      <w:r>
        <w:t xml:space="preserve">textit{Nothofagus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Von Caemmerer S</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CO2 transfer of adult</w:t>
      </w:r>
      <w:r>
        <w:t xml:space="preserve"> </w:t>
      </w:r>
      <m:oMath>
        <m:r>
          <m:rPr/>
          <m:t>∖</m:t>
        </m:r>
      </m:oMath>
      <w:r>
        <w:t xml:space="preserve">textit{Fagus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6fea6f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1229d5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