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5.png" ContentType="image/png"/>
  <Override PartName="/word/media/rId44.png" ContentType="image/png"/>
  <Override PartName="/word/media/rId53.png" ContentType="image/png"/>
  <Override PartName="/word/media/rId46.png" ContentType="image/png"/>
  <Override PartName="/word/media/rId48.png" ContentType="image/png"/>
  <Override PartName="/word/media/rId54.png" ContentType="image/png"/>
  <Override PartName="/word/media/rId56.png" ContentType="image/png"/>
  <Override PartName="/word/media/rId57.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br w:type="textWrapping"/>
      </w:r>
      <w:r>
        <w:rPr>
          <w:vertAlign w:val="superscript"/>
        </w:rPr>
        <w:t xml:space="preserve">2</w:t>
      </w:r>
      <w:r>
        <w:t xml:space="preserve"> </w:t>
      </w:r>
      <w:r>
        <w:t xml:space="preserve">Plant Science Division, Research School of Biology, The Australian National University, Canberra, ACT,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p>
    <w:p>
      <w:pPr>
        <w:pStyle w:val="BodyText"/>
      </w:pPr>
      <w:r>
        <w:br w:type="textWrapping"/>
      </w:r>
      <w:r>
        <w:t xml:space="preserve"> </w:t>
      </w:r>
      <w:r>
        <w:t xml:space="preserve">|count | answer|count2 |answer2 | |:-----------------------------|------:|:------------------------------------|:------------------------| |Total word count (main body): | 5535|No. of Figures: |6 (all in color) | |Summary: | 219|No of Tables: |2 | |Introduction: | 1207|No. of Supporting Information files: |6 (5 Figures, 1 Methods) | |Materials and Methods: | 1847| | | |Results: | 1102| | | |Discussion: | 1359| | | |Acknowledgements: | 20| | |</w:t>
      </w:r>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leaf photosynthetic capacity.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pPr>
        <w:pStyle w:val="FirstParagraph"/>
      </w:pPr>
      <w:r>
        <w:t xml:space="preserve">leaf optimal behavior, mesophyll conductance, photosynthesis, shade, stomatal conductance,</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of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may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 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S4a).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S5b).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S5a).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S4b),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S3) and AC</w:t>
      </w:r>
      <w:r>
        <w:rPr>
          <w:vertAlign w:val="subscript"/>
        </w:rPr>
        <w:t xml:space="preserve">i</w:t>
      </w:r>
      <w:r>
        <w:t xml:space="preserve"> </w:t>
      </w:r>
      <w:r>
        <w:t xml:space="preserve">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6a). The chloroplast CO</w:t>
      </w:r>
      <w:r>
        <w:rPr>
          <w:vertAlign w:val="subscript"/>
        </w:rPr>
        <w:t xml:space="preserve">2</w:t>
      </w:r>
      <w:r>
        <w:t xml:space="preserve"> </w:t>
      </w:r>
      <w:r>
        <w:t xml:space="preserve">partial pressure was comparable between shade leaves when measured at both low and high light conditions (Figure 6c).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6c).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S5c and S4c,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694.444444444443"/>
        <w:tblLook w:firstRow="1"/>
      </w:tblPr>
      <w:tblGrid>
        <w:gridCol w:w="1100"/>
        <w:gridCol w:w="1870"/>
        <w:gridCol w:w="1650"/>
        <w:gridCol w:w="1650"/>
        <w:gridCol w:w="1650"/>
        <w:gridCol w:w="1760"/>
        <w:gridCol w:w="1650"/>
        <w:gridCol w:w="176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3.2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3.3</w:t>
      </w:r>
      <w:r>
        <w:t xml:space="preserve">. The response of</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8"/>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3.6</w:t>
      </w:r>
      <w:r>
        <w:t xml:space="preserve">. The mean ± 1 standard error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49" w:name="acknowledgements"/>
      <w:bookmarkEnd w:id="49"/>
      <w:r>
        <w:t xml:space="preserve">Acknowledgements</w:t>
      </w:r>
    </w:p>
    <w:p>
      <w:pPr>
        <w:pStyle w:val="FirstParagraph"/>
      </w:pPr>
      <w:r>
        <w:t xml:space="preserve">We thank Craig Barton and Burhan Amiji for maintaining the Whole Tree Chambers experiment and for their outstanding technical assitance.</w:t>
      </w:r>
    </w:p>
    <w:p>
      <w:pPr>
        <w:pStyle w:val="Heading3"/>
      </w:pPr>
      <w:bookmarkStart w:id="50" w:name="author-contributions"/>
      <w:bookmarkEnd w:id="50"/>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1" w:name="supporting-information"/>
      <w:bookmarkEnd w:id="51"/>
      <w:r>
        <w:t xml:space="preserve">Supporting Information</w:t>
      </w:r>
    </w:p>
    <w:p>
      <w:pPr>
        <w:pStyle w:val="Heading2"/>
      </w:pPr>
      <w:bookmarkStart w:id="52" w:name="figures-1"/>
      <w:bookmarkEnd w:id="52"/>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3"/>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3.S2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486400" cy="5486400"/>
            <wp:effectExtent b="0" l="0" r="0" t="0"/>
            <wp:docPr descr="" id="1" name="Picture"/>
            <a:graphic>
              <a:graphicData uri="http://schemas.openxmlformats.org/drawingml/2006/picture">
                <pic:pic>
                  <pic:nvPicPr>
                    <pic:cNvPr descr="manuscript_gmes_files/figure-docx/acc-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3.S3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6"/>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3.S4</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3.S5</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8" w:name="methods-s1"/>
      <w:bookmarkEnd w:id="58"/>
      <w:r>
        <w:t xml:space="preserve">Methods S1</w:t>
      </w:r>
    </w:p>
    <w:p>
      <w:pPr>
        <w:pStyle w:val="Heading3"/>
      </w:pPr>
      <w:bookmarkStart w:id="59" w:name="description-of-the-calculation-of-gm-from-carbon-isotope-discrimination-during-c3-photosynthesis"/>
      <w:bookmarkEnd w:id="59"/>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Heading1"/>
      </w:pPr>
      <w:bookmarkStart w:id="60" w:name="references"/>
      <w:bookmarkEnd w:id="60"/>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w:t>
      </w:r>
      <w:r>
        <w:rPr>
          <w:vertAlign w:val="subscript"/>
        </w:rPr>
        <w:t xml:space="preserve">2</w:t>
      </w:r>
      <w:r>
        <w:t xml:space="preserve"> </w:t>
      </w:r>
      <w:r>
        <w:t xml:space="preserve">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w:t>
      </w:r>
      <w:r>
        <w:t xml:space="preserve"> </w:t>
      </w:r>
      <w:r>
        <w:rPr>
          <w:i/>
        </w:rPr>
        <w:t xml:space="preserve">Sequoia sempervirens</w:t>
      </w:r>
      <w:r>
        <w:t xml:space="preserve"> </w:t>
      </w:r>
      <w:r>
        <w:t xml:space="preserve">(D.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 von</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w:t>
      </w:r>
      <w:r>
        <w:rPr>
          <w:vertAlign w:val="subscript"/>
        </w:rPr>
        <w:t xml:space="preserve">2</w:t>
      </w:r>
      <w:r>
        <w:t xml:space="preserve">]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w:t>
      </w:r>
      <w:r>
        <w:rPr>
          <w:vertAlign w:val="subscript"/>
        </w:rPr>
        <w:t xml:space="preserve">2</w:t>
      </w:r>
      <w:r>
        <w:t xml:space="preserve"> </w:t>
      </w:r>
      <w:r>
        <w:t xml:space="preserve">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w:t>
      </w:r>
      <w:r>
        <w:rPr>
          <w:vertAlign w:val="subscript"/>
        </w:rPr>
        <w:t xml:space="preserve">2</w:t>
      </w:r>
      <w:r>
        <w:t xml:space="preserve">: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w:t>
      </w:r>
      <w:r>
        <w:rPr>
          <w:vertAlign w:val="subscript"/>
        </w:rPr>
        <w:t xml:space="preserve">2</w:t>
      </w:r>
      <w:r>
        <w:t xml:space="preserve"> </w:t>
      </w:r>
      <w:r>
        <w:t xml:space="preserve">conductance and CO</w:t>
      </w:r>
      <w:r>
        <w:rPr>
          <w:vertAlign w:val="subscript"/>
        </w:rPr>
        <w:t xml:space="preserve">2</w:t>
      </w:r>
      <w:r>
        <w:t xml:space="preserve"> </w:t>
      </w:r>
      <w:r>
        <w:t xml:space="preserve">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w:t>
      </w:r>
      <w:r>
        <w:rPr>
          <w:vertAlign w:val="subscript"/>
        </w:rPr>
        <w:t xml:space="preserve">2</w:t>
      </w:r>
      <w:r>
        <w:t xml:space="preserve"> </w:t>
      </w:r>
      <w:r>
        <w:t xml:space="preserve">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w:t>
      </w:r>
      <w:r>
        <w:rPr>
          <w:vertAlign w:val="subscript"/>
        </w:rPr>
        <w:t xml:space="preserve">2</w:t>
      </w:r>
      <w:r>
        <w:t xml:space="preserve"> </w:t>
      </w:r>
      <w:r>
        <w:t xml:space="preserve">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w:t>
      </w:r>
      <w:r>
        <w:rPr>
          <w:vertAlign w:val="subscript"/>
        </w:rPr>
        <w:t xml:space="preserve">2</w:t>
      </w:r>
      <w:r>
        <w:t xml:space="preserve"> </w:t>
      </w:r>
      <w:r>
        <w:t xml:space="preserve">do not affect the mesophyll conductance to CO</w:t>
      </w:r>
      <w:r>
        <w:rPr>
          <w:vertAlign w:val="subscript"/>
        </w:rPr>
        <w:t xml:space="preserve">2</w:t>
      </w:r>
      <w:r>
        <w:t xml:space="preserve"> </w:t>
      </w:r>
      <w:r>
        <w:t xml:space="preserve">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w:t>
      </w:r>
      <w:r>
        <w:rPr>
          <w:vertAlign w:val="subscript"/>
        </w:rPr>
        <w:t xml:space="preserve">2</w:t>
      </w:r>
      <w:r>
        <w:t xml:space="preserve"> </w:t>
      </w:r>
      <w:r>
        <w:t xml:space="preserve">diffusion dynamically at different CO</w:t>
      </w:r>
      <w:r>
        <w:rPr>
          <w:vertAlign w:val="subscript"/>
        </w:rPr>
        <w:t xml:space="preserve">2</w:t>
      </w:r>
      <w:r>
        <w:t xml:space="preserve"> </w:t>
      </w:r>
      <w:r>
        <w:t xml:space="preserve">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w:t>
      </w:r>
      <w:r>
        <w:rPr>
          <w:vertAlign w:val="subscript"/>
        </w:rPr>
        <w:t xml:space="preserve">2</w:t>
      </w:r>
      <w:r>
        <w:t xml:space="preserve"> </w:t>
      </w:r>
      <w:r>
        <w:t xml:space="preserve">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w:t>
      </w:r>
      <w:r>
        <w:rPr>
          <w:vertAlign w:val="subscript"/>
        </w:rPr>
        <w:t xml:space="preserve">2</w:t>
      </w:r>
      <w:r>
        <w:t xml:space="preserve"> </w:t>
      </w:r>
      <w:r>
        <w:t xml:space="preserve">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w:t>
      </w:r>
      <w:r>
        <w:rPr>
          <w:vertAlign w:val="subscript"/>
        </w:rPr>
        <w:t xml:space="preserve">2</w:t>
      </w:r>
      <w:r>
        <w:t xml:space="preserve"> </w:t>
      </w:r>
      <w:r>
        <w:t xml:space="preserve">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780445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32019e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