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44.png" ContentType="image/png"/>
  <Override PartName="/word/media/rId54.png" ContentType="image/png"/>
  <Override PartName="/word/media/rId46.png" ContentType="image/png"/>
  <Override PartName="/word/media/rId49.png" ContentType="image/png"/>
  <Override PartName="/word/media/rId55.png" ContentType="image/png"/>
  <Override PartName="/word/media/rId56.png" ContentType="image/png"/>
  <Override PartName="/word/media/rId57.png" ContentType="image/png"/>
  <Override PartName="/word/media/rId48.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Coupled</w:t>
      </w:r>
      <w:r>
        <w:t xml:space="preserve"> </w:t>
      </w:r>
      <w:r>
        <w:t xml:space="preserve">response</w:t>
      </w:r>
      <w:r>
        <w:t xml:space="preserve"> </w:t>
      </w:r>
      <w:r>
        <w:t xml:space="preserve">of</w:t>
      </w:r>
      <w:r>
        <w:t xml:space="preserve"> </w:t>
      </w:r>
      <w:r>
        <w:t xml:space="preserve">stomatal</w:t>
      </w:r>
      <w:r>
        <w:t xml:space="preserve"> </w:t>
      </w:r>
      <w:r>
        <w:t xml:space="preserve">and</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enhances</w:t>
      </w:r>
      <w:r>
        <w:t xml:space="preserve"> </w:t>
      </w:r>
      <w:r>
        <w:t xml:space="preserve">photosynthesis</w:t>
      </w:r>
      <w:r>
        <w:t xml:space="preserve"> </w:t>
      </w:r>
      <w:r>
        <w:t xml:space="preserve">of</w:t>
      </w:r>
      <w:r>
        <w:t xml:space="preserve"> </w:t>
      </w:r>
      <w:r>
        <w:t xml:space="preserve">shade</w:t>
      </w:r>
      <w:r>
        <w:t xml:space="preserve"> </w:t>
      </w:r>
      <w:r>
        <w:t xml:space="preserve">leaves</w:t>
      </w:r>
      <w:r>
        <w:t xml:space="preserve"> </w:t>
      </w:r>
      <w:r>
        <w:t xml:space="preserve">under</w:t>
      </w:r>
      <w:r>
        <w:t xml:space="preserve"> </w:t>
      </w:r>
      <w:r>
        <w:t xml:space="preserve">sunflecks.</w:t>
      </w:r>
    </w:p>
    <w:p>
      <w:pPr>
        <w:pStyle w:val="FirstParagraph"/>
      </w:pPr>
      <w:r>
        <w:br w:type="textWrapping"/>
      </w:r>
      <w:r>
        <w:t xml:space="preserve">Courtney E. Campany</w:t>
      </w:r>
      <w:r>
        <w:rPr>
          <w:vertAlign w:val="superscript"/>
        </w:rPr>
        <w:t xml:space="preserve">1</w:t>
      </w:r>
      <w:r>
        <w:t xml:space="preserve">, Mark G.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2751 Australia</w:t>
      </w:r>
      <w:r>
        <w:br w:type="textWrapping"/>
      </w:r>
      <w:r>
        <w:rPr>
          <w:vertAlign w:val="superscript"/>
        </w:rPr>
        <w:t xml:space="preserve">2</w:t>
      </w:r>
      <w:r>
        <w:t xml:space="preserve"> </w:t>
      </w:r>
      <w:r>
        <w:t xml:space="preserve">ARC Centre of Excellence for Translational Photosynthesis, Plant Science Division, Research School of Biology, The Australian National University, Canberra, ACT, 2601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r>
        <w:br w:type="textWrapping"/>
      </w:r>
      <w:r>
        <w:br w:type="textWrapping"/>
      </w:r>
      <w:r>
        <w:t xml:space="preserve">Total word count (excluding summary, references and legends): 5563</w:t>
      </w:r>
      <w:r>
        <w:br w:type="textWrapping"/>
      </w:r>
      <w:r>
        <w:t xml:space="preserve">Summary: 200</w:t>
      </w:r>
      <w:r>
        <w:br w:type="textWrapping"/>
      </w:r>
      <w:r>
        <w:t xml:space="preserve">Introduction: 1186</w:t>
      </w:r>
      <w:r>
        <w:br w:type="textWrapping"/>
      </w:r>
      <w:r>
        <w:t xml:space="preserve">Materials and Methods: 1863</w:t>
      </w:r>
      <w:r>
        <w:br w:type="textWrapping"/>
      </w:r>
      <w:r>
        <w:t xml:space="preserve">Results: 1098</w:t>
      </w:r>
      <w:r>
        <w:br w:type="textWrapping"/>
      </w:r>
      <w:r>
        <w:t xml:space="preserve">Discussion: 1380</w:t>
      </w:r>
      <w:r>
        <w:br w:type="textWrapping"/>
      </w:r>
      <w:r>
        <w:t xml:space="preserve">Acknowledgements: 36</w:t>
      </w:r>
      <w:r>
        <w:br w:type="textWrapping"/>
      </w:r>
      <w:r>
        <w:t xml:space="preserve">Number of figures: 7 (6 in color)</w:t>
      </w:r>
      <w:r>
        <w:br w:type="textWrapping"/>
      </w:r>
      <w:r>
        <w:t xml:space="preserve">Number of tables: 2</w:t>
      </w:r>
      <w:r>
        <w:br w:type="textWrapping"/>
      </w:r>
      <w:r>
        <w:t xml:space="preserve">Number of supporting information files: 4 figures, 1 methods</w:t>
      </w:r>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the photosynthetic capacity of sun and shade leaves. However, biochemical and diffusional constraints on gas exchange in sun and shade leaves in response to light remain poorly quantified, but critical for predicting carbon and water exchange in canopies.</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concurrent measurements of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the field in climate controlled whole tree chambers.</w:t>
      </w:r>
    </w:p>
    <w:p>
      <w:pPr>
        <w:pStyle w:val="Compact"/>
        <w:numPr>
          <w:numId w:val="1001"/>
          <w:ilvl w:val="0"/>
        </w:numPr>
      </w:pPr>
      <w:r>
        <w:t xml:space="preserve">Compared to sun leaves, shade leaves had lower</w:t>
      </w:r>
      <w:r>
        <w:t xml:space="preserve"> </w:t>
      </w:r>
      <w:r>
        <w:rPr>
          <w:i/>
        </w:rPr>
        <w:t xml:space="preserve">A</w:t>
      </w:r>
      <w:r>
        <w:rPr>
          <w:vertAlign w:val="subscript"/>
          <w:i/>
        </w:rPr>
        <w:t xml:space="preserve">n</w:t>
      </w:r>
      <w:r>
        <w:t xml:space="preserve">, g</w:t>
      </w:r>
      <w:r>
        <w:rPr>
          <w:vertAlign w:val="subscript"/>
        </w:rPr>
        <w:t xml:space="preserve">m</w:t>
      </w:r>
      <w:r>
        <w:t xml:space="preserve">, leaf nitrogen and photosynthetic biochemical parameters (Vc</w:t>
      </w:r>
      <w:r>
        <w:rPr>
          <w:vertAlign w:val="subscript"/>
        </w:rPr>
        <w:t xml:space="preserve">max</w:t>
      </w:r>
      <w:r>
        <w:t xml:space="preserve"> </w:t>
      </w:r>
      <w:r>
        <w:t xml:space="preserve">and J</w:t>
      </w:r>
      <w:r>
        <w:rPr>
          <w:vertAlign w:val="subscript"/>
        </w:rPr>
        <w:t xml:space="preserve">max</w:t>
      </w:r>
      <w:r>
        <w:t xml:space="preserve">), but g</w:t>
      </w:r>
      <w:r>
        <w:rPr>
          <w:vertAlign w:val="subscript"/>
        </w:rPr>
        <w:t xml:space="preserve">s</w:t>
      </w:r>
      <w:r>
        <w:t xml:space="preserve"> </w:t>
      </w:r>
      <w:r>
        <w:t xml:space="preserve">was similar. When light intensity was temporarily increased for shade leaves to match that of sun leaves, both g</w:t>
      </w:r>
      <w:r>
        <w:rPr>
          <w:vertAlign w:val="subscript"/>
        </w:rPr>
        <w:t xml:space="preserve">s</w:t>
      </w:r>
      <w:r>
        <w:t xml:space="preserve"> </w:t>
      </w:r>
      <w:r>
        <w:t xml:space="preserve">and g</w:t>
      </w:r>
      <w:r>
        <w:rPr>
          <w:vertAlign w:val="subscript"/>
        </w:rPr>
        <w:t xml:space="preserve">m</w:t>
      </w:r>
      <w:r>
        <w:t xml:space="preserve"> </w:t>
      </w:r>
      <w:r>
        <w:t xml:space="preserve">increased, leading to increases in</w:t>
      </w:r>
      <w:r>
        <w:t xml:space="preserve"> </w:t>
      </w:r>
      <w:r>
        <w:rPr>
          <w:i/>
        </w:rPr>
        <w:t xml:space="preserve">A</w:t>
      </w:r>
      <w:r>
        <w:rPr>
          <w:vertAlign w:val="subscript"/>
          <w:i/>
        </w:rPr>
        <w:t xml:space="preserve">n</w:t>
      </w:r>
      <w:r>
        <w:t xml:space="preserve"> </w:t>
      </w:r>
      <w:r>
        <w:t xml:space="preserve">greater than sun leaves.</w:t>
      </w:r>
    </w:p>
    <w:p>
      <w:pPr>
        <w:pStyle w:val="Compact"/>
        <w:numPr>
          <w:numId w:val="1001"/>
          <w:ilvl w:val="0"/>
        </w:numPr>
      </w:pPr>
      <w:r>
        <w:t xml:space="preserve">Here we show that dynamic physiological responses of shade leaves to altered light environments have important implications for up-scaling leaf level measurements and predicting whole canopy carbon gain. Despite exhibiting reduced photosynthetic biochemical capacity, the rapid up-regulation of g</w:t>
      </w:r>
      <w:r>
        <w:rPr>
          <w:vertAlign w:val="subscript"/>
        </w:rPr>
        <w:t xml:space="preserve">m</w:t>
      </w:r>
      <w:r>
        <w:t xml:space="preserve"> </w:t>
      </w:r>
      <w:r>
        <w:t xml:space="preserve">with increased light enables shade leaves to respond quickly to sunflecks, possibly representing a new mechanism underpinning leaf gas exchange responses to light.</w:t>
      </w:r>
    </w:p>
    <w:p>
      <w:pPr>
        <w:pStyle w:val="Heading2"/>
      </w:pPr>
      <w:bookmarkStart w:id="23" w:name="key-words"/>
      <w:bookmarkEnd w:id="23"/>
      <w:r>
        <w:t xml:space="preserve">Key words</w:t>
      </w:r>
    </w:p>
    <w:p>
      <w:pPr>
        <w:pStyle w:val="FirstParagraph"/>
      </w:pPr>
      <w:r>
        <w:rPr>
          <w:i/>
        </w:rPr>
        <w:t xml:space="preserve">Eucalyptus tereticornis</w:t>
      </w:r>
      <w:r>
        <w:t xml:space="preserve">, mesophyll conductance, photosynthesis, stomatal conductance, sunflecks</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within plant canopies, not all leaves are exposed to full sun</w:t>
      </w:r>
      <w:r>
        <w:t xml:space="preserve"> </w:t>
      </w:r>
      <w:r>
        <w:t xml:space="preserve">(Niinemets, 2010)</w:t>
      </w:r>
      <w:r>
        <w:t xml:space="preserve">, making simple up-scaling based on solar irradiance problematic. Incident photosynthetic photon flux density (PPFD) declines exponentially with cumulative leaf area index (ratio of leaf area to ground area), creating a steep light gradient from the canopy top to bottom</w:t>
      </w:r>
      <w:r>
        <w:t xml:space="preserve"> </w:t>
      </w:r>
      <w:r>
        <w:t xml:space="preserve">(Monsi &amp; Saeki, 2005)</w:t>
      </w:r>
      <w:r>
        <w:t xml:space="preserve">. Consequently, structural and functional properties of leaves within canopies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with canopy depth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 Buckley</w:t>
      </w:r>
      <w:r>
        <w:t xml:space="preserve"> </w:t>
      </w:r>
      <w:r>
        <w:rPr>
          <w:i/>
        </w:rPr>
        <w:t xml:space="preserve">et al.</w:t>
      </w:r>
      <w:r>
        <w:t xml:space="preserve">, 2013)</w:t>
      </w:r>
      <w:r>
        <w:t xml:space="preserve">. Changes in chlorophyll per unit N, chlorophyll a:b ratios, electron transport capacity per unit chlorophyll and ratios of electron transport capacity to Rubisco activity can also occur in response to changes in irradiance of the growth environment</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in sun leaves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(Sellin &amp; Kupper, 2007 ; Sellin</w:t>
      </w:r>
      <w:r>
        <w:t xml:space="preserve"> </w:t>
      </w:r>
      <w:r>
        <w:rPr>
          <w:i/>
        </w:rPr>
        <w:t xml:space="preserve">et al.</w:t>
      </w:r>
      <w:r>
        <w:t xml:space="preserve">, 2008; Burgess</w:t>
      </w:r>
      <w:r>
        <w:t xml:space="preserve"> </w:t>
      </w:r>
      <w:r>
        <w:rPr>
          <w:i/>
        </w:rPr>
        <w:t xml:space="preserve">et al.</w:t>
      </w:r>
      <w:r>
        <w:t xml:space="preserve">)</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two major resistance pathways to CO</w:t>
      </w:r>
      <w:r>
        <w:rPr>
          <w:vertAlign w:val="subscript"/>
        </w:rPr>
        <w:t xml:space="preserve">2</w:t>
      </w:r>
      <w:r>
        <w:t xml:space="preserve"> </w:t>
      </w:r>
      <w:r>
        <w:t xml:space="preserve">diffusion, namely, the CO</w:t>
      </w:r>
      <w:r>
        <w:rPr>
          <w:vertAlign w:val="subscript"/>
        </w:rPr>
        <w:t xml:space="preserve">2</w:t>
      </w:r>
      <w:r>
        <w:t xml:space="preserve"> </w:t>
      </w:r>
      <w:r>
        <w:t xml:space="preserve">diffusion from the atmosphere through stomata into intercellular air spaces (stomatal conductance, g</w:t>
      </w:r>
      <w:r>
        <w:rPr>
          <w:vertAlign w:val="subscript"/>
        </w:rPr>
        <w:t xml:space="preserve">s</w:t>
      </w:r>
      <w:r>
        <w:t xml:space="preserve">) and the pathway from the intercellular air spaces into the chloroplast of the mesophyll cells (mesophyll conductance, g</w:t>
      </w:r>
      <w:r>
        <w:rPr>
          <w:vertAlign w:val="subscript"/>
        </w:rPr>
        <w:t xml:space="preserve">m</w:t>
      </w:r>
      <w:r>
        <w:t xml:space="preserve">). Based on optimality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that can be as large as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may arise from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It is likely that leaf anatomical costs associated with minimizing the length and tortuosity of the g</w:t>
      </w:r>
      <w:r>
        <w:rPr>
          <w:vertAlign w:val="subscript"/>
        </w:rPr>
        <w:t xml:space="preserve">m</w:t>
      </w:r>
      <w:r>
        <w:t xml:space="preserve"> </w:t>
      </w:r>
      <w:r>
        <w:t xml:space="preserve">diffusion pathway are necessary to maintain the benefits of a high g</w:t>
      </w:r>
      <w:r>
        <w:rPr>
          <w:vertAlign w:val="subscript"/>
        </w:rPr>
        <w:t xml:space="preserve">m</w:t>
      </w:r>
      <w:r>
        <w:t xml:space="preserve"> </w:t>
      </w:r>
      <w:r>
        <w:t xml:space="preserve">(Hassiotou</w:t>
      </w:r>
      <w:r>
        <w:t xml:space="preserve"> </w:t>
      </w:r>
      <w:r>
        <w:rPr>
          <w:i/>
        </w:rPr>
        <w:t xml:space="preserve">et al.</w:t>
      </w:r>
      <w:r>
        <w:t xml:space="preserve">, 2009)</w:t>
      </w:r>
      <w:r>
        <w:t xml:space="preserve">. Stomatal and mesophyll conductance should not be considered independent of each other</w:t>
      </w:r>
      <w:r>
        <w:t xml:space="preserve"> </w:t>
      </w:r>
      <w:r>
        <w:t xml:space="preserve">(Griffiths &amp; Helliker, 2013)</w:t>
      </w:r>
      <w:r>
        <w:t xml:space="preserve">, but a lack of empirical data currently hinders our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in shade leaves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the short term response to light availability is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growth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 Terashima</w:t>
      </w:r>
      <w:r>
        <w:t xml:space="preserve"> </w:t>
      </w:r>
      <w:r>
        <w:rPr>
          <w:i/>
        </w:rPr>
        <w:t xml:space="preserve">et al.</w:t>
      </w:r>
      <w:r>
        <w:t xml:space="preserve">, 2001; Hanba</w:t>
      </w:r>
      <w:r>
        <w:t xml:space="preserve"> </w:t>
      </w:r>
      <w:r>
        <w:rPr>
          <w:i/>
        </w:rPr>
        <w:t xml:space="preserve">et al.</w:t>
      </w:r>
      <w:r>
        <w:t xml:space="preserve">, 2002)</w:t>
      </w:r>
      <w:r>
        <w:t xml:space="preserve"> </w:t>
      </w:r>
      <w:r>
        <w:t xml:space="preserve">are also unlikely to adjust during transient fluctuations in light. The physiological behaviour of shade leaves to maximize C gain must be assessed as both a degree of acclimation to local irradiance of the growth environment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outdoors in naturally sunlit climate controlled whole tree chambers with ambient and elevated temperature (ambient +3°C) treatments, to test whether the distribution of N and water supply and leaf physiological behaviour result in higher photosynthetic capacity in sun leaves compared to shade leaves. We further aimed to quantify the contraints on An in sun and shade leaves arising from biochemical photosynthetic capacity and the CO</w:t>
      </w:r>
      <w:r>
        <w:rPr>
          <w:vertAlign w:val="subscript"/>
        </w:rPr>
        <w:t xml:space="preserve">2</w:t>
      </w:r>
      <w:r>
        <w:t xml:space="preserve"> </w:t>
      </w:r>
      <w:r>
        <w:t xml:space="preserve">diffusion pathway via stomatal and mesophyll conductance. As leaves which developed in the shade were expected to have lower biochemical photosynthetic capacity and correspondingly lower diffusive conductance than sun leaves, we predicted that sunfleck simulations would increase</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to values lower than that of sun leaves. We further predicted that climate warming would decrease g</w:t>
      </w:r>
      <w:r>
        <w:rPr>
          <w:vertAlign w:val="subscript"/>
        </w:rPr>
        <w:t xml:space="preserve">s</w:t>
      </w:r>
      <w:r>
        <w:t xml:space="preserve"> </w:t>
      </w:r>
      <w:r>
        <w:t xml:space="preserve">and leaf C gain in sun leaves more so thatn shade leaves during summer months, as increased evaporation demand from higher temperatures and irradiance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New South Wales, Australia. Each chamber was 9 m tall, which accommodated growth of trees for 15 months. A detailed description of the WTC operation and design is available in Barton et al.</w:t>
      </w:r>
      <w:r>
        <w:t xml:space="preserve"> </w:t>
      </w:r>
      <w:r>
        <w:t xml:space="preserve">(2010)</w:t>
      </w:r>
      <w:r>
        <w:t xml:space="preserve"> </w:t>
      </w:r>
      <w:r>
        <w:t xml:space="preserve">and methods for this experiment in</w:t>
      </w:r>
      <w:r>
        <w:t xml:space="preserve"> </w:t>
      </w:r>
      <w:r>
        <w:t xml:space="preserve">(Drake</w:t>
      </w:r>
      <w:r>
        <w:t xml:space="preserve"> </w:t>
      </w:r>
      <w:r>
        <w:rPr>
          <w:i/>
        </w:rPr>
        <w:t xml:space="preserve">et al.</w:t>
      </w:r>
      <w:r>
        <w:t xml:space="preserve">, 2016)</w:t>
      </w:r>
      <w:r>
        <w:t xml:space="preserve">. Six chambers were set to match outside ambient air temperatures (AT) while the remaining 6 experienced an elevated air temperature treatment of ambient +3°C (ET, Figure S1). The trees grew quickly and developed large canopies, with height growth reaching the top of the WTCs at the end of the experiment. Trees were watered weekly with 70 L from March 2013 to September 2013. From October 2013 to the end of the experiment trees were watered every 15 days with the mean monthly rainfall amount for Richmond, NSW. In February 2014 half of the chambers (3 each of AT and ET) were subjected to a drought treatment by withholding watering. Due to a limited range of data for the drought treatment only well-watered trees are reported, which reduces the sample size of WTC (</w:t>
      </w:r>
      <w:r>
        <w:rPr>
          <w:i/>
        </w:rPr>
        <w:t xml:space="preserve">n</w:t>
      </w:r>
      <w:r>
        <w:t xml:space="preserve">=6 to</w:t>
      </w:r>
      <w:r>
        <w:t xml:space="preserve"> </w:t>
      </w:r>
      <w:r>
        <w:rPr>
          <w:i/>
        </w:rPr>
        <w:t xml:space="preserve">n</w:t>
      </w:r>
      <w:r>
        <w:t xml:space="preserve">=3) for the final 3 months of the experiment. This limited amount of data is attributed to small sample sizes as well as the difficulty in generating a sufficient CO</w:t>
      </w:r>
      <w:r>
        <w:rPr>
          <w:vertAlign w:val="subscript"/>
        </w:rPr>
        <w:t xml:space="preserve">2</w:t>
      </w:r>
      <w:r>
        <w:t xml:space="preserve"> </w:t>
      </w:r>
      <w:r>
        <w:t xml:space="preserve">drawdown inside the leaf cuvette, due to drought conditions, needed to accurately measure g</w:t>
      </w:r>
      <w:r>
        <w:rPr>
          <w:vertAlign w:val="subscript"/>
        </w:rPr>
        <w:t xml:space="preserve">m</w:t>
      </w:r>
      <w:r>
        <w:t xml:space="preserve">.</w:t>
      </w:r>
    </w:p>
    <w:p>
      <w:pPr>
        <w:pStyle w:val="BodyText"/>
      </w:pPr>
      <w:r>
        <w:br w:type="textWrapping"/>
      </w:r>
      <w:r>
        <w:t xml:space="preserve">The top soils at this site, used in the chambers,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 root exclusion barrier extended from chamber walls to the hard layer (ca. 1 m) and roots were allowed to grow freely below the barrier.</w:t>
      </w:r>
    </w:p>
    <w:p>
      <w:pPr>
        <w:pStyle w:val="BodyText"/>
      </w:pPr>
      <w:r>
        <w:br w:type="textWrapping"/>
      </w:r>
      <w:r>
        <w:t xml:space="preserve">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r>
        <w:t xml:space="preserve"> </w:t>
      </w:r>
      <w:r>
        <w:t xml:space="preserve">(Drake</w:t>
      </w:r>
      <w:r>
        <w:t xml:space="preserve"> </w:t>
      </w:r>
      <w:r>
        <w:rPr>
          <w:i/>
        </w:rPr>
        <w:t xml:space="preserve">et al.</w:t>
      </w:r>
      <w:r>
        <w:t xml:space="preserve">, 2016)</w:t>
      </w:r>
      <w:r>
        <w:t xml:space="preserve">.</w:t>
      </w:r>
    </w:p>
    <w:p>
      <w:pPr>
        <w:pStyle w:val="Heading2"/>
      </w:pPr>
      <w:bookmarkStart w:id="27" w:name="leaf-gas-exchange-couple-with-concurrent-measurements-of-carbon-isotope-discrimination-to-estimate-mesophyll-conductance"/>
      <w:bookmarkEnd w:id="27"/>
      <w:r>
        <w:t xml:space="preserve">Leaf gas exchange, couple with concurrent measurements of carbon isotope discrimination to estimate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more slowly this assured that older leaves in the bottom canopy were avoided.</w:t>
      </w:r>
    </w:p>
    <w:p>
      <w:pPr>
        <w:pStyle w:val="BodyText"/>
      </w:pPr>
      <w:r>
        <w:br w:type="textWrapping"/>
      </w:r>
      <w:r>
        <w:t xml:space="preserve">Prior to gas exchange measurements photosynthetic photon flux density (PPFD) was recorded both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sun or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Concurrent gas exchange and C isotope discrimination measurements were conducted based on methods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w:t>
      </w:r>
      <w:r>
        <w:t xml:space="preserve"> </w:t>
      </w:r>
      <w:r>
        <w:rPr>
          <w:vertAlign w:val="superscript"/>
        </w:rPr>
        <w:t xml:space="preserve">13</w:t>
      </w:r>
      <w:r>
        <w:t xml:space="preserve">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Sustained periods of high irradiance (sunflecks) were simulated for shade leaves by increasing the leaf cuvette PPFD (LI-COR red/blue light source) to match the light environment of the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(von 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and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sampling in February 2014 when all tress were well-watered in each temperature treatment (</w:t>
      </w:r>
      <w:r>
        <w:rPr>
          <w:i/>
        </w:rPr>
        <w:t xml:space="preserve">n</w:t>
      </w:r>
      <w:r>
        <w:t xml:space="preserve">=6).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oven-dried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 °C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of dry matter are reported relative to standard Vienna Pee Dee Belemnite.</w:t>
      </w:r>
    </w:p>
    <w:p>
      <w:pPr>
        <w:pStyle w:val="BodyText"/>
      </w:pPr>
      <w:r>
        <w:br w:type="textWrapping"/>
      </w:r>
      <w:r>
        <w:t xml:space="preserve">Prior to the gas exchange measurements, predawn (</w:t>
      </w:r>
      <m:oMath>
        <m:sSub>
          <m:e>
            <m:r>
              <m:rPr/>
              <m:t>Ψ</m:t>
            </m:r>
          </m:e>
          <m:sub>
            <m:r>
              <m:rPr/>
              <m:t>p</m:t>
            </m:r>
            <m:r>
              <m:rPr/>
              <m:t>d</m:t>
            </m:r>
          </m:sub>
        </m:sSub>
      </m:oMath>
      <w:r>
        <w:t xml:space="preserve">) leaf water potentials (MPa) were measured for a separate set of sun and shade leaves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w:t>
      </w:r>
      <w:r>
        <w:t xml:space="preserve">before sunrise on the same day as gas exchange measurements. Following the gas exchange measurements, leaves used for gas exchange were immediately sampled for midday (</w:t>
      </w:r>
      <m:oMath>
        <m:sSub>
          <m:e>
            <m:r>
              <m:rPr/>
              <m:t>Ψ</m:t>
            </m:r>
          </m:e>
          <m:sub>
            <m:r>
              <m:rPr/>
              <m:t>l</m:t>
            </m:r>
          </m:sub>
        </m:sSub>
      </m:oMath>
      <w:r>
        <w:t xml:space="preserve">) leaf water potentials. All leaves were detached and immediately stored inside foil covered bags before water potential measurements were performed. Leaf water potentials and transpiration (E, mmol m</w:t>
      </w:r>
      <w:r>
        <w:rPr>
          <w:vertAlign w:val="superscript"/>
        </w:rPr>
        <w:t xml:space="preserve">-2</w:t>
      </w:r>
      <w:r>
        <w:t xml:space="preserve"> </w:t>
      </w:r>
      <w:r>
        <w:t xml:space="preserve">s</w:t>
      </w:r>
      <w:r>
        <w:rPr>
          <w:vertAlign w:val="superscript"/>
        </w:rPr>
        <w:t xml:space="preserve">-1</w:t>
      </w:r>
      <w:r>
        <w:t xml:space="preserve">) from gas exchange in the leaf cuvette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sSub>
            <m:e>
              <m:r>
                <m:rPr/>
                <m:t>K</m:t>
              </m:r>
            </m:e>
            <m:sub>
              <m:r>
                <m:rPr/>
                <m:t>l</m:t>
              </m:r>
            </m:sub>
          </m:sSub>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describing plant water-use strategy, was estimated from ITE vs.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comparatively costly in C terms and reflecting conservative water use (increaed water-use efficiency), whereas large values imply a lower C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respones of dependent variables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 neither leaf water potentials (</w:t>
      </w:r>
      <m:oMath>
        <m:sSub>
          <m:e>
            <m:r>
              <m:rPr/>
              <m:t>Ψ</m:t>
            </m:r>
          </m:e>
          <m:sub>
            <m:r>
              <m:rPr/>
              <m:t>p</m:t>
            </m:r>
            <m:r>
              <m:rPr/>
              <m:t>d</m:t>
            </m:r>
          </m:sub>
        </m:sSub>
      </m:oMath>
      <w:r>
        <w:t xml:space="preserve"> </w:t>
      </w:r>
      <w:r>
        <w:t xml:space="preserve">and</w:t>
      </w:r>
      <w:r>
        <w:t xml:space="preserve"> </w:t>
      </w:r>
      <m:oMath>
        <m:sSub>
          <m:e>
            <m:r>
              <m:rPr/>
              <m:t>Ψ</m:t>
            </m:r>
          </m:e>
          <m:sub>
            <m:r>
              <m:rPr/>
              <m:t>l</m:t>
            </m:r>
          </m:sub>
        </m:sSub>
      </m:oMath>
      <w:r>
        <w:t xml:space="preserve">, Table 1) nor transpiration rates (E, Table 2) differed between leaf types. Leaf N</w:t>
      </w:r>
      <w:r>
        <w:rPr>
          <w:vertAlign w:val="subscript"/>
        </w:rPr>
        <w:t xml:space="preserve">a</w:t>
      </w:r>
      <w:r>
        <w:t xml:space="preserve"> </w:t>
      </w:r>
      <w:r>
        <w:t xml:space="preserve">was approximately 20% higher in sun leaves compared to shade leaves (Table 1). Leaf mass per area (LMA) was not different between leaf types (Table 1).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and temperatures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warming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compared to ambient,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measured at low and high light was 2.59±0.12 and 2.74±0.04. For all leaf types and light treatments there was a strong response of ITE to VPD and individual data points broadly corresponded to the fitted response curves from the optimal ITE model with a specified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S4a).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 than shade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both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and temperatures (P &lt; 0.001). Following the increase in PPFD from low to high light on the same leaf, g</w:t>
      </w:r>
      <w:r>
        <w:rPr>
          <w:vertAlign w:val="subscript"/>
        </w:rPr>
        <w:t xml:space="preserve">m</w:t>
      </w:r>
      <w:r>
        <w:t xml:space="preserve"> </w:t>
      </w:r>
      <w:r>
        <w:t xml:space="preserve">values of shade leaves increased on average 55% after approximately 25 min (Figure 6). These measured values of g</w:t>
      </w:r>
      <w:r>
        <w:rPr>
          <w:vertAlign w:val="subscript"/>
        </w:rPr>
        <w:t xml:space="preserve">m</w:t>
      </w:r>
      <w:r>
        <w:t xml:space="preserve"> </w:t>
      </w:r>
      <w:r>
        <w:t xml:space="preserve">for shade leaves at high light were also equivalent or greater than those of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and temperature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concomitant increases in g</w:t>
      </w:r>
      <w:r>
        <w:rPr>
          <w:vertAlign w:val="subscript"/>
        </w:rPr>
        <w:t xml:space="preserve">m</w:t>
      </w:r>
      <w:r>
        <w:t xml:space="preserve"> </w:t>
      </w:r>
      <w:r>
        <w:t xml:space="preserve">under periods of high light availability that enabled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gas exchange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and water use in future studies. Additionally, with measurements recorded across a large natural range of air temperatures only minimal effects a +3 °C warming treatment were detected on leaf physiology, owing to temperature acclimation</w:t>
      </w:r>
      <w:r>
        <w:t xml:space="preserve"> </w:t>
      </w:r>
      <w:r>
        <w:t xml:space="preserve">(Aspinwall</w:t>
      </w:r>
      <w:r>
        <w:t xml:space="preserve"> </w:t>
      </w:r>
      <w:r>
        <w:rPr>
          <w:i/>
        </w:rPr>
        <w:t xml:space="preserve">et al.</w:t>
      </w:r>
      <w:r>
        <w:t xml:space="preserve">, 2016)</w:t>
      </w:r>
      <w:r>
        <w:t xml:space="preserve">.</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of N into photosynthetic enzymes within a canopy</w:t>
      </w:r>
      <w:r>
        <w:t xml:space="preserve"> </w:t>
      </w:r>
      <w:r>
        <w:t xml:space="preserve">(Mooney &amp;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comparable light conditions or possible unmeasured differences in total non-structural carbohydrates contents between leaf types that masked differences in leaf thickness or density.</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capacity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g</w:t>
      </w:r>
      <w:r>
        <w:rPr>
          <w:vertAlign w:val="subscript"/>
        </w:rPr>
        <w:t xml:space="preserve">s</w:t>
      </w:r>
      <w:r>
        <w:t xml:space="preserve"> </w:t>
      </w:r>
      <w:r>
        <w:t xml:space="preserve">in shade leaves compared to sun leaves led to decreased ITE in shade leaves throughout the experiment.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g</w:t>
      </w:r>
      <w:r>
        <w:rPr>
          <w:vertAlign w:val="subscript"/>
        </w:rPr>
        <w:t xml:space="preserve">s</w:t>
      </w:r>
      <w:r>
        <w:t xml:space="preserve"> </w:t>
      </w:r>
      <w:r>
        <w:t xml:space="preserve">and low C</w:t>
      </w:r>
      <w:r>
        <w:rPr>
          <w:vertAlign w:val="subscript"/>
        </w:rPr>
        <w:t xml:space="preserve">i</w:t>
      </w:r>
      <w:r>
        <w:t xml:space="preserve">. Consistently lower leaf</w:t>
      </w:r>
      <w:r>
        <w:t xml:space="preserve"> </w:t>
      </w:r>
      <m:oMath>
        <m:r>
          <m:rPr/>
          <m:t>δ</m:t>
        </m:r>
      </m:oMath>
      <w:r>
        <w:rPr>
          <w:vertAlign w:val="superscript"/>
        </w:rPr>
        <w:t xml:space="preserve">13</w:t>
      </w:r>
      <w:r>
        <w:t xml:space="preserve">C in shade leaves also suggests that observed higher C</w:t>
      </w:r>
      <w:r>
        <w:rPr>
          <w:vertAlign w:val="subscript"/>
        </w:rPr>
        <w:t xml:space="preserve">i</w:t>
      </w:r>
      <w:r>
        <w:t xml:space="preserve"> </w:t>
      </w:r>
      <w:r>
        <w:t xml:space="preserve">and C</w:t>
      </w:r>
      <w:r>
        <w:rPr>
          <w:vertAlign w:val="subscript"/>
        </w:rPr>
        <w:t xml:space="preserve">c</w:t>
      </w:r>
      <w:r>
        <w:t xml:space="preserve"> </w:t>
      </w:r>
      <w:r>
        <w:t xml:space="preserve">in shade leaves was likely prevalent long term (Figure S2). Relative to the differences in</w:t>
      </w:r>
      <w:r>
        <w:t xml:space="preserve"> </w:t>
      </w:r>
      <w:r>
        <w:rPr>
          <w:i/>
        </w:rPr>
        <w:t xml:space="preserve">A</w:t>
      </w:r>
      <w:r>
        <w:rPr>
          <w:vertAlign w:val="subscript"/>
          <w:i/>
        </w:rPr>
        <w:t xml:space="preserve">n</w:t>
      </w:r>
      <w:r>
        <w:t xml:space="preserve"> </w:t>
      </w:r>
      <w:r>
        <w:t xml:space="preserve">between leaf types, higher g</w:t>
      </w:r>
      <w:r>
        <w:rPr>
          <w:vertAlign w:val="subscript"/>
        </w:rPr>
        <w:t xml:space="preserve">s</w:t>
      </w:r>
      <w:r>
        <w:t xml:space="preserve"> </w:t>
      </w:r>
      <w:r>
        <w:t xml:space="preserve">in shade leaves appears to result in inefficient water use. As whole canopy C gain integrates the efficiency of all leaves, this raises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to values equal or even outperforming sun leaves when subjected to a brief period of identical high-light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seasonal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though leaves within a forest canopy exhibited a similar uncoupling of</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across a light gradient</w:t>
      </w:r>
      <w:r>
        <w:t xml:space="preserve"> </w:t>
      </w:r>
      <w:r>
        <w:t xml:space="preserve">(Tjoelker</w:t>
      </w:r>
      <w:r>
        <w:t xml:space="preserve"> </w:t>
      </w:r>
      <w:r>
        <w:rPr>
          <w:i/>
        </w:rPr>
        <w:t xml:space="preserve">et al.</w:t>
      </w:r>
      <w:r>
        <w:t xml:space="preserve">, 1995)</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unexpectedly, increased proportionately after leaf stability (~25 min)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growing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that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accommodate the cost of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have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opportunistically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1</w:t>
      </w:r>
      <w:r>
        <w:t xml:space="preserve">.</w:t>
      </w:r>
      <w:r>
        <w:t xml:space="preserve"> </w:t>
      </w:r>
      <w:r>
        <w:rPr>
          <w:i/>
        </w:rPr>
        <w:t xml:space="preserve">Eucalyptus tereticornis</w:t>
      </w:r>
      <w:r>
        <w:t xml:space="preserve"> </w:t>
      </w:r>
      <w:r>
        <w:t xml:space="preserve">leaf morphological and physiological traits of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six measurement campaigns.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w:t>
      </w:r>
      <w:r>
        <w:t xml:space="preserve"> </w:t>
      </w:r>
      <m:oMath>
        <m:r>
          <m:rPr/>
          <m:t>Ψ</m:t>
        </m:r>
      </m:oMath>
      <w:r>
        <w:t xml:space="preserve"> </w:t>
      </w:r>
      <w:r>
        <w:t xml:space="preserve">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833.333333333332"/>
        <w:tblLook w:firstRow="1"/>
      </w:tblPr>
      <w:tblGrid>
        <w:gridCol w:w="1100"/>
        <w:gridCol w:w="1870"/>
        <w:gridCol w:w="1650"/>
        <w:gridCol w:w="1650"/>
        <w:gridCol w:w="1650"/>
        <w:gridCol w:w="1870"/>
        <w:gridCol w:w="1650"/>
        <w:gridCol w:w="187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m:oMath>
              <m:r>
                <m:rPr/>
                <m:t>Ψ</m:t>
              </m:r>
            </m:oMath>
            <w:r>
              <w:rPr>
                <w:vertAlign w:val="subscript"/>
                <w:b/>
              </w:rPr>
              <w:t xml:space="preserve">pre</w:t>
            </w:r>
          </w:p>
        </w:tc>
        <w:tc>
          <w:tcPr>
            <w:tcBorders>
              <w:bottom w:val="single"/>
            </w:tcBorders>
            <w:vAlign w:val="bottom"/>
          </w:tcPr>
          <w:p>
            <w:pPr>
              <w:pStyle w:val="Compact"/>
              <w:jc w:val="left"/>
            </w:pPr>
            <m:oMath>
              <m:r>
                <m:rPr/>
                <m:t>Ψ</m:t>
              </m:r>
            </m:oMath>
            <w:r>
              <w:rPr>
                <w:vertAlign w:val="subscript"/>
                <w:b/>
              </w:rPr>
              <w:t xml:space="preserve">l</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96.3 (5.9) b</w:t>
            </w:r>
          </w:p>
        </w:tc>
        <w:tc>
          <w:p>
            <w:pPr>
              <w:pStyle w:val="Compact"/>
              <w:jc w:val="left"/>
            </w:pPr>
            <w:r>
              <w:t xml:space="preserve">146.1 (11.2) c</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84.8 (10.5) b</w:t>
            </w:r>
          </w:p>
        </w:tc>
        <w:tc>
          <w:p>
            <w:pPr>
              <w:pStyle w:val="Compact"/>
              <w:jc w:val="left"/>
            </w:pPr>
            <w:r>
              <w:t xml:space="preserve">130.3 (11.6) bc</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84.0 (3.5) ab</w:t>
            </w:r>
          </w:p>
        </w:tc>
        <w:tc>
          <w:p>
            <w:pPr>
              <w:pStyle w:val="Compact"/>
              <w:jc w:val="left"/>
            </w:pPr>
            <w:r>
              <w:t xml:space="preserve">112.7 (5.2) ab</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66.8 (5.0) a</w:t>
            </w:r>
          </w:p>
        </w:tc>
        <w:tc>
          <w:p>
            <w:pPr>
              <w:pStyle w:val="Compact"/>
              <w:jc w:val="left"/>
            </w:pPr>
            <w:r>
              <w:t xml:space="preserve">95.6 (5.9)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six gas exchange campaigns.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p>
    <w:p>
      <w:pPr>
        <w:pStyle w:val="BodyText"/>
      </w:pPr>
      <w:r>
        <w:br w:type="textWrapping"/>
      </w:r>
      <w:r>
        <w:rPr>
          <w:b/>
        </w:rPr>
        <w:t xml:space="preserve">Figure 2</w:t>
      </w:r>
      <w:r>
        <w:t xml:space="preserve">. (a) ACi curves for sun and shade leaves grown under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w:t>
      </w:r>
      <w:r>
        <w:t xml:space="preserve">. The relationship between</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across six measurement campaigns.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4</w:t>
      </w:r>
      <w:r>
        <w:t xml:space="preserve">. Box plots of measured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5</w:t>
      </w:r>
      <w:r>
        <w:t xml:space="preserve">. (a) The relationship between instantaneous transpiration efficiency (ITE) and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486400" cy="5486400"/>
            <wp:effectExtent b="0" l="0" r="0" t="0"/>
            <wp:docPr descr="" id="1" name="Picture"/>
            <a:graphic>
              <a:graphicData uri="http://schemas.openxmlformats.org/drawingml/2006/picture">
                <pic:pic>
                  <pic:nvPicPr>
                    <pic:cNvPr descr="manuscript_gmes_files/figure-docx/gmshade-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6</w:t>
      </w:r>
      <w:r>
        <w:t xml:space="preserve">. The change in measured g</w:t>
      </w:r>
      <w:r>
        <w:rPr>
          <w:vertAlign w:val="subscript"/>
        </w:rPr>
        <w:t xml:space="preserve">m</w:t>
      </w:r>
      <w:r>
        <w:t xml:space="preserve"> </w:t>
      </w:r>
      <w:r>
        <w:t xml:space="preserve">for individual shade leaves following an increase in PPFD to match the light environment of full sun leaves in the same tree measured across six measurement dates. Measurements of g</w:t>
      </w:r>
      <w:r>
        <w:rPr>
          <w:vertAlign w:val="subscript"/>
        </w:rPr>
        <w:t xml:space="preserve">m</w:t>
      </w:r>
      <w:r>
        <w:t xml:space="preserve"> </w:t>
      </w:r>
      <w:r>
        <w:t xml:space="preserve">were recorded once CO</w:t>
      </w:r>
      <w:r>
        <w:rPr>
          <w:vertAlign w:val="subscript"/>
        </w:rPr>
        <w:t xml:space="preserve">2</w:t>
      </w:r>
      <w:r>
        <w:t xml:space="preserve"> </w:t>
      </w:r>
      <w:r>
        <w:t xml:space="preserve">and water vapour fluxes were stable in the leaf cuvette, which took approximately 25 minutes after light intensity was increased. The dashed line is the 1:1 relationship.</w:t>
      </w: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9"/>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7</w:t>
      </w:r>
      <w:r>
        <w:t xml:space="preserve">. Boxplots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50" w:name="acknowledgements"/>
      <w:bookmarkEnd w:id="50"/>
      <w:r>
        <w:t xml:space="preserve">Acknowledgements</w:t>
      </w:r>
    </w:p>
    <w:p>
      <w:pPr>
        <w:pStyle w:val="FirstParagraph"/>
      </w:pPr>
      <w:r>
        <w:t xml:space="preserve">We thank Craig Barton and Burhan Amiji for maintaining the Whole Tree Chambers experiment and for their outstanding technical assistance. We thank Sune Linder and the Swedish University for Agricultural Science for providing the whole-tree chambers.</w:t>
      </w:r>
    </w:p>
    <w:p>
      <w:pPr>
        <w:pStyle w:val="Heading3"/>
      </w:pPr>
      <w:bookmarkStart w:id="51" w:name="author-contributions"/>
      <w:bookmarkEnd w:id="51"/>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2" w:name="supporting-information"/>
      <w:bookmarkEnd w:id="52"/>
      <w:r>
        <w:t xml:space="preserve">Supporting Information</w:t>
      </w:r>
    </w:p>
    <w:p>
      <w:pPr>
        <w:pStyle w:val="Heading2"/>
      </w:pPr>
      <w:bookmarkStart w:id="53" w:name="figures-1"/>
      <w:bookmarkEnd w:id="53"/>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4"/>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6"/>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8" w:name="methods-s1"/>
      <w:bookmarkEnd w:id="58"/>
      <w:r>
        <w:t xml:space="preserve">Methods S1</w:t>
      </w:r>
    </w:p>
    <w:p>
      <w:pPr>
        <w:pStyle w:val="Heading3"/>
      </w:pPr>
      <w:bookmarkStart w:id="59" w:name="description-of-the-calculation-of-gm-from-carbon-isotope-discrimination-during-c3-photosynthesis"/>
      <w:bookmarkEnd w:id="59"/>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the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 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 g</w:t>
      </w:r>
      <w:r>
        <w:rPr>
          <w:vertAlign w:val="subscript"/>
        </w:rPr>
        <w:t xml:space="preserve">m</w:t>
      </w:r>
      <w:r>
        <w:t xml:space="preserve"> </w:t>
      </w:r>
      <w:r>
        <w:t xml:space="preserve">and g</w:t>
      </w:r>
      <w:r>
        <w:rPr>
          <w:vertAlign w:val="subscript"/>
        </w:rPr>
        <w:t xml:space="preserve">s</w:t>
      </w:r>
      <w:r>
        <w:t xml:space="preserve"> </w:t>
      </w:r>
      <w:r>
        <w:t xml:space="preserve">can be made.</w:t>
      </w:r>
    </w:p>
    <w:p>
      <w:pPr>
        <w:pStyle w:val="Heading1"/>
      </w:pPr>
      <w:bookmarkStart w:id="60" w:name="references"/>
      <w:bookmarkEnd w:id="60"/>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Aspinwall MJ</w:t>
      </w:r>
      <w:r>
        <w:rPr>
          <w:b/>
        </w:rPr>
        <w:t xml:space="preserve">,</w:t>
      </w:r>
      <w:r>
        <w:rPr>
          <w:b/>
        </w:rPr>
        <w:t xml:space="preserve"> </w:t>
      </w:r>
      <w:r>
        <w:rPr>
          <w:b w:val="0"/>
          <w:b/>
        </w:rPr>
        <w:t xml:space="preserve">Drake JE</w:t>
      </w:r>
      <w:r>
        <w:rPr>
          <w:b/>
        </w:rPr>
        <w:t xml:space="preserve">,</w:t>
      </w:r>
      <w:r>
        <w:rPr>
          <w:b/>
        </w:rPr>
        <w:t xml:space="preserve"> </w:t>
      </w:r>
      <w:r>
        <w:rPr>
          <w:b w:val="0"/>
          <w:b/>
        </w:rPr>
        <w:t xml:space="preserve">Campany C</w:t>
      </w:r>
      <w:r>
        <w:rPr>
          <w:b/>
        </w:rPr>
        <w:t xml:space="preserve">,</w:t>
      </w:r>
      <w:r>
        <w:rPr>
          <w:b/>
        </w:rPr>
        <w:t xml:space="preserve"> </w:t>
      </w:r>
      <w:r>
        <w:rPr>
          <w:b w:val="0"/>
          <w:b/>
        </w:rPr>
        <w:t xml:space="preserve">Vårhammar A</w:t>
      </w:r>
      <w:r>
        <w:rPr>
          <w:b/>
        </w:rPr>
        <w:t xml:space="preserve">,</w:t>
      </w:r>
      <w:r>
        <w:rPr>
          <w:b/>
        </w:rPr>
        <w:t xml:space="preserve"> </w:t>
      </w:r>
      <w:r>
        <w:rPr>
          <w:b w:val="0"/>
          <w:b/>
        </w:rPr>
        <w:t xml:space="preserve">Ghannoum O</w:t>
      </w:r>
      <w:r>
        <w:rPr>
          <w:b/>
        </w:rPr>
        <w:t xml:space="preserve">,</w:t>
      </w:r>
      <w:r>
        <w:rPr>
          <w:b/>
        </w:rPr>
        <w:t xml:space="preserve"> </w:t>
      </w:r>
      <w:r>
        <w:rPr>
          <w:b w:val="0"/>
          <w:b/>
        </w:rPr>
        <w:t xml:space="preserve">Tissue DT</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t xml:space="preserve">.</w:t>
      </w:r>
      <w:r>
        <w:t xml:space="preserve"> </w:t>
      </w:r>
      <w:r>
        <w:rPr>
          <w:b/>
        </w:rPr>
        <w:t xml:space="preserve">2016</w:t>
      </w:r>
      <w:r>
        <w:t xml:space="preserve">. Convergent acclimation of leaf photosynthesis and respiration to prevailing ambient temperatures under current and warmer climates in Eucalyptus tereticornis.</w:t>
      </w:r>
      <w:r>
        <w:t xml:space="preserve"> </w:t>
      </w:r>
      <w:r>
        <w:rPr>
          <w:i/>
        </w:rPr>
        <w:t xml:space="preserve">New Phytologist</w:t>
      </w:r>
      <w:r>
        <w:t xml:space="preserve">.</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w:t>
      </w:r>
      <w:r>
        <w:rPr>
          <w:vertAlign w:val="subscript"/>
        </w:rPr>
        <w:t xml:space="preserve">2</w:t>
      </w:r>
      <w:r>
        <w:t xml:space="preserve"> </w:t>
      </w:r>
      <w:r>
        <w:t xml:space="preserve">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Buckley TN</w:t>
      </w:r>
      <w:r>
        <w:rPr>
          <w:b/>
        </w:rPr>
        <w:t xml:space="preserve">,</w:t>
      </w:r>
      <w:r>
        <w:rPr>
          <w:b/>
        </w:rPr>
        <w:t xml:space="preserve"> </w:t>
      </w:r>
      <w:r>
        <w:rPr>
          <w:b w:val="0"/>
          <w:b/>
        </w:rPr>
        <w:t xml:space="preserve">Cescatti A</w:t>
      </w:r>
      <w:r>
        <w:rPr>
          <w:b/>
        </w:rPr>
        <w:t xml:space="preserve">,</w:t>
      </w:r>
      <w:r>
        <w:rPr>
          <w:b/>
        </w:rPr>
        <w:t xml:space="preserve"> </w:t>
      </w:r>
      <w:r>
        <w:rPr>
          <w:b w:val="0"/>
          <w:b/>
        </w:rPr>
        <w:t xml:space="preserve">Farquhar GD</w:t>
      </w:r>
      <w:r>
        <w:t xml:space="preserve">.</w:t>
      </w:r>
      <w:r>
        <w:t xml:space="preserve"> </w:t>
      </w:r>
      <w:r>
        <w:rPr>
          <w:b/>
        </w:rPr>
        <w:t xml:space="preserve">2013</w:t>
      </w:r>
      <w:r>
        <w:t xml:space="preserve">. What does optimization theory actually predict about crown profiles of photosynthetic capacity when models incorporate greater realism?</w:t>
      </w:r>
      <w:r>
        <w:t xml:space="preserve"> </w:t>
      </w:r>
      <w:r>
        <w:rPr>
          <w:i/>
        </w:rPr>
        <w:t xml:space="preserve">Plant, Cell &amp; Environment</w:t>
      </w:r>
      <w:r>
        <w:t xml:space="preserve"> </w:t>
      </w:r>
      <w:r>
        <w:rPr>
          <w:b/>
        </w:rPr>
        <w:t xml:space="preserve">36</w:t>
      </w:r>
      <w:r>
        <w:t xml:space="preserve">: 1547–1563.</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w:t>
      </w:r>
      <w:r>
        <w:rPr>
          <w:b/>
        </w:rPr>
        <w:t xml:space="preserve">41</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Drake JE</w:t>
      </w:r>
      <w:r>
        <w:rPr>
          <w:b/>
        </w:rPr>
        <w:t xml:space="preserve">,</w:t>
      </w:r>
      <w:r>
        <w:rPr>
          <w:b/>
        </w:rPr>
        <w:t xml:space="preserve"> </w:t>
      </w:r>
      <w:r>
        <w:rPr>
          <w:b w:val="0"/>
          <w:b/>
        </w:rPr>
        <w:t xml:space="preserve">Tjoelker MG</w:t>
      </w:r>
      <w:r>
        <w:rPr>
          <w:b/>
        </w:rPr>
        <w:t xml:space="preserve">,</w:t>
      </w:r>
      <w:r>
        <w:rPr>
          <w:b/>
        </w:rPr>
        <w:t xml:space="preserve"> </w:t>
      </w:r>
      <w:r>
        <w:rPr>
          <w:b w:val="0"/>
          <w:b/>
        </w:rPr>
        <w:t xml:space="preserve">Aspinwall MJ</w:t>
      </w:r>
      <w:r>
        <w:rPr>
          <w:b/>
        </w:rPr>
        <w:t xml:space="preserve">,</w:t>
      </w:r>
      <w:r>
        <w:rPr>
          <w:b/>
        </w:rPr>
        <w:t xml:space="preserve"> </w:t>
      </w:r>
      <w:r>
        <w:rPr>
          <w:b w:val="0"/>
          <w:b/>
        </w:rPr>
        <w:t xml:space="preserve">Reich PB</w:t>
      </w:r>
      <w:r>
        <w:rPr>
          <w:b/>
        </w:rPr>
        <w:t xml:space="preserve">,</w:t>
      </w:r>
      <w:r>
        <w:rPr>
          <w:b/>
        </w:rPr>
        <w:t xml:space="preserve"> </w:t>
      </w:r>
      <w:r>
        <w:rPr>
          <w:b w:val="0"/>
          <w:b/>
        </w:rPr>
        <w:t xml:space="preserve">Barton CVM</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t xml:space="preserve">.</w:t>
      </w:r>
      <w:r>
        <w:t xml:space="preserve"> </w:t>
      </w:r>
      <w:r>
        <w:rPr>
          <w:b/>
        </w:rPr>
        <w:t xml:space="preserve">2016</w:t>
      </w:r>
      <w:r>
        <w:t xml:space="preserve">. Does physiological acclimation to climate warming stabilize the ratio of canopy respiration to photosynthesis?</w:t>
      </w:r>
      <w:r>
        <w:t xml:space="preserve"> </w:t>
      </w:r>
      <w:r>
        <w:rPr>
          <w:i/>
        </w:rPr>
        <w:t xml:space="preserve">New Phytologist</w:t>
      </w:r>
      <w:r>
        <w:t xml:space="preserve">.</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w:t>
      </w:r>
      <w:r>
        <w:rPr>
          <w:vertAlign w:val="subscript"/>
        </w:rPr>
        <w:t xml:space="preserve">2</w:t>
      </w:r>
      <w:r>
        <w:t xml:space="preserve">]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Cambridge University Press, 25–55.</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w:t>
      </w:r>
      <w:r>
        <w:rPr>
          <w:vertAlign w:val="subscript"/>
        </w:rPr>
        <w:t xml:space="preserve">2</w:t>
      </w:r>
      <w:r>
        <w:t xml:space="preserve"> </w:t>
      </w:r>
      <w:r>
        <w:t xml:space="preserve">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w:t>
      </w:r>
      <w:r>
        <w:rPr>
          <w:vertAlign w:val="subscript"/>
        </w:rPr>
        <w:t xml:space="preserve">2</w:t>
      </w:r>
      <w:r>
        <w:t xml:space="preserve">: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Kogami H</w:t>
      </w:r>
      <w:r>
        <w:rPr>
          <w:b/>
        </w:rPr>
        <w:t xml:space="preserve">,</w:t>
      </w:r>
      <w:r>
        <w:rPr>
          <w:b/>
        </w:rPr>
        <w:t xml:space="preserve"> </w:t>
      </w:r>
      <w:r>
        <w:rPr>
          <w:b w:val="0"/>
          <w:b/>
        </w:rPr>
        <w:t xml:space="preserve">Terashima I</w:t>
      </w:r>
      <w:r>
        <w:t xml:space="preserve">.</w:t>
      </w:r>
      <w:r>
        <w:t xml:space="preserve"> </w:t>
      </w:r>
      <w:r>
        <w:rPr>
          <w:b/>
        </w:rPr>
        <w:t xml:space="preserve">2002</w:t>
      </w:r>
      <w:r>
        <w:t xml:space="preserve">. The effect of growth irradiance on leaf anatomy and photosynthesis in</w:t>
      </w:r>
      <w:r>
        <w:t xml:space="preserve"> </w:t>
      </w:r>
      <w:r>
        <w:rPr>
          <w:i/>
        </w:rPr>
        <w:t xml:space="preserve">Acer</w:t>
      </w:r>
      <w:r>
        <w:t xml:space="preserve"> </w:t>
      </w:r>
      <w:r>
        <w:t xml:space="preserve">species differing in light demand.</w:t>
      </w:r>
      <w:r>
        <w:t xml:space="preserve"> </w:t>
      </w:r>
      <w:r>
        <w:rPr>
          <w:i/>
        </w:rPr>
        <w:t xml:space="preserve">Plant, Cell &amp; Environment</w:t>
      </w:r>
      <w:r>
        <w:t xml:space="preserve"> </w:t>
      </w:r>
      <w:r>
        <w:rPr>
          <w:b/>
        </w:rPr>
        <w:t xml:space="preserve">25</w:t>
      </w:r>
      <w:r>
        <w:t xml:space="preserve">: 1021–1030.</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w:t>
      </w:r>
      <w:r>
        <w:rPr>
          <w:vertAlign w:val="subscript"/>
        </w:rPr>
        <w:t xml:space="preserve">2</w:t>
      </w:r>
      <w:r>
        <w:t xml:space="preserve"> </w:t>
      </w:r>
      <w:r>
        <w:t xml:space="preserve">conductance and CO</w:t>
      </w:r>
      <w:r>
        <w:rPr>
          <w:vertAlign w:val="subscript"/>
        </w:rPr>
        <w:t xml:space="preserve">2</w:t>
      </w:r>
      <w:r>
        <w:t xml:space="preserve"> </w:t>
      </w:r>
      <w:r>
        <w:t xml:space="preserve">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Hassiotou F</w:t>
      </w:r>
      <w:r>
        <w:rPr>
          <w:b/>
        </w:rPr>
        <w:t xml:space="preserve">,</w:t>
      </w:r>
      <w:r>
        <w:rPr>
          <w:b/>
        </w:rPr>
        <w:t xml:space="preserve"> </w:t>
      </w:r>
      <w:r>
        <w:rPr>
          <w:b w:val="0"/>
          <w:b/>
        </w:rPr>
        <w:t xml:space="preserve">Ludwig M</w:t>
      </w:r>
      <w:r>
        <w:rPr>
          <w:b/>
        </w:rPr>
        <w:t xml:space="preserve">,</w:t>
      </w:r>
      <w:r>
        <w:rPr>
          <w:b/>
        </w:rPr>
        <w:t xml:space="preserve"> </w:t>
      </w:r>
      <w:r>
        <w:rPr>
          <w:b w:val="0"/>
          <w:b/>
        </w:rPr>
        <w:t xml:space="preserve">Renton M</w:t>
      </w:r>
      <w:r>
        <w:rPr>
          <w:b/>
        </w:rPr>
        <w:t xml:space="preserve">,</w:t>
      </w:r>
      <w:r>
        <w:rPr>
          <w:b/>
        </w:rPr>
        <w:t xml:space="preserve"> </w:t>
      </w:r>
      <w:r>
        <w:rPr>
          <w:b w:val="0"/>
          <w:b/>
        </w:rPr>
        <w:t xml:space="preserve">Veneklaas EJ</w:t>
      </w:r>
      <w:r>
        <w:rPr>
          <w:b/>
        </w:rPr>
        <w:t xml:space="preserve">,</w:t>
      </w:r>
      <w:r>
        <w:rPr>
          <w:b/>
        </w:rPr>
        <w:t xml:space="preserve"> </w:t>
      </w:r>
      <w:r>
        <w:rPr>
          <w:b w:val="0"/>
          <w:b/>
        </w:rPr>
        <w:t xml:space="preserve">Evans JR</w:t>
      </w:r>
      <w:r>
        <w:t xml:space="preserve">.</w:t>
      </w:r>
      <w:r>
        <w:t xml:space="preserve"> </w:t>
      </w:r>
      <w:r>
        <w:rPr>
          <w:b/>
        </w:rPr>
        <w:t xml:space="preserve">2009</w:t>
      </w:r>
      <w:r>
        <w:t xml:space="preserve">. Influence of leaf dry mass per area, CO</w:t>
      </w:r>
      <w:r>
        <w:rPr>
          <w:vertAlign w:val="subscript"/>
        </w:rPr>
        <w:t xml:space="preserve">2</w:t>
      </w:r>
      <w:r>
        <w:t xml:space="preserve">, and irradiance on mesophyll conductance in sclerophylls.</w:t>
      </w:r>
      <w:r>
        <w:t xml:space="preserve"> </w:t>
      </w:r>
      <w:r>
        <w:rPr>
          <w:i/>
        </w:rPr>
        <w:t xml:space="preserve">Journal of Experimental Botany</w:t>
      </w:r>
      <w:r>
        <w:t xml:space="preserve"> </w:t>
      </w:r>
      <w:r>
        <w:rPr>
          <w:b/>
        </w:rPr>
        <w:t xml:space="preserve">60</w:t>
      </w:r>
      <w:r>
        <w:t xml:space="preserve">: 2303–2314.</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w:t>
      </w:r>
      <w:r>
        <w:rPr>
          <w:vertAlign w:val="subscript"/>
        </w:rPr>
        <w:t xml:space="preserve">2</w:t>
      </w:r>
      <w:r>
        <w:t xml:space="preserve"> </w:t>
      </w:r>
      <w:r>
        <w:t xml:space="preserve">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 Stable isotopes in ecology and environmental science. Oxford, UK: Blackwell Publishing Chichester,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Mooney HA</w:t>
      </w:r>
      <w:r>
        <w:rPr>
          <w:b/>
        </w:rPr>
        <w:t xml:space="preserve">,</w:t>
      </w:r>
      <w:r>
        <w:rPr>
          <w:b/>
        </w:rPr>
        <w:t xml:space="preserve"> </w:t>
      </w:r>
      <w:r>
        <w:rPr>
          <w:b w:val="0"/>
          <w:b/>
        </w:rPr>
        <w:t xml:space="preserve">Gulmon SL</w:t>
      </w:r>
      <w:r>
        <w:t xml:space="preserve">.</w:t>
      </w:r>
      <w:r>
        <w:t xml:space="preserve"> </w:t>
      </w:r>
      <w:r>
        <w:rPr>
          <w:b/>
        </w:rPr>
        <w:t xml:space="preserve">1979</w:t>
      </w:r>
      <w:r>
        <w:t xml:space="preserve">. Environmental and evolutionary constraints on the photosynthetic characteristics of higher plants. Topics in plant population biology. columbia university press, new york. New York: Columbia University Press,.</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w:t>
      </w:r>
      <w:r>
        <w:rPr>
          <w:vertAlign w:val="subscript"/>
        </w:rPr>
        <w:t xml:space="preserve">2</w:t>
      </w:r>
      <w:r>
        <w:t xml:space="preserve"> </w:t>
      </w:r>
      <w:r>
        <w:t xml:space="preserve">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w:t>
      </w:r>
      <w:r>
        <w:rPr>
          <w:vertAlign w:val="subscript"/>
        </w:rPr>
        <w:t xml:space="preserve">2</w:t>
      </w:r>
      <w:r>
        <w:t xml:space="preserve"> </w:t>
      </w:r>
      <w:r>
        <w:t xml:space="preserve">do not affect the mesophyll conductance to CO</w:t>
      </w:r>
      <w:r>
        <w:rPr>
          <w:vertAlign w:val="subscript"/>
        </w:rPr>
        <w:t xml:space="preserve">2</w:t>
      </w:r>
      <w:r>
        <w:t xml:space="preserve"> </w:t>
      </w:r>
      <w:r>
        <w:t xml:space="preserve">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w:t>
      </w:r>
      <w:r>
        <w:rPr>
          <w:vertAlign w:val="subscript"/>
        </w:rPr>
        <w:t xml:space="preserve">2</w:t>
      </w:r>
      <w:r>
        <w:t xml:space="preserve"> </w:t>
      </w:r>
      <w:r>
        <w:t xml:space="preserve">diffusion dynamically at different CO</w:t>
      </w:r>
      <w:r>
        <w:rPr>
          <w:vertAlign w:val="subscript"/>
        </w:rPr>
        <w:t xml:space="preserve">2</w:t>
      </w:r>
      <w:r>
        <w:t xml:space="preserve"> </w:t>
      </w:r>
      <w:r>
        <w:t xml:space="preserve">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w:t>
      </w:r>
      <w:r>
        <w:rPr>
          <w:vertAlign w:val="subscript"/>
        </w:rPr>
        <w:t xml:space="preserve">2</w:t>
      </w:r>
      <w:r>
        <w:t xml:space="preserve"> </w:t>
      </w:r>
      <w:r>
        <w:t xml:space="preserve">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Terashima I</w:t>
      </w:r>
      <w:r>
        <w:rPr>
          <w:b/>
        </w:rPr>
        <w:t xml:space="preserve">,</w:t>
      </w:r>
      <w:r>
        <w:rPr>
          <w:b/>
        </w:rPr>
        <w:t xml:space="preserve"> </w:t>
      </w:r>
      <w:r>
        <w:rPr>
          <w:b w:val="0"/>
          <w:b/>
        </w:rPr>
        <w:t xml:space="preserve">Miyazawa S-I</w:t>
      </w:r>
      <w:r>
        <w:rPr>
          <w:b/>
        </w:rPr>
        <w:t xml:space="preserve">,</w:t>
      </w:r>
      <w:r>
        <w:rPr>
          <w:b/>
        </w:rPr>
        <w:t xml:space="preserve"> </w:t>
      </w:r>
      <w:r>
        <w:rPr>
          <w:b w:val="0"/>
          <w:b/>
        </w:rPr>
        <w:t xml:space="preserve">Hanba YT</w:t>
      </w:r>
      <w:r>
        <w:t xml:space="preserve">.</w:t>
      </w:r>
      <w:r>
        <w:t xml:space="preserve"> </w:t>
      </w:r>
      <w:r>
        <w:rPr>
          <w:b/>
        </w:rPr>
        <w:t xml:space="preserve">2001</w:t>
      </w:r>
      <w:r>
        <w:t xml:space="preserve">. Why are sun leaves thicker than shade leaves?—Consideration based on analyses of CO</w:t>
      </w:r>
      <w:r>
        <w:rPr>
          <w:vertAlign w:val="subscript"/>
        </w:rPr>
        <w:t xml:space="preserve">2</w:t>
      </w:r>
      <w:r>
        <w:t xml:space="preserve"> </w:t>
      </w:r>
      <w:r>
        <w:t xml:space="preserve">diffusion in the leaf.</w:t>
      </w:r>
      <w:r>
        <w:t xml:space="preserve"> </w:t>
      </w:r>
      <w:r>
        <w:rPr>
          <w:i/>
        </w:rPr>
        <w:t xml:space="preserve">Journal of Plant Research</w:t>
      </w:r>
      <w:r>
        <w:t xml:space="preserve"> </w:t>
      </w:r>
      <w:r>
        <w:rPr>
          <w:b/>
        </w:rPr>
        <w:t xml:space="preserve">114</w:t>
      </w:r>
      <w:r>
        <w:t xml:space="preserve">: 93–105.</w:t>
      </w:r>
    </w:p>
    <w:p>
      <w:pPr>
        <w:pStyle w:val="Bibliography"/>
      </w:pPr>
      <w:r>
        <w:rPr>
          <w:b w:val="0"/>
          <w:b/>
        </w:rPr>
        <w:t xml:space="preserve">Tjoelker MG</w:t>
      </w:r>
      <w:r>
        <w:rPr>
          <w:b/>
        </w:rPr>
        <w:t xml:space="preserve">,</w:t>
      </w:r>
      <w:r>
        <w:rPr>
          <w:b/>
        </w:rPr>
        <w:t xml:space="preserve"> </w:t>
      </w:r>
      <w:r>
        <w:rPr>
          <w:b w:val="0"/>
          <w:b/>
        </w:rPr>
        <w:t xml:space="preserve">Volin JC</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t xml:space="preserve">.</w:t>
      </w:r>
      <w:r>
        <w:t xml:space="preserve"> </w:t>
      </w:r>
      <w:r>
        <w:rPr>
          <w:b/>
        </w:rPr>
        <w:t xml:space="preserve">1995</w:t>
      </w:r>
      <w:r>
        <w:t xml:space="preserve">. Interaction of ozone pollution and light effects on photosynthesis in a forest canopy experiment.</w:t>
      </w:r>
      <w:r>
        <w:t xml:space="preserve"> </w:t>
      </w:r>
      <w:r>
        <w:rPr>
          <w:i/>
        </w:rPr>
        <w:t xml:space="preserve">Plant, Cell &amp; Environment</w:t>
      </w:r>
      <w:r>
        <w:t xml:space="preserve"> </w:t>
      </w:r>
      <w:r>
        <w:rPr>
          <w:b/>
        </w:rPr>
        <w:t xml:space="preserve">18</w:t>
      </w:r>
      <w:r>
        <w:t xml:space="preserve">: 895–905.</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sSup>
          <m:e>
            <m:r>
              <m:rPr/>
              <m:t>δ</m:t>
            </m:r>
          </m:e>
          <m:sup>
            <m:r>
              <m:rPr/>
              <m:t>13</m:t>
            </m:r>
          </m:sup>
        </m:sSup>
      </m:oMath>
      <w:r>
        <w:t xml:space="preserve">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von Caemmerer S</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w:t>
      </w:r>
      <w:r>
        <w:rPr>
          <w:vertAlign w:val="subscript"/>
        </w:rPr>
        <w:t xml:space="preserve">2</w:t>
      </w:r>
      <w:r>
        <w:t xml:space="preserve"> </w:t>
      </w:r>
      <w:r>
        <w:t xml:space="preserve">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w:t>
      </w:r>
      <w:r>
        <w:rPr>
          <w:vertAlign w:val="subscript"/>
        </w:rPr>
        <w:t xml:space="preserve">2</w:t>
      </w:r>
      <w:r>
        <w:t xml:space="preserve"> </w:t>
      </w:r>
      <w:r>
        <w:t xml:space="preserve">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72aa48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cfb2d1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Coupled response of stomatal and mesophyll conductance to light enhances photosynthesis of shade leaves under sunflecks.</dc:title>
  <dc:creator/>
</cp:coreProperties>
</file>