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23.png" ContentType="image/png"/>
  <Override PartName="/word/media/rId24.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Supporting</w:t>
      </w:r>
      <w:r>
        <w:t xml:space="preserve"> </w:t>
      </w:r>
      <w:r>
        <w:t xml:space="preserve">information</w:t>
      </w:r>
    </w:p>
    <w:p>
      <w:pPr>
        <w:pStyle w:val="FirstParagraph"/>
      </w:pPr>
      <w:r>
        <w:t xml:space="preserve">Article title: Coupled response of stomatal and mesophyll conductance to light enhances photosynthesis of shade leaves under sunflecks.</w:t>
      </w:r>
    </w:p>
    <w:p>
      <w:pPr>
        <w:pStyle w:val="BodyText"/>
      </w:pPr>
      <w:r>
        <w:t xml:space="preserve">Authors: Courtney E. Campany, Mark G. Tjoelker, Susanne von Caemmerer, Remko A. Duursma.</w:t>
      </w:r>
    </w:p>
    <w:p>
      <w:pPr>
        <w:pStyle w:val="Heading2"/>
      </w:pPr>
      <w:bookmarkStart w:id="21" w:name="figures"/>
      <w:bookmarkEnd w:id="21"/>
      <w:r>
        <w:t xml:space="preserve">Figures</w:t>
      </w:r>
    </w:p>
    <w:p>
      <w:pPr>
        <w:pStyle w:val="FirstParagraph"/>
      </w:pPr>
      <w:r>
        <w:drawing>
          <wp:inline>
            <wp:extent cx="5943600" cy="7476671"/>
            <wp:effectExtent b="0" l="0" r="0" t="0"/>
            <wp:docPr descr="" id="1" name="Picture"/>
            <a:graphic>
              <a:graphicData uri="http://schemas.openxmlformats.org/drawingml/2006/picture">
                <pic:pic>
                  <pic:nvPicPr>
                    <pic:cNvPr descr="manuscript_gmes_SuppInfo_files/figure-docx/airvars-1.png" id="0" name="Picture"/>
                    <pic:cNvPicPr>
                      <a:picLocks noChangeArrowheads="1" noChangeAspect="1"/>
                    </pic:cNvPicPr>
                  </pic:nvPicPr>
                  <pic:blipFill>
                    <a:blip r:embed="rId22"/>
                    <a:stretch>
                      <a:fillRect/>
                    </a:stretch>
                  </pic:blipFill>
                  <pic:spPr bwMode="auto">
                    <a:xfrm>
                      <a:off x="0" y="0"/>
                      <a:ext cx="5943600" cy="7476671"/>
                    </a:xfrm>
                    <a:prstGeom prst="rect">
                      <a:avLst/>
                    </a:prstGeom>
                    <a:noFill/>
                    <a:ln w="9525">
                      <a:noFill/>
                      <a:headEnd/>
                      <a:tailEnd/>
                    </a:ln>
                  </pic:spPr>
                </pic:pic>
              </a:graphicData>
            </a:graphic>
          </wp:inline>
        </w:drawing>
      </w:r>
      <w:r>
        <w:br w:type="textWrapping"/>
      </w:r>
      <w:r>
        <w:rPr>
          <w:b/>
        </w:rPr>
        <w:t xml:space="preserve">Figure S1</w:t>
      </w:r>
      <w:r>
        <w:t xml:space="preserve">. Daily maximum and minimum temperature (a), daily maximum VPD (b) and total daily PPFD (c) for each chamber across the experiment duration.</w:t>
      </w:r>
      <w:r>
        <w:br w:type="textWrapping"/>
      </w:r>
      <w:r>
        <w:drawing>
          <wp:inline>
            <wp:extent cx="5486400" cy="5486400"/>
            <wp:effectExtent b="0" l="0" r="0" t="0"/>
            <wp:docPr descr="" id="1" name="Picture"/>
            <a:graphic>
              <a:graphicData uri="http://schemas.openxmlformats.org/drawingml/2006/picture">
                <pic:pic>
                  <pic:nvPicPr>
                    <pic:cNvPr descr="manuscript_gmes_SuppInfo_files/figure-docx/deltacica-1.png" id="0" name="Picture"/>
                    <pic:cNvPicPr>
                      <a:picLocks noChangeArrowheads="1" noChangeAspect="1"/>
                    </pic:cNvPicPr>
                  </pic:nvPicPr>
                  <pic:blipFill>
                    <a:blip r:embed="rId23"/>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w:t>
      </w:r>
      <w:r>
        <w:t xml:space="preserve"> </w:t>
      </w:r>
      <w:r>
        <w:rPr>
          <w:i/>
        </w:rPr>
        <w:t xml:space="preserve">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943600" cy="7653564"/>
            <wp:effectExtent b="0" l="0" r="0" t="0"/>
            <wp:docPr descr="" id="1" name="Picture"/>
            <a:graphic>
              <a:graphicData uri="http://schemas.openxmlformats.org/drawingml/2006/picture">
                <pic:pic>
                  <pic:nvPicPr>
                    <pic:cNvPr descr="manuscript_gmes_SuppInfo_files/figure-docx/gasex_temp3-1.png" id="0" name="Picture"/>
                    <pic:cNvPicPr>
                      <a:picLocks noChangeArrowheads="1" noChangeAspect="1"/>
                    </pic:cNvPicPr>
                  </pic:nvPicPr>
                  <pic:blipFill>
                    <a:blip r:embed="rId24"/>
                    <a:stretch>
                      <a:fillRect/>
                    </a:stretch>
                  </pic:blipFill>
                  <pic:spPr bwMode="auto">
                    <a:xfrm>
                      <a:off x="0" y="0"/>
                      <a:ext cx="5943600" cy="7653564"/>
                    </a:xfrm>
                    <a:prstGeom prst="rect">
                      <a:avLst/>
                    </a:prstGeom>
                    <a:noFill/>
                    <a:ln w="9525">
                      <a:noFill/>
                      <a:headEnd/>
                      <a:tailEnd/>
                    </a:ln>
                  </pic:spPr>
                </pic:pic>
              </a:graphicData>
            </a:graphic>
          </wp:inline>
        </w:drawing>
      </w:r>
      <w:r>
        <w:br w:type="textWrapping"/>
      </w:r>
      <w:r>
        <w:rPr>
          <w:b/>
        </w:rPr>
        <w:t xml:space="preserve">Figure S3</w:t>
      </w:r>
      <w:r>
        <w:t xml:space="preserve">. Response of</w:t>
      </w:r>
      <w:r>
        <w:t xml:space="preserve"> </w:t>
      </w:r>
      <w:r>
        <w:rPr>
          <w:i/>
        </w:rPr>
        <w:t xml:space="preserve">A</w:t>
      </w:r>
      <w:r>
        <w:rPr>
          <w:vertAlign w:val="subscript"/>
        </w:rPr>
        <w:t xml:space="preserve">n</w:t>
      </w:r>
      <w:r>
        <w:t xml:space="preserve"> </w:t>
      </w:r>
      <w:r>
        <w:t xml:space="preserve">(a),</w:t>
      </w:r>
      <w:r>
        <w:t xml:space="preserve"> </w:t>
      </w:r>
      <w:r>
        <w:rPr>
          <w:i/>
        </w:rPr>
        <w:t xml:space="preserve">g</w:t>
      </w:r>
      <w:r>
        <w:rPr>
          <w:vertAlign w:val="subscript"/>
        </w:rPr>
        <w:t xml:space="preserve">m</w:t>
      </w:r>
      <w:r>
        <w:t xml:space="preserve"> </w:t>
      </w:r>
      <w:r>
        <w:t xml:space="preserve">(b) and</w:t>
      </w:r>
      <w:r>
        <w:t xml:space="preserve"> </w:t>
      </w:r>
      <w:r>
        <w:rPr>
          <w:i/>
        </w:rPr>
        <w:t xml:space="preserve">C</w:t>
      </w:r>
      <w:r>
        <w:rPr>
          <w:vertAlign w:val="subscript"/>
        </w:rPr>
        <w:t xml:space="preserve">i</w:t>
      </w:r>
      <w:r>
        <w:t xml:space="preserve">-</w:t>
      </w:r>
      <w:r>
        <w:rPr>
          <w:i/>
        </w:rPr>
        <w:t xml:space="preserve">C</w:t>
      </w:r>
      <w:r>
        <w:rPr>
          <w:vertAlign w:val="subscript"/>
        </w:rPr>
        <w:t xml:space="preserve">c</w:t>
      </w:r>
      <w:r>
        <w:t xml:space="preserve"> </w:t>
      </w:r>
      <w:r>
        <w:t xml:space="preserve">to leaf temperature for sun leaves and shade leaves at low and high light. Shaded symbols represent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w:t>
      </w:r>
      <w:r>
        <w:t xml:space="preserve"> </w:t>
      </w:r>
      <w:r>
        <w:rPr>
          <w:i/>
        </w:rPr>
        <w:t xml:space="preserve">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943600" cy="7653564"/>
            <wp:effectExtent b="0" l="0" r="0" t="0"/>
            <wp:docPr descr="" id="1" name="Picture"/>
            <a:graphic>
              <a:graphicData uri="http://schemas.openxmlformats.org/drawingml/2006/picture">
                <pic:pic>
                  <pic:nvPicPr>
                    <pic:cNvPr descr="manuscript_gmes_SuppInfo_files/figure-docx/gasex_temp4-1.png" id="0" name="Picture"/>
                    <pic:cNvPicPr>
                      <a:picLocks noChangeArrowheads="1" noChangeAspect="1"/>
                    </pic:cNvPicPr>
                  </pic:nvPicPr>
                  <pic:blipFill>
                    <a:blip r:embed="rId25"/>
                    <a:stretch>
                      <a:fillRect/>
                    </a:stretch>
                  </pic:blipFill>
                  <pic:spPr bwMode="auto">
                    <a:xfrm>
                      <a:off x="0" y="0"/>
                      <a:ext cx="5943600" cy="7653564"/>
                    </a:xfrm>
                    <a:prstGeom prst="rect">
                      <a:avLst/>
                    </a:prstGeom>
                    <a:noFill/>
                    <a:ln w="9525">
                      <a:noFill/>
                      <a:headEnd/>
                      <a:tailEnd/>
                    </a:ln>
                  </pic:spPr>
                </pic:pic>
              </a:graphicData>
            </a:graphic>
          </wp:inline>
        </w:drawing>
      </w:r>
      <w:r>
        <w:br w:type="textWrapping"/>
      </w:r>
      <w:r>
        <w:rPr>
          <w:b/>
        </w:rPr>
        <w:t xml:space="preserve">Figure S4</w:t>
      </w:r>
      <w:r>
        <w:t xml:space="preserve">. Response of VPD (a),</w:t>
      </w:r>
      <w:r>
        <w:t xml:space="preserve"> </w:t>
      </w:r>
      <w:r>
        <w:rPr>
          <w:i/>
        </w:rPr>
        <w:t xml:space="preserve">g</w:t>
      </w:r>
      <w:r>
        <w:rPr>
          <w:vertAlign w:val="subscript"/>
        </w:rPr>
        <w:t xml:space="preserve">s</w:t>
      </w:r>
      <w:r>
        <w:t xml:space="preserve"> </w:t>
      </w:r>
      <w:r>
        <w:t xml:space="preserve">(b) and C</w:t>
      </w:r>
      <w:r>
        <w:rPr>
          <w:vertAlign w:val="subscript"/>
        </w:rPr>
        <w:t xml:space="preserve">a</w:t>
      </w:r>
      <w:r>
        <w:t xml:space="preserve">-</w:t>
      </w:r>
      <w:r>
        <w:rPr>
          <w:i/>
        </w:rP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2"/>
      </w:pPr>
      <w:bookmarkStart w:id="26" w:name="methods-s1"/>
      <w:bookmarkEnd w:id="26"/>
      <w:r>
        <w:t xml:space="preserve">Methods S1</w:t>
      </w:r>
    </w:p>
    <w:p>
      <w:pPr>
        <w:pStyle w:val="Heading3"/>
      </w:pPr>
      <w:bookmarkStart w:id="27" w:name="description-of-the-calculation-of-gm-from-carbon-isotope-discrimination-during-c3-photosynthesis"/>
      <w:bookmarkEnd w:id="27"/>
      <w:r>
        <w:t xml:space="preserve">Description of the calculation of</w:t>
      </w:r>
      <w:r>
        <w:t xml:space="preserve"> </w:t>
      </w:r>
      <w:r>
        <w:rPr>
          <w:i/>
        </w:rPr>
        <w:t xml:space="preserve">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w:t>
      </w:r>
      <w:r>
        <w:t xml:space="preserve"> </w:t>
      </w:r>
      <w:r>
        <w:rPr>
          <w:i/>
        </w:rPr>
        <w:t xml:space="preserve">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the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w:t>
      </w:r>
      <w:r>
        <w:t xml:space="preserve"> </w:t>
      </w:r>
      <w:r>
        <w:rPr>
          <w:i/>
        </w:rPr>
        <w:t xml:space="preserve">C</w:t>
      </w:r>
      <w:r>
        <w:rPr>
          <w:vertAlign w:val="subscript"/>
        </w:rPr>
        <w:t xml:space="preserve">i</w:t>
      </w:r>
      <w:r>
        <w:t xml:space="preserve"> </w:t>
      </w:r>
      <w:r>
        <w:t xml:space="preserve">=</w:t>
      </w:r>
      <w:r>
        <w:t xml:space="preserve"> </w:t>
      </w:r>
      <w:r>
        <w:rPr>
          <w:i/>
        </w:rPr>
        <w:t xml:space="preserve">C</w:t>
      </w:r>
      <w:r>
        <w:rPr>
          <w:vertAlign w:val="subscript"/>
        </w:rPr>
        <w:t xml:space="preserve">c</w:t>
      </w:r>
      <w:r>
        <w:t xml:space="preserve">,</w:t>
      </w:r>
      <w:r>
        <w:t xml:space="preserve"> </w:t>
      </w:r>
      <w:r>
        <w:rPr>
          <w:i/>
        </w:rPr>
        <w:t xml:space="preserve">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w:t>
      </w:r>
      <w:r>
        <w:t xml:space="preserve"> </w:t>
      </w:r>
      <w:r>
        <w:rPr>
          <w:i/>
        </w:rPr>
        <w:t xml:space="preserve">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w:t>
      </w:r>
      <w:r>
        <w:t xml:space="preserve"> </w:t>
      </w:r>
      <w:r>
        <w:rPr>
          <w:i/>
        </w:rPr>
        <w:t xml:space="preserve">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odyText"/>
      </w:pPr>
      <w:r>
        <w:t xml:space="preserve">Here,</w:t>
      </w:r>
      <w:r>
        <w:t xml:space="preserve"> </w:t>
      </w:r>
      <w:r>
        <w:rPr>
          <w:i/>
        </w:rPr>
        <w:t xml:space="preserve">g</w:t>
      </w:r>
      <w:r>
        <w:rPr>
          <w:vertAlign w:val="subscript"/>
        </w:rPr>
        <w:t xml:space="preserve">m</w:t>
      </w:r>
      <w:r>
        <w:t xml:space="preserve"> </w:t>
      </w:r>
      <w:r>
        <w:t xml:space="preserve">is expressed in units of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to be consistent with Evans &amp; von Caemmerer</w:t>
      </w:r>
      <w:r>
        <w:t xml:space="preserve"> </w:t>
      </w:r>
      <w:r>
        <w:t xml:space="preserve">(2013)</w:t>
      </w:r>
      <w:r>
        <w:t xml:space="preserve">. As the pressure term is nearly equal to unity, suitable comparisons between</w:t>
      </w:r>
      <w:r>
        <w:t xml:space="preserve"> </w:t>
      </w:r>
      <w:r>
        <w:rPr>
          <w:i/>
        </w:rPr>
        <w:t xml:space="preserve">g</w:t>
      </w:r>
      <w:r>
        <w:rPr>
          <w:vertAlign w:val="subscript"/>
        </w:rPr>
        <w:t xml:space="preserve">m</w:t>
      </w:r>
      <w:r>
        <w:t xml:space="preserve"> </w:t>
      </w:r>
      <w:r>
        <w:t xml:space="preserve">and</w:t>
      </w:r>
      <w:r>
        <w:t xml:space="preserve"> </w:t>
      </w:r>
      <w:r>
        <w:rPr>
          <w:i/>
        </w:rPr>
        <w:t xml:space="preserve">g</w:t>
      </w:r>
      <w:r>
        <w:rPr>
          <w:vertAlign w:val="subscript"/>
        </w:rPr>
        <w:t xml:space="preserve">s</w:t>
      </w:r>
      <w:r>
        <w:t xml:space="preserve"> </w:t>
      </w:r>
      <w:r>
        <w:t xml:space="preserve">can be made.</w:t>
      </w:r>
    </w:p>
    <w:p>
      <w:pPr>
        <w:pStyle w:val="Heading1"/>
      </w:pPr>
      <w:bookmarkStart w:id="28" w:name="references"/>
      <w:bookmarkEnd w:id="28"/>
      <w:r>
        <w:t xml:space="preserve">References</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8540b1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information</dc:title>
  <dc:creator/>
</cp:coreProperties>
</file>