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3.png" ContentType="image/png"/>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Supporting</w:t>
      </w:r>
      <w:r>
        <w:t xml:space="preserve"> </w:t>
      </w:r>
      <w:r>
        <w:t xml:space="preserve">information</w:t>
      </w:r>
    </w:p>
    <w:p>
      <w:pPr>
        <w:pStyle w:val="FirstParagraph"/>
      </w:pPr>
      <w:r>
        <w:t xml:space="preserve">Article title: Coupled response of stomatal and mesophyll conductance to light enhances photosynthesis of shade leaves under sunflecks.</w:t>
      </w:r>
    </w:p>
    <w:p>
      <w:pPr>
        <w:pStyle w:val="BodyText"/>
      </w:pPr>
      <w:r>
        <w:t xml:space="preserve">Authors: Courtney E. Campany, Mark G. Tjoelker, Susanne von Caemmerer, Remko A. Duursma.</w:t>
      </w:r>
    </w:p>
    <w:p>
      <w:pPr>
        <w:pStyle w:val="Heading2"/>
      </w:pPr>
      <w:bookmarkStart w:id="21" w:name="figures"/>
      <w:bookmarkEnd w:id="21"/>
      <w:r>
        <w:t xml:space="preserve">Figures</w:t>
      </w:r>
    </w:p>
    <w:p>
      <w:pPr>
        <w:pStyle w:val="FirstParagraph"/>
      </w:pPr>
      <w:r>
        <w:drawing>
          <wp:inline>
            <wp:extent cx="5943600" cy="7471954"/>
            <wp:effectExtent b="0" l="0" r="0" t="0"/>
            <wp:docPr descr="" id="1" name="Picture"/>
            <a:graphic>
              <a:graphicData uri="http://schemas.openxmlformats.org/drawingml/2006/picture">
                <pic:pic>
                  <pic:nvPicPr>
                    <pic:cNvPr descr="manuscript_gmes_SuppInfo_files/figure-docx/airvars-1.png" id="0" name="Picture"/>
                    <pic:cNvPicPr>
                      <a:picLocks noChangeArrowheads="1" noChangeAspect="1"/>
                    </pic:cNvPicPr>
                  </pic:nvPicPr>
                  <pic:blipFill>
                    <a:blip r:embed="rId22"/>
                    <a:stretch>
                      <a:fillRect/>
                    </a:stretch>
                  </pic:blipFill>
                  <pic:spPr bwMode="auto">
                    <a:xfrm>
                      <a:off x="0" y="0"/>
                      <a:ext cx="5943600" cy="7471954"/>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95559" cy="5495559"/>
            <wp:effectExtent b="0" l="0" r="0" t="0"/>
            <wp:docPr descr="" id="1" name="Picture"/>
            <a:graphic>
              <a:graphicData uri="http://schemas.openxmlformats.org/drawingml/2006/picture">
                <pic:pic>
                  <pic:nvPicPr>
                    <pic:cNvPr descr="manuscript_gmes_SuppInfo_files/figure-docx/deltacica-1.png" id="0" name="Picture"/>
                    <pic:cNvPicPr>
                      <a:picLocks noChangeArrowheads="1" noChangeAspect="1"/>
                    </pic:cNvPicPr>
                  </pic:nvPicPr>
                  <pic:blipFill>
                    <a:blip r:embed="rId23"/>
                    <a:stretch>
                      <a:fillRect/>
                    </a:stretch>
                  </pic:blipFill>
                  <pic:spPr bwMode="auto">
                    <a:xfrm>
                      <a:off x="0" y="0"/>
                      <a:ext cx="5495559" cy="5495559"/>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w:t>
      </w:r>
      <w:r>
        <w:t xml:space="preserve"> </w:t>
      </w:r>
      <w:r>
        <w:rPr>
          <w:i/>
        </w:rPr>
        <w:t xml:space="preserve">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943600" cy="7641771"/>
            <wp:effectExtent b="0" l="0" r="0" t="0"/>
            <wp:docPr descr="" id="1" name="Picture"/>
            <a:graphic>
              <a:graphicData uri="http://schemas.openxmlformats.org/drawingml/2006/picture">
                <pic:pic>
                  <pic:nvPicPr>
                    <pic:cNvPr descr="manuscript_gmes_SuppInfo_files/figure-docx/gasex_temp3-1.png" id="0" name="Picture"/>
                    <pic:cNvPicPr>
                      <a:picLocks noChangeArrowheads="1" noChangeAspect="1"/>
                    </pic:cNvPicPr>
                  </pic:nvPicPr>
                  <pic:blipFill>
                    <a:blip r:embed="rId24"/>
                    <a:stretch>
                      <a:fillRect/>
                    </a:stretch>
                  </pic:blipFill>
                  <pic:spPr bwMode="auto">
                    <a:xfrm>
                      <a:off x="0" y="0"/>
                      <a:ext cx="5943600" cy="7641771"/>
                    </a:xfrm>
                    <a:prstGeom prst="rect">
                      <a:avLst/>
                    </a:prstGeom>
                    <a:noFill/>
                    <a:ln w="9525">
                      <a:noFill/>
                      <a:headEnd/>
                      <a:tailEnd/>
                    </a:ln>
                  </pic:spPr>
                </pic:pic>
              </a:graphicData>
            </a:graphic>
          </wp:inline>
        </w:drawing>
      </w:r>
      <w:r>
        <w:br w:type="textWrapping"/>
      </w:r>
      <w:r>
        <w:rPr>
          <w:b/>
        </w:rPr>
        <w:t xml:space="preserve">Figure S3</w:t>
      </w:r>
      <w:r>
        <w:t xml:space="preserve">. Response of</w:t>
      </w:r>
      <w:r>
        <w:t xml:space="preserve"> </w:t>
      </w:r>
      <w:r>
        <w:rPr>
          <w:i/>
        </w:rPr>
        <w:t xml:space="preserve">A</w:t>
      </w:r>
      <w:r>
        <w:rPr>
          <w:vertAlign w:val="subscript"/>
        </w:rPr>
        <w:t xml:space="preserve">n</w:t>
      </w:r>
      <w:r>
        <w:t xml:space="preserve"> </w:t>
      </w:r>
      <w:r>
        <w:t xml:space="preserve">(a),</w:t>
      </w:r>
      <w:r>
        <w:t xml:space="preserve"> </w:t>
      </w:r>
      <w:r>
        <w:rPr>
          <w:i/>
        </w:rPr>
        <w:t xml:space="preserve">g</w:t>
      </w:r>
      <w:r>
        <w:rPr>
          <w:vertAlign w:val="subscript"/>
        </w:rPr>
        <w:t xml:space="preserve">m</w:t>
      </w:r>
      <w:r>
        <w:t xml:space="preserve"> </w:t>
      </w:r>
      <w:r>
        <w:t xml:space="preserve">(b) and</w:t>
      </w:r>
      <w:r>
        <w:t xml:space="preserve"> </w:t>
      </w:r>
      <w:r>
        <w:rPr>
          <w:i/>
        </w:rPr>
        <w:t xml:space="preserve">C</w:t>
      </w:r>
      <w:r>
        <w:rPr>
          <w:vertAlign w:val="subscript"/>
        </w:rPr>
        <w:t xml:space="preserve">i</w:t>
      </w:r>
      <w:r>
        <w:t xml:space="preserve">-</w:t>
      </w:r>
      <w:r>
        <w:rPr>
          <w:i/>
        </w:rPr>
        <w:t xml:space="preserve">C</w:t>
      </w:r>
      <w:r>
        <w:rPr>
          <w:vertAlign w:val="subscript"/>
        </w:rPr>
        <w:t xml:space="preserve">c</w:t>
      </w:r>
      <w:r>
        <w:t xml:space="preserve"> </w:t>
      </w:r>
      <w:r>
        <w:t xml:space="preserve">to leaf temperature for sun leaves and shade leaves at low and high light. Shaded symbols represent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w:t>
      </w:r>
      <w:r>
        <w:t xml:space="preserve"> </w:t>
      </w:r>
      <w:r>
        <w:rPr>
          <w:i/>
        </w:rPr>
        <w:t xml:space="preserve">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7641771"/>
            <wp:effectExtent b="0" l="0" r="0" t="0"/>
            <wp:docPr descr="" id="1" name="Picture"/>
            <a:graphic>
              <a:graphicData uri="http://schemas.openxmlformats.org/drawingml/2006/picture">
                <pic:pic>
                  <pic:nvPicPr>
                    <pic:cNvPr descr="manuscript_gmes_SuppInfo_files/figure-docx/gasex_temp4-1.png" id="0" name="Picture"/>
                    <pic:cNvPicPr>
                      <a:picLocks noChangeArrowheads="1" noChangeAspect="1"/>
                    </pic:cNvPicPr>
                  </pic:nvPicPr>
                  <pic:blipFill>
                    <a:blip r:embed="rId25"/>
                    <a:stretch>
                      <a:fillRect/>
                    </a:stretch>
                  </pic:blipFill>
                  <pic:spPr bwMode="auto">
                    <a:xfrm>
                      <a:off x="0" y="0"/>
                      <a:ext cx="5943600" cy="7641771"/>
                    </a:xfrm>
                    <a:prstGeom prst="rect">
                      <a:avLst/>
                    </a:prstGeom>
                    <a:noFill/>
                    <a:ln w="9525">
                      <a:noFill/>
                      <a:headEnd/>
                      <a:tailEnd/>
                    </a:ln>
                  </pic:spPr>
                </pic:pic>
              </a:graphicData>
            </a:graphic>
          </wp:inline>
        </w:drawing>
      </w:r>
      <w:r>
        <w:br w:type="textWrapping"/>
      </w:r>
      <w:r>
        <w:rPr>
          <w:b/>
        </w:rPr>
        <w:t xml:space="preserve">Figure S4</w:t>
      </w:r>
      <w:r>
        <w:t xml:space="preserve">. Response of VPD (a),</w:t>
      </w:r>
      <w:r>
        <w:t xml:space="preserve"> </w:t>
      </w:r>
      <w:r>
        <w:rPr>
          <w:i/>
        </w:rPr>
        <w:t xml:space="preserve">g</w:t>
      </w:r>
      <w:r>
        <w:rPr>
          <w:vertAlign w:val="subscript"/>
        </w:rPr>
        <w:t xml:space="preserve">s</w:t>
      </w:r>
      <w:r>
        <w:t xml:space="preserve"> </w:t>
      </w:r>
      <w:r>
        <w:t xml:space="preserve">(b) and C</w:t>
      </w:r>
      <w:r>
        <w:rPr>
          <w:vertAlign w:val="subscript"/>
        </w:rPr>
        <w:t xml:space="preserve">a</w:t>
      </w:r>
      <w:r>
        <w:t xml:space="preserve">-</w:t>
      </w:r>
      <w:r>
        <w:rPr>
          <w:i/>
        </w:rP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26" w:name="methods-s1"/>
      <w:bookmarkEnd w:id="26"/>
      <w:r>
        <w:t xml:space="preserve">Methods S1</w:t>
      </w:r>
    </w:p>
    <w:p>
      <w:pPr>
        <w:pStyle w:val="Heading3"/>
      </w:pPr>
      <w:bookmarkStart w:id="27" w:name="description-of-the-calculation-of-gm-from-carbon-isotope-discrimination-during-c3-photosynthesis"/>
      <w:bookmarkEnd w:id="27"/>
      <w:r>
        <w:t xml:space="preserve">Description of the calculation of</w:t>
      </w:r>
      <w:r>
        <w:t xml:space="preserve"> </w:t>
      </w:r>
      <w:r>
        <w:rPr>
          <w:i/>
        </w:rPr>
        <w:t xml:space="preserve">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w:t>
      </w:r>
      <w:r>
        <w:t xml:space="preserve"> </w:t>
      </w:r>
      <w:r>
        <w:rPr>
          <w:i/>
        </w:rPr>
        <w:t xml:space="preserve">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r>
        <w:t xml:space="preserve"> </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r>
        <w:t xml:space="preserve"> </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r>
        <w:t xml:space="preserve"> </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the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r>
        <w:t xml:space="preserve"> </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w:t>
      </w:r>
      <w:r>
        <w:t xml:space="preserve"> </w:t>
      </w:r>
      <w:r>
        <w:rPr>
          <w:i/>
        </w:rPr>
        <w:t xml:space="preserve">C</w:t>
      </w:r>
      <w:r>
        <w:rPr>
          <w:vertAlign w:val="subscript"/>
        </w:rPr>
        <w:t xml:space="preserve">i</w:t>
      </w:r>
      <w:r>
        <w:t xml:space="preserve"> </w:t>
      </w:r>
      <w:r>
        <w:t xml:space="preserve">=</w:t>
      </w:r>
      <w:r>
        <w:t xml:space="preserve"> </w:t>
      </w:r>
      <w:r>
        <w:rPr>
          <w:i/>
        </w:rPr>
        <w:t xml:space="preserve">C</w:t>
      </w:r>
      <w:r>
        <w:rPr>
          <w:vertAlign w:val="subscript"/>
        </w:rPr>
        <w:t xml:space="preserve">c</w:t>
      </w:r>
      <w:r>
        <w:t xml:space="preserve">,</w:t>
      </w:r>
      <w:r>
        <w:t xml:space="preserve"> </w:t>
      </w:r>
      <w:r>
        <w:rPr>
          <w:i/>
        </w:rPr>
        <w:t xml:space="preserve">g</w:t>
      </w:r>
      <w:r>
        <w:rPr>
          <w:vertAlign w:val="subscript"/>
        </w:rPr>
        <w:t xml:space="preserve">m</w:t>
      </w:r>
      <w:r>
        <w:t xml:space="preserve">, respiration and photorespiration, respectively. The equations for each are as follows:</w:t>
      </w:r>
    </w:p>
    <w:p>
      <w:pPr>
        <w:pStyle w:val="BodyText"/>
      </w:pPr>
      <w:r>
        <w:br w:type="textWrapping"/>
      </w:r>
      <w:r>
        <w:t xml:space="preserve">(5)</w:t>
      </w:r>
      <w:r>
        <w:t xml:space="preserve"> </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r>
        <w:t xml:space="preserve"> </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r>
        <w:t xml:space="preserve"> </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r>
        <w:t xml:space="preserve"> </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r>
        <w:t xml:space="preserve"> </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w:t>
      </w:r>
      <w:r>
        <w:t xml:space="preserve"> </w:t>
      </w:r>
      <w:r>
        <w:rPr>
          <w:i/>
        </w:rPr>
        <w:t xml:space="preserve">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r>
        <w:t xml:space="preserve"> </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w:t>
      </w:r>
      <w:r>
        <w:t xml:space="preserve"> </w:t>
      </w:r>
      <w:r>
        <w:rPr>
          <w:i/>
        </w:rPr>
        <w:t xml:space="preserve">g</w:t>
      </w:r>
      <w:r>
        <w:rPr>
          <w:vertAlign w:val="subscript"/>
        </w:rPr>
        <w:t xml:space="preserve">m</w:t>
      </w:r>
      <w:r>
        <w:t xml:space="preserve"> </w:t>
      </w:r>
      <w:r>
        <w:t xml:space="preserve">can then be calculated as:</w:t>
      </w:r>
    </w:p>
    <w:p>
      <w:pPr>
        <w:pStyle w:val="BodyText"/>
      </w:pPr>
      <w:r>
        <w:br w:type="textWrapping"/>
      </w:r>
      <w:r>
        <w:t xml:space="preserve">(11)</w:t>
      </w:r>
      <w:r>
        <w:t xml:space="preserve"> </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w:t>
      </w:r>
      <w:r>
        <w:t xml:space="preserve"> </w:t>
      </w:r>
      <w:r>
        <w:rPr>
          <w:i/>
        </w:rPr>
        <w:t xml:space="preserve">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w:t>
      </w:r>
      <w:r>
        <w:t xml:space="preserve"> </w:t>
      </w:r>
      <w:r>
        <w:rPr>
          <w:i/>
        </w:rPr>
        <w:t xml:space="preserve">g</w:t>
      </w:r>
      <w:r>
        <w:rPr>
          <w:vertAlign w:val="subscript"/>
        </w:rPr>
        <w:t xml:space="preserve">m</w:t>
      </w:r>
      <w:r>
        <w:t xml:space="preserve"> </w:t>
      </w:r>
      <w:r>
        <w:t xml:space="preserve">and</w:t>
      </w:r>
      <w:r>
        <w:t xml:space="preserve"> </w:t>
      </w:r>
      <w:r>
        <w:rPr>
          <w:i/>
        </w:rPr>
        <w:t xml:space="preserve">g</w:t>
      </w:r>
      <w:r>
        <w:rPr>
          <w:vertAlign w:val="subscript"/>
        </w:rPr>
        <w:t xml:space="preserve">s</w:t>
      </w:r>
      <w:r>
        <w:t xml:space="preserve"> </w:t>
      </w:r>
      <w:r>
        <w:t xml:space="preserve">can be made.</w:t>
      </w:r>
    </w:p>
    <w:p>
      <w:pPr>
        <w:pStyle w:val="Heading1"/>
      </w:pPr>
      <w:bookmarkStart w:id="28" w:name="references"/>
      <w:bookmarkEnd w:id="28"/>
      <w:r>
        <w:t xml:space="preserve">References</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648228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dc:title>
  <dc:creator/>
</cp:coreProperties>
</file>