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gm</w:t>
      </w:r>
      <w:r>
        <w:t xml:space="preserve"> </w:t>
      </w:r>
      <w:r>
        <w:t xml:space="preserve">methods_revised</w:t>
      </w:r>
    </w:p>
    <w:p>
      <w:pPr>
        <w:pStyle w:val="Author"/>
      </w:pPr>
      <w:r>
        <w:t xml:space="preserve"/>
      </w:r>
    </w:p>
    <w:p>
      <w:pPr>
        <w:pStyle w:val="Date"/>
      </w:pPr>
      <w:r>
        <w:t xml:space="preserve"/>
      </w:r>
    </w:p>
    <w:p>
      <w:r>
        <w:t xml:space="preserve">Synchronized gas exchange and C isotope discrimination measurements were made similarly as described in Tazoe et al.</w:t>
      </w:r>
      <w:r>
        <w:t xml:space="preserve"> </w:t>
      </w:r>
      <w:r>
        <w:t xml:space="preserve">(2011)</w:t>
      </w:r>
      <w:r>
        <w:t xml:space="preserve"> </w:t>
      </w:r>
      <w:r>
        <w:t xml:space="preserve">and Evans &amp; von Caemmerer</w:t>
      </w:r>
      <w:r>
        <w:t xml:space="preserve"> </w:t>
      </w:r>
      <w:r>
        <w:t xml:space="preserve">(2013)</w:t>
      </w:r>
      <w:r>
        <w:t xml:space="preserve">. Leaf level gas exchange was measured with a standard (2 x 3 cm) leaf cuvette using a portable gas exchange system (LI-6400XT, LI-COR, Lincoln, NE, USA). This system was coupled with a tunable diode laser (TDL; TGA100,Campbell Scientific, Inc., Logan, UT, USA) for concurrent measurements of online C isotope discrimination. The CO</w:t>
      </w:r>
      <w:r>
        <w:rPr>
          <w:vertAlign w:val="subscript"/>
        </w:rPr>
        <w:t xml:space="preserve">2</w:t>
      </w:r>
      <w:r>
        <w:t xml:space="preserve"> </w:t>
      </w:r>
      <w:r>
        <w:t xml:space="preserve">in the leaf cuvette was set at ambient atmospheric [CO</w:t>
      </w:r>
      <w:r>
        <w:rPr>
          <w:vertAlign w:val="subscript"/>
        </w:rPr>
        <w:t xml:space="preserve">2</w:t>
      </w:r>
      <w:r>
        <w:t xml:space="preserve">] (400 ppm) with a flow rate of 200</w:t>
      </w:r>
      <w:r>
        <w:t xml:space="preserve"> </w:t>
      </w:r>
      <m:oMath>
        <m:r>
          <m:rPr>
            <m:sty m:val="p"/>
          </m:rPr>
          <m:t>μ</m:t>
        </m:r>
      </m:oMath>
      <w:r>
        <w:t xml:space="preserve">mol s</w:t>
      </w:r>
      <w:r>
        <w:rPr>
          <w:vertAlign w:val="superscript"/>
        </w:rPr>
        <w:t xml:space="preserve">-1</w:t>
      </w:r>
      <w:r>
        <w:t xml:space="preserve">. Two identical gas exchanges systems were run simultaneously, one in each of a randomly chosen WTC for each temperature treatment. Leaf temperatures were controlled at the current AT or ET WTC air temperature. PPFD in the cuvette was set to match the individual light environment of each leaf type (explained above). Periods of high irradiance were simulated for shade leaves by increasing the leaf cuvette PPFD (LI-COR red/blue light source) to match the light environment of the full sun leaf in the same tree. The maximum sunfleck response of shade leaves was then recorded once CO</w:t>
      </w:r>
      <w:r>
        <w:rPr>
          <w:vertAlign w:val="subscript"/>
        </w:rPr>
        <w:t xml:space="preserve">2</w:t>
      </w:r>
      <w:r>
        <w:t xml:space="preserve"> </w:t>
      </w:r>
      <w:r>
        <w:t xml:space="preserve">and water vapour fluxes re-stabilized in the leaf cuvette (ca. 25 min).</w:t>
      </w:r>
    </w:p>
    <w:p>
      <w:r>
        <w:br w:type="textWrapping"/>
      </w:r>
      <w:r>
        <w:t xml:space="preserve">Once CO</w:t>
      </w:r>
      <w:r>
        <w:rPr>
          <w:vertAlign w:val="subscript"/>
        </w:rPr>
        <w:t xml:space="preserve">2</w:t>
      </w:r>
      <w:r>
        <w:t xml:space="preserve"> </w:t>
      </w:r>
      <w:r>
        <w:t xml:space="preserve">and water vapour flux values were stable for each leaf measurement, the sample and reference gas lines were diverted to the TDL via T-junctions inserted into the reference gas tube and match valve outlet of the LI-6400XT. The gas streams were dried by passing through napion gas dryers in the respective gas lines, and then</w:t>
      </w:r>
      <w:r>
        <w:t xml:space="preserve"> </w:t>
      </w:r>
      <w:r>
        <w:rPr>
          <w:vertAlign w:val="superscript"/>
        </w:rPr>
        <w:t xml:space="preserve">12</w:t>
      </w:r>
      <w:r>
        <w:t xml:space="preserve">CO</w:t>
      </w:r>
      <w:r>
        <w:rPr>
          <w:vertAlign w:val="subscript"/>
        </w:rPr>
        <w:t xml:space="preserve">2</w:t>
      </w:r>
      <w:r>
        <w:t xml:space="preserve"> </w:t>
      </w:r>
      <w:r>
        <w:t xml:space="preserve">and</w:t>
      </w:r>
      <w:r>
        <w:t xml:space="preserve"> </w:t>
      </w:r>
      <w:r>
        <w:rPr>
          <w:vertAlign w:val="superscript"/>
        </w:rPr>
        <w:t xml:space="preserve">13</w:t>
      </w:r>
      <w:r>
        <w:t xml:space="preserve">CO</w:t>
      </w:r>
      <w:r>
        <w:rPr>
          <w:vertAlign w:val="subscript"/>
        </w:rPr>
        <w:t xml:space="preserve">2</w:t>
      </w:r>
      <w:r>
        <w:t xml:space="preserve"> </w:t>
      </w:r>
      <w:r>
        <w:t xml:space="preserve">concentrations were measured for each gas stream by the TDL. Reference, sample and two calibration gases were run on alternating 80 s loops (20 s each), one for each AT and ET leaf at a matched canopy position, for a total of 12 min. This allowed for 4-5 measurements per leaf and data were averaged over the last 10 s of reference line and samples line gas streams for calculations. The two calibration gases were drawn from compressed air tanks (330 and 740 ppm CO</w:t>
      </w:r>
      <w:r>
        <w:rPr>
          <w:vertAlign w:val="subscript"/>
        </w:rPr>
        <w:t xml:space="preserve">2</w:t>
      </w:r>
      <w:r>
        <w:t xml:space="preserve">) in order to correct for gain drift of the TDL on each measurement cycle. Photosynthesis, g</w:t>
      </w:r>
      <w:r>
        <w:rPr>
          <w:vertAlign w:val="subscript"/>
        </w:rPr>
        <w:t xml:space="preserve">s</w:t>
      </w:r>
      <w:r>
        <w:t xml:space="preserve">, transpiration, VPD and intercellular [CO</w:t>
      </w:r>
      <w:r>
        <w:rPr>
          <w:vertAlign w:val="subscript"/>
        </w:rPr>
        <w:t xml:space="preserve">2</w:t>
      </w:r>
      <w:r>
        <w:t xml:space="preserve">] (C</w:t>
      </w:r>
      <w:r>
        <w:rPr>
          <w:vertAlign w:val="subscript"/>
        </w:rPr>
        <w:t xml:space="preserve">i</w:t>
      </w:r>
      <w:r>
        <w:t xml:space="preserve">) were auto-logged every 15 s for each gas exchange system over the 12 min interval.</w:t>
      </w:r>
    </w:p>
    <w:p>
      <w:r>
        <w:br w:type="textWrapping"/>
      </w:r>
      <w:r>
        <w:t xml:space="preserve">Mesophyll conductance was calculated from carbon isotope discrimination with equations and fractionation factors as presented in Evans &amp; von Caemmerer (2013), including the ternary corrections proposed by Farquhar &amp; Cernusak (2012), such that:</w:t>
      </w:r>
    </w:p>
    <w:p>
      <w:r>
        <w:br w:type="textWrapping"/>
      </w:r>
      <w:r>
        <w:t xml:space="preserve">(1)</w:t>
      </w:r>
    </w:p>
    <w:p>
      <m:oMathPara>
        <m:oMathParaPr>
          <m:jc m:val="center"/>
        </m:oMathParaPr>
        <m:oMath>
          <m:nary>
            <m:naryPr>
              <m:chr m:val="Δ"/>
              <m:limLoc m:val="subSup"/>
              <m:supHide m:val="off"/>
              <m:supHide m:val="off"/>
            </m:naryPr>
            <m:e>
              <m:r>
                <m:rPr>
                  <m:sty m:val="p"/>
                </m:rPr>
                <m:t>=</m:t>
              </m:r>
            </m:e>
            <m:sub>
              <m:r>
                <m:rPr>
                  <m:sty m:val="p"/>
                </m:rPr>
                <m:t>o</m:t>
              </m:r>
            </m:sub>
            <m:sup/>
          </m:nary>
          <m:nary>
            <m:naryPr>
              <m:chr m:val="Δ"/>
              <m:limLoc m:val="subSup"/>
              <m:supHide m:val="off"/>
              <m:supHide m:val="off"/>
            </m:naryPr>
            <m:e>
              <m:r>
                <m:rPr>
                  <m:sty m:val="p"/>
                </m:rPr>
                <m:t>−</m:t>
              </m:r>
            </m:e>
            <m:sub>
              <m:r>
                <m:rPr>
                  <m:sty m:val="p"/>
                </m:rPr>
                <m:t>i</m:t>
              </m:r>
            </m:sub>
            <m:sup/>
          </m:nary>
          <m:nary>
            <m:naryPr>
              <m:chr m:val="Δ"/>
              <m:limLoc m:val="subSup"/>
              <m:supHide m:val="off"/>
              <m:supHide m:val="off"/>
            </m:naryPr>
            <m:e>
              <m:r>
                <m:rPr>
                  <m:sty m:val="p"/>
                </m:rPr>
                <m:t>−</m:t>
              </m:r>
            </m:e>
            <m:sub>
              <m:r>
                <m:rPr>
                  <m:sty m:val="p"/>
                </m:rPr>
                <m:t>g</m:t>
              </m:r>
              <m:r>
                <m:rPr>
                  <m:sty m:val="p"/>
                </m:rPr>
                <m:t>m</m:t>
              </m:r>
            </m:sub>
            <m:sup/>
          </m:nary>
          <m:nary>
            <m:naryPr>
              <m:chr m:val="Δ"/>
              <m:limLoc m:val="subSup"/>
              <m:supHide m:val="off"/>
              <m:supHide m:val="off"/>
            </m:naryPr>
            <m:e>
              <m:r>
                <m:rPr>
                  <m:sty m:val="p"/>
                </m:rPr>
                <m:t>−</m:t>
              </m:r>
            </m:e>
            <m:sub>
              <m:r>
                <m:rPr>
                  <m:sty m:val="p"/>
                </m:rPr>
                <m:t>e</m:t>
              </m:r>
            </m:sub>
            <m:sup/>
          </m:nary>
          <m:nary>
            <m:naryPr>
              <m:chr m:val="Δ"/>
              <m:limLoc m:val="subSup"/>
              <m:supHide m:val="off"/>
              <m:supHide m:val="off"/>
            </m:naryPr>
            <m:e/>
            <m:sub>
              <m:r>
                <m:rPr>
                  <m:sty m:val="p"/>
                </m:rPr>
                <m:t>f</m:t>
              </m:r>
            </m:sub>
            <m:sup/>
          </m:nary>
        </m:oMath>
      </m:oMathPara>
    </w:p>
    <w:p>
      <w:r>
        <w:t xml:space="preserve">where</w:t>
      </w:r>
      <w:r>
        <w:t xml:space="preserve"> </w:t>
      </w:r>
      <m:oMath>
        <m:r>
          <m:rPr>
            <m:sty m:val="p"/>
          </m:rPr>
          <m:t>Δ</m:t>
        </m:r>
      </m:oMath>
      <w:r>
        <w:rPr>
          <w:vertAlign w:val="subscript"/>
        </w:rPr>
        <w:t xml:space="preserve">o</w:t>
      </w:r>
      <w:r>
        <w:t xml:space="preserve"> </w:t>
      </w:r>
      <w:r>
        <w:t xml:space="preserve">is the observed discrimination and</w:t>
      </w:r>
      <w:r>
        <w:t xml:space="preserve"> </w:t>
      </w:r>
      <m:oMath>
        <m:r>
          <m:rPr>
            <m:sty m:val="p"/>
          </m:rPr>
          <m:t>Δ</m:t>
        </m:r>
      </m:oMath>
      <w:r>
        <w:rPr>
          <w:vertAlign w:val="subscript"/>
        </w:rPr>
        <w:t xml:space="preserve">i</w:t>
      </w:r>
      <w:r>
        <w:t xml:space="preserve">,</w:t>
      </w:r>
      <w:r>
        <w:t xml:space="preserve"> </w:t>
      </w:r>
      <m:oMath>
        <m:r>
          <m:rPr>
            <m:sty m:val="p"/>
          </m:rPr>
          <m:t>Δ</m:t>
        </m:r>
      </m:oMath>
      <w:r>
        <w:rPr>
          <w:vertAlign w:val="subscript"/>
        </w:rPr>
        <w:t xml:space="preserve">gm</w:t>
      </w:r>
      <w:r>
        <w:t xml:space="preserve"> </w:t>
      </w:r>
      <w:r>
        <w:t xml:space="preserve">,</w:t>
      </w:r>
      <w:r>
        <w:t xml:space="preserve"> </w:t>
      </w:r>
      <m:oMath>
        <m:r>
          <m:rPr>
            <m:sty m:val="p"/>
          </m:rPr>
          <m:t>Δ</m:t>
        </m:r>
      </m:oMath>
      <w:r>
        <w:rPr>
          <w:vertAlign w:val="subscript"/>
        </w:rPr>
        <w:t xml:space="preserve">e</w:t>
      </w:r>
      <w:r>
        <w:t xml:space="preserve"> </w:t>
      </w:r>
      <w:r>
        <w:t xml:space="preserve">and</w:t>
      </w:r>
      <w:r>
        <w:t xml:space="preserve"> </w:t>
      </w:r>
      <m:oMath>
        <m:r>
          <m:rPr>
            <m:sty m:val="p"/>
          </m:rPr>
          <m:t>Δ</m:t>
        </m:r>
      </m:oMath>
      <w:r>
        <w:rPr>
          <w:vertAlign w:val="subscript"/>
        </w:rPr>
        <w:t xml:space="preserve">f</w:t>
      </w:r>
      <w:r>
        <w:t xml:space="preserve"> </w:t>
      </w:r>
      <w:r>
        <w:t xml:space="preserve">are the contributions to fractionation if C</w:t>
      </w:r>
      <w:r>
        <w:rPr>
          <w:vertAlign w:val="subscript"/>
        </w:rPr>
        <w:t xml:space="preserve">i</w:t>
      </w:r>
      <w:r>
        <w:t xml:space="preserve"> </w:t>
      </w:r>
      <w:r>
        <w:t xml:space="preserve">= C</w:t>
      </w:r>
      <w:r>
        <w:rPr>
          <w:vertAlign w:val="subscript"/>
        </w:rPr>
        <w:t xml:space="preserve">c</w:t>
      </w:r>
      <w:r>
        <w:t xml:space="preserve">, g</w:t>
      </w:r>
      <w:r>
        <w:rPr>
          <w:vertAlign w:val="subscript"/>
        </w:rPr>
        <w:t xml:space="preserve">m</w:t>
      </w:r>
      <w:r>
        <w:t xml:space="preserve">, respiration and photorespiration, respectively. For this study, the CO</w:t>
      </w:r>
      <w:r>
        <w:rPr>
          <w:vertAlign w:val="subscript"/>
        </w:rPr>
        <w:t xml:space="preserve">2</w:t>
      </w:r>
      <w:r>
        <w:t xml:space="preserve"> </w:t>
      </w:r>
      <w:r>
        <w:t xml:space="preserve">compensation point (</w:t>
      </w:r>
      <m:oMath>
        <m:nary>
          <m:naryPr>
            <m:chr m:val="Γ"/>
            <m:limLoc m:val="subSup"/>
            <m:supHide m:val="off"/>
            <m:supHide m:val="off"/>
          </m:naryPr>
          <m:e/>
          <m:sub>
            <m:r>
              <m:rPr>
                <m:sty m:val="p"/>
              </m:rPr>
              <m:t>*</m:t>
            </m:r>
          </m:sub>
          <m:sup/>
        </m:nary>
      </m:oMath>
      <w:r>
        <w:t xml:space="preserve">) and respiration during the day (R</w:t>
      </w:r>
      <w:r>
        <w:rPr>
          <w:vertAlign w:val="subscript"/>
        </w:rPr>
        <w:t xml:space="preserve">d</w:t>
      </w:r>
      <w:r>
        <w:t xml:space="preserve">) parameters originally derived for tobacco plants</w:t>
      </w:r>
      <w:r>
        <w:t xml:space="preserve"> </w:t>
      </w:r>
      <w:r>
        <w:t xml:space="preserve">(Caemmerer</w:t>
      </w:r>
      <w:r>
        <w:t xml:space="preserve"> </w:t>
      </w:r>
      <w:r>
        <w:rPr>
          <w:i/>
        </w:rPr>
        <w:t xml:space="preserve">et al.</w:t>
      </w:r>
      <w:r>
        <w:t xml:space="preserve">, 1994)</w:t>
      </w:r>
      <w:r>
        <w:t xml:space="preserve"> </w:t>
      </w:r>
      <w:r>
        <w:t xml:space="preserve">were replaced with parameters derived for</w:t>
      </w:r>
      <w:r>
        <w:t xml:space="preserve"> </w:t>
      </w:r>
      <w:r>
        <w:rPr>
          <w:i/>
        </w:rPr>
        <w:t xml:space="preserve">Eucalyptus globulus</w:t>
      </w:r>
      <w:r>
        <w:t xml:space="preserve"> </w:t>
      </w:r>
      <w:r>
        <w:t xml:space="preserve">from Crous et al.</w:t>
      </w:r>
      <w:r>
        <w:t xml:space="preserve"> </w:t>
      </w:r>
      <w:r>
        <w:t xml:space="preserve">(2012)</w:t>
      </w:r>
      <w:r>
        <w:t xml:space="preserve"> </w:t>
      </w:r>
      <w:r>
        <w:t xml:space="preserve">when calculating g</w:t>
      </w:r>
      <w:r>
        <w:rPr>
          <w:vertAlign w:val="subscript"/>
        </w:rPr>
        <w:t xml:space="preserve">m</w:t>
      </w:r>
      <w:r>
        <w:t xml:space="preserve">. The variation in</w:t>
      </w:r>
      <w:r>
        <w:t xml:space="preserve"> </w:t>
      </w:r>
      <m:oMath>
        <m:r>
          <m:rPr>
            <m:sty m:val="p"/>
          </m:rPr>
          <m:t>Δ</m:t>
        </m:r>
      </m:oMath>
      <w:r>
        <w:rPr>
          <w:vertAlign w:val="subscript"/>
        </w:rPr>
        <w:t xml:space="preserve">o</w:t>
      </w:r>
      <w:r>
        <w:t xml:space="preserve"> </w:t>
      </w:r>
      <w:r>
        <w:t xml:space="preserve">between sun and shade leaves and the simulated sunfleck where compared as a function of C</w:t>
      </w:r>
      <w:r>
        <w:rPr>
          <w:vertAlign w:val="subscript"/>
        </w:rPr>
        <w:t xml:space="preserve">i</w:t>
      </w:r>
      <w:r>
        <w:t xml:space="preserve">:C</w:t>
      </w:r>
      <w:r>
        <w:rPr>
          <w:vertAlign w:val="subscript"/>
        </w:rPr>
        <w:t xml:space="preserve">a</w:t>
      </w:r>
      <w:r>
        <w:t xml:space="preserve">. Once g</w:t>
      </w:r>
      <w:r>
        <w:rPr>
          <w:vertAlign w:val="subscript"/>
        </w:rPr>
        <w:t xml:space="preserve">m</w:t>
      </w:r>
      <w:r>
        <w:t xml:space="preserve"> </w:t>
      </w:r>
      <w:r>
        <w:t xml:space="preserve">was caluclated the chloroplast CO</w:t>
      </w:r>
      <w:r>
        <w:rPr>
          <w:vertAlign w:val="subscript"/>
        </w:rPr>
        <w:t xml:space="preserve">2</w:t>
      </w:r>
      <w:r>
        <w:t xml:space="preserve"> </w:t>
      </w:r>
      <w:r>
        <w:t xml:space="preserve">partial pressure (C</w:t>
      </w:r>
      <w:r>
        <w:rPr>
          <w:vertAlign w:val="subscript"/>
        </w:rPr>
        <w:t xml:space="preserve">c</w:t>
      </w:r>
      <w:r>
        <w:t xml:space="preserve">) and the drawdown of CO</w:t>
      </w:r>
      <w:r>
        <w:rPr>
          <w:vertAlign w:val="subscript"/>
        </w:rPr>
        <w:t xml:space="preserve">2</w:t>
      </w:r>
      <w:r>
        <w:t xml:space="preserve"> </w:t>
      </w:r>
      <w:r>
        <w:t xml:space="preserve">from the intercellular air spaces to the site of carboxylation were able to be estimated from the relationship between g</w:t>
      </w:r>
      <w:r>
        <w:rPr>
          <w:vertAlign w:val="subscript"/>
        </w:rPr>
        <w:t xml:space="preserve">m</w:t>
      </w:r>
      <w:r>
        <w:t xml:space="preserve"> </w:t>
      </w:r>
      <w:r>
        <w:t xml:space="preserve">to the leaf photosynthesis rate (</w:t>
      </w:r>
      <w:r>
        <w:rPr>
          <w:i/>
        </w:rPr>
        <w:t xml:space="preserve">A</w:t>
      </w:r>
      <w:r>
        <w:rPr>
          <w:vertAlign w:val="subscript"/>
          <w:i/>
        </w:rPr>
        <w:t xml:space="preserve">n</w:t>
      </w:r>
      <w:r>
        <w:t xml:space="preserve">) by:</w:t>
      </w:r>
    </w:p>
    <w:p>
      <w:r>
        <w:br w:type="textWrapping"/>
      </w:r>
      <w:r>
        <w:t xml:space="preserve">(2)</w:t>
      </w:r>
    </w:p>
    <w:p>
      <m:oMathPara>
        <m:oMathParaPr>
          <m:jc m:val="center"/>
        </m:oMathParaPr>
        <m:oMath>
          <m:sSub>
            <m:e>
              <m:r>
                <m:rPr>
                  <m:sty m:val="p"/>
                </m:rPr>
                <m:t>g</m:t>
              </m:r>
            </m:e>
            <m:sub>
              <m:r>
                <m:rPr>
                  <m:sty m:val="p"/>
                </m:rPr>
                <m:t>m</m:t>
              </m:r>
            </m:sub>
          </m:sSub>
          <m:r>
            <m:rPr>
              <m:sty m:val="p"/>
            </m:rPr>
            <m:t>=</m:t>
          </m:r>
          <m:f>
            <m:fPr>
              <m:type m:val="bar"/>
            </m:fPr>
            <m:num>
              <m:r>
                <m:rPr>
                  <m:sty m:val="p"/>
                </m:rPr>
                <m:t>*</m:t>
              </m:r>
              <m:r>
                <m:rPr>
                  <m:sty m:val="p"/>
                </m:rPr>
                <m:t>A</m:t>
              </m:r>
              <m:r>
                <m:rPr>
                  <m:sty m:val="p"/>
                </m:rPr>
                <m:t> </m:t>
              </m:r>
              <m:r>
                <m:rPr>
                  <m:sty m:val="p"/>
                </m:rPr>
                <m:t>n</m:t>
              </m:r>
              <m:r>
                <m:rPr>
                  <m:sty m:val="p"/>
                </m:rPr>
                <m:t> </m:t>
              </m:r>
              <m:r>
                <m:rPr>
                  <m:sty m:val="p"/>
                </m:rPr>
                <m:t>*</m:t>
              </m:r>
            </m:num>
            <m:den>
              <m:sSub>
                <m:e>
                  <m:r>
                    <m:rPr>
                      <m:sty m:val="p"/>
                    </m:rPr>
                    <m:t>C</m:t>
                  </m:r>
                </m:e>
                <m:sub>
                  <m:r>
                    <m:rPr>
                      <m:sty m:val="p"/>
                    </m:rPr>
                    <m:t>i</m:t>
                  </m:r>
                </m:sub>
              </m:sSub>
              <m:r>
                <m:rPr>
                  <m:sty m:val="p"/>
                </m:rPr>
                <m:t>−</m:t>
              </m:r>
              <m:sSub>
                <m:e>
                  <m:r>
                    <m:rPr>
                      <m:sty m:val="p"/>
                    </m:rPr>
                    <m:t>C</m:t>
                  </m:r>
                </m:e>
                <m:sub>
                  <m:r>
                    <m:rPr>
                      <m:sty m:val="p"/>
                    </m:rPr>
                    <m:t>c</m:t>
                  </m:r>
                </m:sub>
              </m:sSub>
            </m:den>
          </m:f>
        </m:oMath>
      </m:oMathPara>
    </w:p>
    <w:p>
      <w:pPr>
        <w:pStyle w:val="Bibliography"/>
      </w:pPr>
      <w:r>
        <w:rPr>
          <w:b w:val="0"/>
          <w:b/>
        </w:rPr>
        <w:t xml:space="preserve">Caemmerer S von</w:t>
      </w:r>
      <w:r>
        <w:rPr>
          <w:b/>
        </w:rPr>
        <w:t xml:space="preserve">,</w:t>
      </w:r>
      <w:r>
        <w:rPr>
          <w:b/>
        </w:rPr>
        <w:t xml:space="preserve"> </w:t>
      </w:r>
      <w:r>
        <w:rPr>
          <w:b w:val="0"/>
          <w:b/>
        </w:rPr>
        <w:t xml:space="preserve">Evans JR</w:t>
      </w:r>
      <w:r>
        <w:rPr>
          <w:b/>
        </w:rPr>
        <w:t xml:space="preserve">,</w:t>
      </w:r>
      <w:r>
        <w:rPr>
          <w:b/>
        </w:rPr>
        <w:t xml:space="preserve"> </w:t>
      </w:r>
      <w:r>
        <w:rPr>
          <w:b w:val="0"/>
          <w:b/>
        </w:rPr>
        <w:t xml:space="preserve">Hudson GS</w:t>
      </w:r>
      <w:r>
        <w:rPr>
          <w:b/>
        </w:rPr>
        <w:t xml:space="preserve">,</w:t>
      </w:r>
      <w:r>
        <w:rPr>
          <w:b/>
        </w:rPr>
        <w:t xml:space="preserve"> </w:t>
      </w:r>
      <w:r>
        <w:rPr>
          <w:b w:val="0"/>
          <w:b/>
        </w:rPr>
        <w:t xml:space="preserve">Andrews TJ</w:t>
      </w:r>
      <w:r>
        <w:t xml:space="preserve">.</w:t>
      </w:r>
      <w:r>
        <w:t xml:space="preserve"> </w:t>
      </w:r>
      <w:r>
        <w:rPr>
          <w:b/>
        </w:rPr>
        <w:t xml:space="preserve">1994</w:t>
      </w:r>
      <w:r>
        <w:t xml:space="preserve">. The kinetics of ribulose-1, 5-bisphosphate carboxylase/oxygenase in vivo inferred from measurements of photosynthesis in leaves of transgenic tobacco.</w:t>
      </w:r>
      <w:r>
        <w:t xml:space="preserve"> </w:t>
      </w:r>
      <w:r>
        <w:rPr>
          <w:i/>
        </w:rPr>
        <w:t xml:space="preserve">Planta</w:t>
      </w:r>
      <w:r>
        <w:t xml:space="preserve"> </w:t>
      </w:r>
      <w:r>
        <w:rPr>
          <w:b/>
        </w:rPr>
        <w:t xml:space="preserve">195</w:t>
      </w:r>
      <w:r>
        <w:t xml:space="preserve">: 88–97.</w:t>
      </w:r>
    </w:p>
    <w:p>
      <w:pPr>
        <w:pStyle w:val="Bibliography"/>
      </w:pPr>
      <w:r>
        <w:rPr>
          <w:b w:val="0"/>
          <w:b/>
        </w:rPr>
        <w:t xml:space="preserve">Crous KY</w:t>
      </w:r>
      <w:r>
        <w:rPr>
          <w:b/>
        </w:rPr>
        <w:t xml:space="preserve">,</w:t>
      </w:r>
      <w:r>
        <w:rPr>
          <w:b/>
        </w:rPr>
        <w:t xml:space="preserve"> </w:t>
      </w:r>
      <w:r>
        <w:rPr>
          <w:b w:val="0"/>
          <w:b/>
        </w:rPr>
        <w:t xml:space="preserve">Zaragoza-Castells J</w:t>
      </w:r>
      <w:r>
        <w:rPr>
          <w:b/>
        </w:rPr>
        <w:t xml:space="preserve">,</w:t>
      </w:r>
      <w:r>
        <w:rPr>
          <w:b/>
        </w:rPr>
        <w:t xml:space="preserve"> </w:t>
      </w:r>
      <w:r>
        <w:rPr>
          <w:b w:val="0"/>
          <w:b/>
        </w:rPr>
        <w:t xml:space="preserve">Ellsworth DS</w:t>
      </w:r>
      <w:r>
        <w:rPr>
          <w:b/>
        </w:rPr>
        <w:t xml:space="preserve">,</w:t>
      </w:r>
      <w:r>
        <w:rPr>
          <w:b/>
        </w:rPr>
        <w:t xml:space="preserve"> </w:t>
      </w:r>
      <w:r>
        <w:rPr>
          <w:b w:val="0"/>
          <w:b/>
        </w:rPr>
        <w:t xml:space="preserve">Duursma RA</w:t>
      </w:r>
      <w:r>
        <w:rPr>
          <w:b/>
        </w:rPr>
        <w:t xml:space="preserve">,</w:t>
      </w:r>
      <w:r>
        <w:rPr>
          <w:b/>
        </w:rPr>
        <w:t xml:space="preserve"> </w:t>
      </w:r>
      <w:r>
        <w:rPr>
          <w:b w:val="0"/>
          <w:b/>
        </w:rPr>
        <w:t xml:space="preserve">Loew M</w:t>
      </w:r>
      <w:r>
        <w:rPr>
          <w:b/>
        </w:rPr>
        <w:t xml:space="preserve">,</w:t>
      </w:r>
      <w:r>
        <w:rPr>
          <w:b/>
        </w:rPr>
        <w:t xml:space="preserve"> </w:t>
      </w:r>
      <w:r>
        <w:rPr>
          <w:b w:val="0"/>
          <w:b/>
        </w:rPr>
        <w:t xml:space="preserve">Tissue DT</w:t>
      </w:r>
      <w:r>
        <w:rPr>
          <w:b/>
        </w:rPr>
        <w:t xml:space="preserve">,</w:t>
      </w:r>
      <w:r>
        <w:rPr>
          <w:b/>
        </w:rPr>
        <w:t xml:space="preserve"> </w:t>
      </w:r>
      <w:r>
        <w:rPr>
          <w:b w:val="0"/>
          <w:b/>
        </w:rPr>
        <w:t xml:space="preserve">Atkin OK</w:t>
      </w:r>
      <w:r>
        <w:t xml:space="preserve">.</w:t>
      </w:r>
      <w:r>
        <w:t xml:space="preserve"> </w:t>
      </w:r>
      <w:r>
        <w:rPr>
          <w:b/>
        </w:rPr>
        <w:t xml:space="preserve">2012</w:t>
      </w:r>
      <w:r>
        <w:t xml:space="preserve">. Light inhibition of leaf respiration in field-grown</w:t>
      </w:r>
      <w:r>
        <w:t xml:space="preserve"> </w:t>
      </w:r>
      <w:r>
        <w:rPr>
          <w:i/>
        </w:rPr>
        <w:t xml:space="preserve">Eucalyptus saligna</w:t>
      </w:r>
      <w:r>
        <w:t xml:space="preserve"> </w:t>
      </w:r>
      <w:r>
        <w:t xml:space="preserve">in whole-tree chambers under elevated atmospheric CO</w:t>
      </w:r>
      <w:r>
        <w:rPr>
          <w:vertAlign w:val="subscript"/>
        </w:rPr>
        <w:t xml:space="preserve">2</w:t>
      </w:r>
      <w:r>
        <w:t xml:space="preserve"> </w:t>
      </w:r>
      <w:r>
        <w:t xml:space="preserve">and summer drought.</w:t>
      </w:r>
      <w:r>
        <w:t xml:space="preserve"> </w:t>
      </w:r>
      <w:r>
        <w:rPr>
          <w:i/>
        </w:rPr>
        <w:t xml:space="preserve">Plant, cell &amp; environment</w:t>
      </w:r>
      <w:r>
        <w:t xml:space="preserve"> </w:t>
      </w:r>
      <w:r>
        <w:rPr>
          <w:b/>
        </w:rPr>
        <w:t xml:space="preserve">35</w:t>
      </w:r>
      <w:r>
        <w:t xml:space="preserve">: 966–981.</w:t>
      </w:r>
    </w:p>
    <w:p>
      <w:pPr>
        <w:pStyle w:val="Bibliography"/>
      </w:pPr>
      <w:r>
        <w:rPr>
          <w:b w:val="0"/>
          <w:b/>
        </w:rPr>
        <w:t xml:space="preserve">Evans JR</w:t>
      </w:r>
      <w:r>
        <w:rPr>
          <w:b/>
        </w:rPr>
        <w:t xml:space="preserve">,</w:t>
      </w:r>
      <w:r>
        <w:rPr>
          <w:b/>
        </w:rPr>
        <w:t xml:space="preserve"> </w:t>
      </w:r>
      <w:r>
        <w:rPr>
          <w:b w:val="0"/>
          <w:b/>
        </w:rPr>
        <w:t xml:space="preserve">Von Caemmerer</w:t>
      </w:r>
      <w:r>
        <w:rPr>
          <w:b w:val="0"/>
          <w:b/>
        </w:rPr>
        <w:t xml:space="preserve"> </w:t>
      </w:r>
      <w:r>
        <w:rPr>
          <w:b w:val="0"/>
          <w:b/>
        </w:rPr>
        <w:t xml:space="preserve">S</w:t>
      </w:r>
      <w:r>
        <w:t xml:space="preserve">.</w:t>
      </w:r>
      <w:r>
        <w:t xml:space="preserve"> </w:t>
      </w:r>
      <w:r>
        <w:rPr>
          <w:b/>
        </w:rPr>
        <w:t xml:space="preserve">2013</w:t>
      </w:r>
      <w:r>
        <w:t xml:space="preserve">. Temperature response of carbon isotope discrimination and mesophyll conductance in tobacco.</w:t>
      </w:r>
      <w:r>
        <w:t xml:space="preserve"> </w:t>
      </w:r>
      <w:r>
        <w:rPr>
          <w:i/>
        </w:rPr>
        <w:t xml:space="preserve">Plant, cell &amp; environment</w:t>
      </w:r>
      <w:r>
        <w:t xml:space="preserve"> </w:t>
      </w:r>
      <w:r>
        <w:rPr>
          <w:b/>
        </w:rPr>
        <w:t xml:space="preserve">36</w:t>
      </w:r>
      <w:r>
        <w:t xml:space="preserve">: 745–756.</w:t>
      </w:r>
    </w:p>
    <w:p>
      <w:pPr>
        <w:pStyle w:val="Bibliography"/>
      </w:pPr>
      <w:r>
        <w:rPr>
          <w:b w:val="0"/>
          <w:b/>
        </w:rPr>
        <w:t xml:space="preserve">Tazoe Y</w:t>
      </w:r>
      <w:r>
        <w:rPr>
          <w:b/>
        </w:rPr>
        <w:t xml:space="preserve">,</w:t>
      </w:r>
      <w:r>
        <w:rPr>
          <w:b/>
        </w:rPr>
        <w:t xml:space="preserve"> </w:t>
      </w:r>
      <w:r>
        <w:rPr>
          <w:b w:val="0"/>
          <w:b/>
        </w:rPr>
        <w:t xml:space="preserve">Von Caemmerer</w:t>
      </w:r>
      <w:r>
        <w:rPr>
          <w:b w:val="0"/>
          <w:b/>
        </w:rPr>
        <w:t xml:space="preserve"> </w:t>
      </w:r>
      <w:r>
        <w:rPr>
          <w:b w:val="0"/>
          <w:b/>
        </w:rPr>
        <w:t xml:space="preserve">S</w:t>
      </w:r>
      <w:r>
        <w:rPr>
          <w:b/>
        </w:rPr>
        <w:t xml:space="preserve">,</w:t>
      </w:r>
      <w:r>
        <w:rPr>
          <w:b/>
        </w:rPr>
        <w:t xml:space="preserve"> </w:t>
      </w:r>
      <w:r>
        <w:rPr>
          <w:b w:val="0"/>
          <w:b/>
        </w:rPr>
        <w:t xml:space="preserve">Estavillo GM</w:t>
      </w:r>
      <w:r>
        <w:rPr>
          <w:b/>
        </w:rPr>
        <w:t xml:space="preserve">,</w:t>
      </w:r>
      <w:r>
        <w:rPr>
          <w:b/>
        </w:rPr>
        <w:t xml:space="preserve"> </w:t>
      </w:r>
      <w:r>
        <w:rPr>
          <w:b w:val="0"/>
          <w:b/>
        </w:rPr>
        <w:t xml:space="preserve">Evans JR</w:t>
      </w:r>
      <w:r>
        <w:t xml:space="preserve">.</w:t>
      </w:r>
      <w:r>
        <w:t xml:space="preserve"> </w:t>
      </w:r>
      <w:r>
        <w:rPr>
          <w:b/>
        </w:rPr>
        <w:t xml:space="preserve">2011</w:t>
      </w:r>
      <w:r>
        <w:t xml:space="preserve">. Using tunable diode laser spectroscopy to measure carbon isotope discrimination and mesophyll conductance to CO</w:t>
      </w:r>
      <w:r>
        <w:rPr>
          <w:vertAlign w:val="subscript"/>
        </w:rPr>
        <w:t xml:space="preserve">2</w:t>
      </w:r>
      <w:r>
        <w:t xml:space="preserve"> </w:t>
      </w:r>
      <w:r>
        <w:t xml:space="preserve">diffusion dynamically at different CO</w:t>
      </w:r>
      <w:r>
        <w:rPr>
          <w:vertAlign w:val="subscript"/>
        </w:rPr>
        <w:t xml:space="preserve">2</w:t>
      </w:r>
      <w:r>
        <w:t xml:space="preserve"> </w:t>
      </w:r>
      <w:r>
        <w:t xml:space="preserve">concentrations.</w:t>
      </w:r>
      <w:r>
        <w:t xml:space="preserve"> </w:t>
      </w:r>
      <w:r>
        <w:rPr>
          <w:i/>
        </w:rPr>
        <w:t xml:space="preserve">Plant, Cell &amp; Environment</w:t>
      </w:r>
      <w:r>
        <w:t xml:space="preserve"> </w:t>
      </w:r>
      <w:r>
        <w:rPr>
          <w:b/>
        </w:rPr>
        <w:t xml:space="preserve">34</w:t>
      </w:r>
      <w:r>
        <w:t xml:space="preserve">: 580–591.</w:t>
      </w:r>
    </w:p>
    <w:sectPr w:rsidR="00273792"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6710CF">
        <w:pPr>
          <w:pStyle w:val="Footer"/>
          <w:jc w:val="right"/>
        </w:pPr>
        <w:r>
          <w:fldChar w:fldCharType="begin"/>
        </w:r>
        <w:r>
          <w:instrText xml:space="preserve"> PAGE   \* MERGEFORMAT </w:instrText>
        </w:r>
        <w:r>
          <w:fldChar w:fldCharType="separate"/>
        </w:r>
        <w:r w:rsidR="00EC1C64">
          <w:rPr>
            <w:noProof/>
          </w:rPr>
          <w:t>2</w:t>
        </w:r>
        <w:r>
          <w:rPr>
            <w:noProof/>
          </w:rPr>
          <w:fldChar w:fldCharType="end"/>
        </w:r>
      </w:p>
    </w:sdtContent>
  </w:sdt>
  <w:p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1ea6cd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3c7f91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C1C64"/>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gm methods_revised</dc:title>
  <dc:creator/>
</cp:coreProperties>
</file>