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 2 4570 1421</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 </w:t>
      </w:r>
      <w:r>
        <w:rPr>
          <w:b/>
        </w:rPr>
        <w:t xml:space="preserve">Running Title</w:t>
      </w:r>
      <w:r>
        <w:br w:type="textWrapping"/>
      </w:r>
      <w:r>
        <w:t xml:space="preserve">Mesophyll conductance response to light</w:t>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index"/>
      <w:bookmarkEnd w:id="23"/>
      <w:r>
        <w:t xml:space="preserve">Keyword index</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vapour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capacity of each leaf (</w:t>
      </w:r>
      <w:r>
        <w:rPr>
          <w:i/>
        </w:rPr>
        <w:t xml:space="preserve">A</w:t>
      </w:r>
      <w:r>
        <w:rPr>
          <w:vertAlign w:val="subscript"/>
        </w:rPr>
        <w:t xml:space="preserve">max</w:t>
      </w:r>
      <w:r>
        <w:t xml:space="preserve">) was determined as the maximum rate of photosynthesis measured at the highest observed</w:t>
      </w:r>
      <w:r>
        <w:t xml:space="preserve"> </w:t>
      </w:r>
      <w:r>
        <w:rPr>
          <w:i/>
        </w:rPr>
        <w:t xml:space="preserve">C</w:t>
      </w:r>
      <w:r>
        <w:rPr>
          <w:vertAlign w:val="subscript"/>
        </w:rPr>
        <w:t xml:space="preserve">i</w:t>
      </w:r>
      <w:r>
        <w:t xml:space="preserve">.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also generated from each A-</w:t>
      </w:r>
      <w:r>
        <w:rPr>
          <w:i/>
        </w:rPr>
        <w:t xml:space="preserve">C</w:t>
      </w:r>
      <w:r>
        <w:rPr>
          <w:vertAlign w:val="subscript"/>
        </w:rPr>
        <w:t xml:space="preserve">i</w:t>
      </w:r>
      <w:r>
        <w:t xml:space="preserve"> </w:t>
      </w:r>
      <w:r>
        <w:t xml:space="preserve">curve and their derivations are presented in Supporting Information Methods S2.</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w:t>
      </w:r>
    </w:p>
    <w:p>
      <w:pPr>
        <w:pStyle w:val="BodyText"/>
      </w:pPr>
      <w:r>
        <w:rPr>
          <w:i/>
        </w:rPr>
        <w:t xml:space="preserve">Leaf-specific hydraulic conductance (</w:t>
      </w:r>
      <w:r>
        <w:t xml:space="preserve">K</w:t>
      </w:r>
      <w:r>
        <w:rPr>
          <w:vertAlign w:val="subscript"/>
          <w:i/>
        </w:rPr>
        <w:t xml:space="preserve">L</w:t>
      </w:r>
      <w:r>
        <w:rPr>
          <w:i/>
        </w:rPr>
        <w:t xml:space="preserve">) was similar across sun and shade leaves (Table 1). This was because neither leaf water potentials (</w:t>
      </w:r>
      <m:oMath>
        <m:sSub>
          <m:e>
            <m:r>
              <m:rPr/>
              <m:t>Ψ</m:t>
            </m:r>
          </m:e>
          <m:sub>
            <m:r>
              <m:rPr/>
              <m:t>p</m:t>
            </m:r>
            <m:r>
              <m:rPr/>
              <m:t>d</m:t>
            </m:r>
          </m:sub>
        </m:sSub>
      </m:oMath>
      <w:r>
        <w:rPr>
          <w:i/>
        </w:rPr>
        <w:t xml:space="preserve"> </w:t>
      </w:r>
      <w:r>
        <w:rPr>
          <w:i/>
        </w:rPr>
        <w:t xml:space="preserve">and</w:t>
      </w:r>
      <w:r>
        <w:rPr>
          <w:i/>
        </w:rPr>
        <w:t xml:space="preserve"> </w:t>
      </w:r>
      <m:oMath>
        <m:sSub>
          <m:e>
            <m:r>
              <m:rPr/>
              <m:t>Ψ</m:t>
            </m:r>
          </m:e>
          <m:sub>
            <m:r>
              <m:rPr/>
              <m:t>L</m:t>
            </m:r>
          </m:sub>
        </m:sSub>
      </m:oMath>
      <w:r>
        <w:rPr>
          <w:i/>
        </w:rPr>
        <w:t xml:space="preserve">, Table 1) nor transpiration rates (</w:t>
      </w:r>
      <w:r>
        <w:t xml:space="preserve">E</w:t>
      </w:r>
      <w:r>
        <w:rPr>
          <w:vertAlign w:val="subscript"/>
          <w:i/>
        </w:rPr>
        <w:t xml:space="preserve">L</w:t>
      </w:r>
      <w:r>
        <w:rPr>
          <w:i/>
        </w:rPr>
        <w:t xml:space="preserve"> </w:t>
      </w:r>
      <w:r>
        <w:rPr>
          <w:i/>
        </w:rPr>
        <w:t xml:space="preserve">, Table 2) differed between leaf types.</w:t>
      </w:r>
    </w:p>
    <w:p>
      <w:pPr>
        <w:pStyle w:val="BodyText"/>
      </w:pPr>
      <w:r>
        <w:t xml:space="preserve">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Mean photosynthetic capacity (</w:t>
      </w:r>
      <w:r>
        <w:rPr>
          <w:i/>
        </w:rPr>
        <w:t xml:space="preserve">A</w:t>
      </w:r>
      <w:r>
        <w:rPr>
          <w:vertAlign w:val="subscript"/>
        </w:rPr>
        <w:t xml:space="preserve">max</w:t>
      </w:r>
      <w:r>
        <w:t xml:space="preserve">) of sun leaves was significantly higher (+27%, P = 0.001) compared to shade leaves, when measured at saturating light and 25 °C. Within leaf types, no effect of the warming treatment was detected on</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 Similarly, the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(Supplementary Table 1).</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S5c).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indistinguishable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 For example, sun leaves of</w:t>
      </w:r>
      <w:r>
        <w:t xml:space="preserve"> </w:t>
      </w:r>
      <w:r>
        <w:rPr>
          <w:i/>
        </w:rPr>
        <w:t xml:space="preserve">Abies amabilis</w:t>
      </w:r>
      <w:r>
        <w:t xml:space="preserve"> </w:t>
      </w:r>
      <w:r>
        <w:t xml:space="preserve">foliage that became shaded exhibited physiology similar to shaded leaves, while retaining the morphology of sun leaves</w:t>
      </w:r>
      <w:r>
        <w:t xml:space="preserve"> </w:t>
      </w:r>
      <w:r>
        <w:t xml:space="preserve">(Brooks</w:t>
      </w:r>
      <w:r>
        <w:t xml:space="preserve"> </w:t>
      </w:r>
      <w:r>
        <w:rPr>
          <w:i/>
        </w:rPr>
        <w:t xml:space="preserve">et al.</w:t>
      </w:r>
      <w:r>
        <w:t xml:space="preserve"> </w:t>
      </w:r>
      <w:r>
        <w:t xml:space="preserve">1996)</w:t>
      </w:r>
      <w:r>
        <w:t xml:space="preserve">.</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rPr>
          <w:b/>
        </w:rPr>
        <w:t xml:space="preserve">We found that</w:t>
      </w:r>
      <w:r>
        <w:rPr>
          <w:b/>
        </w:rPr>
        <w:t xml:space="preserve"> </w:t>
      </w:r>
      <w:r>
        <w:rPr>
          <w:i/>
          <w:b/>
        </w:rPr>
        <w:t xml:space="preserve">A</w:t>
      </w:r>
      <w:r>
        <w:rPr>
          <w:vertAlign w:val="subscript"/>
          <w:b/>
        </w:rPr>
        <w:t xml:space="preserve">n</w:t>
      </w:r>
      <w:r>
        <w:rPr>
          <w:b/>
        </w:rPr>
        <w:t xml:space="preserve"> </w:t>
      </w:r>
      <w:r>
        <w:rPr>
          <w:b/>
        </w:rPr>
        <w:t xml:space="preserve">and</w:t>
      </w:r>
      <w:r>
        <w:rPr>
          <w:b/>
        </w:rPr>
        <w:t xml:space="preserve"> </w:t>
      </w:r>
      <w:r>
        <w:rPr>
          <w:i/>
          <w:b/>
        </w:rPr>
        <w:t xml:space="preserve">g</w:t>
      </w:r>
      <w:r>
        <w:rPr>
          <w:vertAlign w:val="subscript"/>
          <w:b/>
        </w:rPr>
        <w:t xml:space="preserve">m</w:t>
      </w:r>
      <w:r>
        <w:rPr>
          <w:b/>
        </w:rPr>
        <w:t xml:space="preserve"> </w:t>
      </w:r>
      <w:r>
        <w:rPr>
          <w:b/>
        </w:rPr>
        <w:t xml:space="preserve">scaled positively across leaf types (Fig. 3b) and, unexpectedly, increased in shade leaves when light intensity was increased to values similar in sun leaves. Possible mechanisms for the rapid (~25 min) response of</w:t>
      </w:r>
      <w:r>
        <w:rPr>
          <w:b/>
        </w:rPr>
        <w:t xml:space="preserve"> </w:t>
      </w:r>
      <w:r>
        <w:rPr>
          <w:i/>
          <w:b/>
        </w:rPr>
        <w:t xml:space="preserve">g</w:t>
      </w:r>
      <w:r>
        <w:rPr>
          <w:vertAlign w:val="subscript"/>
          <w:b/>
        </w:rPr>
        <w:t xml:space="preserve">m</w:t>
      </w:r>
      <w:r>
        <w:rPr>
          <w:b/>
        </w:rPr>
        <w:t xml:space="preserve"> </w:t>
      </w:r>
      <w:r>
        <w:rPr>
          <w:b/>
        </w:rPr>
        <w:t xml:space="preserve">to light intensity include regulation of aquaporins, which can facilitate increases in the CO</w:t>
      </w:r>
      <w:r>
        <w:rPr>
          <w:vertAlign w:val="subscript"/>
          <w:b/>
        </w:rPr>
        <w:t xml:space="preserve">2</w:t>
      </w:r>
      <w:r>
        <w:rPr>
          <w:b/>
        </w:rPr>
        <w:t xml:space="preserve"> </w:t>
      </w:r>
      <w:r>
        <w:rPr>
          <w:b/>
        </w:rPr>
        <w:t xml:space="preserve">permeability of the cell membranes</w:t>
      </w:r>
      <w:r>
        <w:rPr>
          <w:b/>
        </w:rPr>
        <w:t xml:space="preserve"> </w:t>
      </w:r>
      <w:r>
        <w:rPr>
          <w:b/>
        </w:rPr>
        <w:t xml:space="preserve">(Hanba</w:t>
      </w:r>
      <w:r>
        <w:rPr>
          <w:b/>
        </w:rPr>
        <w:t xml:space="preserve"> </w:t>
      </w:r>
      <w:r>
        <w:rPr>
          <w:i/>
          <w:b/>
        </w:rPr>
        <w:t xml:space="preserve">et al.</w:t>
      </w:r>
      <w:r>
        <w:rPr>
          <w:b/>
        </w:rPr>
        <w:t xml:space="preserve"> </w:t>
      </w:r>
      <w:r>
        <w:rPr>
          <w:b/>
        </w:rPr>
        <w:t xml:space="preserve">2004; Heinen</w:t>
      </w:r>
      <w:r>
        <w:rPr>
          <w:b/>
        </w:rPr>
        <w:t xml:space="preserve"> </w:t>
      </w:r>
      <w:r>
        <w:rPr>
          <w:i/>
          <w:b/>
        </w:rPr>
        <w:t xml:space="preserve">et al.</w:t>
      </w:r>
      <w:r>
        <w:rPr>
          <w:b/>
        </w:rPr>
        <w:t xml:space="preserve"> </w:t>
      </w:r>
      <w:r>
        <w:rPr>
          <w:b/>
        </w:rPr>
        <w:t xml:space="preserve">2009; Li</w:t>
      </w:r>
      <w:r>
        <w:rPr>
          <w:b/>
        </w:rPr>
        <w:t xml:space="preserve"> </w:t>
      </w:r>
      <w:r>
        <w:rPr>
          <w:i/>
          <w:b/>
        </w:rPr>
        <w:t xml:space="preserve">et al.</w:t>
      </w:r>
      <w:r>
        <w:rPr>
          <w:b/>
        </w:rPr>
        <w:t xml:space="preserve"> </w:t>
      </w:r>
      <w:r>
        <w:rPr>
          <w:b/>
        </w:rPr>
        <w:t xml:space="preserve">2014)</w:t>
      </w:r>
      <w:r>
        <w:rPr>
          <w:b/>
        </w:rPr>
        <w:t xml:space="preserve"> </w:t>
      </w:r>
      <w:r>
        <w:rPr>
          <w:b/>
        </w:rPr>
        <w:t xml:space="preserve">or movement of chloroplasts to facilitate CO</w:t>
      </w:r>
      <w:r>
        <w:rPr>
          <w:vertAlign w:val="subscript"/>
          <w:b/>
        </w:rPr>
        <w:t xml:space="preserve">2</w:t>
      </w:r>
      <w:r>
        <w:rPr>
          <w:b/>
        </w:rPr>
        <w:t xml:space="preserve"> </w:t>
      </w:r>
      <w:r>
        <w:rPr>
          <w:b/>
        </w:rPr>
        <w:t xml:space="preserve">diffusion</w:t>
      </w:r>
      <w:r>
        <w:rPr>
          <w:b/>
        </w:rPr>
        <w:t xml:space="preserve"> </w:t>
      </w:r>
      <w:r>
        <w:rPr>
          <w:b/>
        </w:rPr>
        <w:t xml:space="preserve">(Tholen</w:t>
      </w:r>
      <w:r>
        <w:rPr>
          <w:b/>
        </w:rPr>
        <w:t xml:space="preserve"> </w:t>
      </w:r>
      <w:r>
        <w:rPr>
          <w:i/>
          <w:b/>
        </w:rPr>
        <w:t xml:space="preserve">et al.</w:t>
      </w:r>
      <w:r>
        <w:rPr>
          <w:b/>
        </w:rPr>
        <w:t xml:space="preserve"> </w:t>
      </w:r>
      <w:r>
        <w:rPr>
          <w:b/>
        </w:rPr>
        <w:t xml:space="preserve">2008)</w:t>
      </w:r>
      <w:r>
        <w:rPr>
          <w:b/>
        </w:rPr>
        <w:t xml:space="preserve">. Our findings support growing evidence that</w:t>
      </w:r>
      <w:r>
        <w:rPr>
          <w:b/>
        </w:rPr>
        <w:t xml:space="preserve"> </w:t>
      </w:r>
      <w:r>
        <w:rPr>
          <w:i/>
          <w:b/>
        </w:rPr>
        <w:t xml:space="preserve">g</w:t>
      </w:r>
      <w:r>
        <w:rPr>
          <w:vertAlign w:val="subscript"/>
          <w:b/>
        </w:rPr>
        <w:t xml:space="preserve">m</w:t>
      </w:r>
      <w:r>
        <w:rPr>
          <w:b/>
        </w:rPr>
        <w:t xml:space="preserve"> </w:t>
      </w:r>
      <w:r>
        <w:rPr>
          <w:b/>
        </w:rPr>
        <w:t xml:space="preserve">is highly variable and can respond to environmental variables</w:t>
      </w:r>
      <w:r>
        <w:rPr>
          <w:b/>
        </w:rPr>
        <w:t xml:space="preserve"> </w:t>
      </w:r>
      <w:r>
        <w:rPr>
          <w:b/>
        </w:rPr>
        <w:t xml:space="preserve">(Flexas</w:t>
      </w:r>
      <w:r>
        <w:rPr>
          <w:b/>
        </w:rPr>
        <w:t xml:space="preserve"> </w:t>
      </w:r>
      <w:r>
        <w:rPr>
          <w:i/>
          <w:b/>
        </w:rPr>
        <w:t xml:space="preserve">et al.</w:t>
      </w:r>
      <w:r>
        <w:rPr>
          <w:b/>
        </w:rPr>
        <w:t xml:space="preserve"> </w:t>
      </w:r>
      <w:r>
        <w:rPr>
          <w:b/>
        </w:rPr>
        <w:t xml:space="preserve">2007, 2008)</w:t>
      </w:r>
      <w:r>
        <w:rPr>
          <w:b/>
        </w:rPr>
        <w:t xml:space="preserve">. Here we provide empirical data showing</w:t>
      </w:r>
      <w:r>
        <w:rPr>
          <w:b/>
        </w:rPr>
        <w:t xml:space="preserve"> </w:t>
      </w:r>
      <w:r>
        <w:rPr>
          <w:i/>
          <w:b/>
        </w:rPr>
        <w:t xml:space="preserve">g</w:t>
      </w:r>
      <w:r>
        <w:rPr>
          <w:vertAlign w:val="subscript"/>
          <w:b/>
        </w:rPr>
        <w:t xml:space="preserve">m</w:t>
      </w:r>
      <w:r>
        <w:rPr>
          <w:b/>
        </w:rPr>
        <w:t xml:space="preserve"> </w:t>
      </w:r>
      <w:r>
        <w:rPr>
          <w:b/>
        </w:rPr>
        <w:t xml:space="preserve">not only varies within a canopy, but that the up-regulation of</w:t>
      </w:r>
      <w:r>
        <w:rPr>
          <w:b/>
        </w:rPr>
        <w:t xml:space="preserve"> </w:t>
      </w:r>
      <w:r>
        <w:rPr>
          <w:i/>
          <w:b/>
        </w:rPr>
        <w:t xml:space="preserve">g</w:t>
      </w:r>
      <w:r>
        <w:rPr>
          <w:vertAlign w:val="subscript"/>
          <w:b/>
        </w:rPr>
        <w:t xml:space="preserve">m</w:t>
      </w:r>
      <w:r>
        <w:rPr>
          <w:b/>
        </w:rPr>
        <w:t xml:space="preserve"> </w:t>
      </w:r>
      <w:r>
        <w:rPr>
          <w:b/>
        </w:rPr>
        <w:t xml:space="preserve">plays a critical role in the photosynthetic response of shade leaves to sunflecks.</w:t>
      </w:r>
    </w:p>
    <w:p>
      <w:pPr>
        <w:pStyle w:val="BodyText"/>
      </w:pPr>
      <w:r>
        <w:rPr>
          <w:i/>
        </w:rPr>
        <w:t xml:space="preserve">fixed vs variable controls of g</w:t>
      </w:r>
      <w:r>
        <w:rPr>
          <w:vertAlign w:val="subscript"/>
          <w:i/>
        </w:rPr>
        <w:t xml:space="preserve">m</w:t>
      </w:r>
      <w:r>
        <w:t xml:space="preserve"> </w:t>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Comparable LMA within the canopy likely allowed for this up-regulation of</w:t>
      </w:r>
      <w:r>
        <w:t xml:space="preserve"> </w:t>
      </w:r>
      <w:r>
        <w:rPr>
          <w:i/>
        </w:rPr>
        <w:t xml:space="preserve">g</w:t>
      </w:r>
      <w:r>
        <w:rPr>
          <w:vertAlign w:val="subscript"/>
        </w:rPr>
        <w:t xml:space="preserve">m</w:t>
      </w:r>
      <w:r>
        <w:t xml:space="preserve"> </w:t>
      </w:r>
      <w:r>
        <w:t xml:space="preserve">, which played a critical role in the photosynthetic response of shade leaves to sunflecks. Components of LMA, such as palisade thickness and cell surface exposed to intercellular air space, set an upper limit for</w:t>
      </w:r>
      <w:r>
        <w:t xml:space="preserve"> </w:t>
      </w:r>
      <w:r>
        <w:rPr>
          <w:i/>
        </w:rPr>
        <w:t xml:space="preserve">g</w:t>
      </w:r>
      <w:r>
        <w:rPr>
          <w:vertAlign w:val="subscript"/>
        </w:rPr>
        <w:t xml:space="preserve">m</w:t>
      </w:r>
      <w:r>
        <w:t xml:space="preserve">, but considerable variation in</w:t>
      </w:r>
      <w:r>
        <w:t xml:space="preserve"> </w:t>
      </w:r>
      <w:r>
        <w:rPr>
          <w:i/>
        </w:rPr>
        <w:t xml:space="preserve">g</w:t>
      </w:r>
      <w:r>
        <w:rPr>
          <w:vertAlign w:val="subscript"/>
        </w:rPr>
        <w:t xml:space="preserve">m</w:t>
      </w:r>
      <w:r>
        <w:t xml:space="preserve"> </w:t>
      </w:r>
      <w:r>
        <w:t xml:space="preserve">can exist for a given LMA</w:t>
      </w:r>
      <w:r>
        <w:t xml:space="preserve"> </w:t>
      </w:r>
      <w:r>
        <w:t xml:space="preserve">(Flexas</w:t>
      </w:r>
      <w:r>
        <w:t xml:space="preserve"> </w:t>
      </w:r>
      <w:r>
        <w:rPr>
          <w:i/>
        </w:rPr>
        <w:t xml:space="preserve">et al.</w:t>
      </w:r>
      <w:r>
        <w:t xml:space="preserve"> </w:t>
      </w:r>
      <w:r>
        <w:t xml:space="preserve">2008; Milla-Moreno</w:t>
      </w:r>
      <w:r>
        <w:t xml:space="preserve"> </w:t>
      </w:r>
      <w:r>
        <w:rPr>
          <w:i/>
        </w:rPr>
        <w:t xml:space="preserve">et al.</w:t>
      </w:r>
      <w:r>
        <w:t xml:space="preserve"> </w:t>
      </w:r>
      <w:r>
        <w:t xml:space="preserve">2016)</w:t>
      </w:r>
      <w:r>
        <w:t xml:space="preserve">. Possible mechanisms for the rapid (~25 min) up-regulation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It has also been proposed that</w:t>
      </w:r>
      <w:r>
        <w:t xml:space="preserve"> </w:t>
      </w:r>
      <w:r>
        <w:rPr>
          <w:i/>
        </w:rPr>
        <w:t xml:space="preserve">g</w:t>
      </w:r>
      <w:r>
        <w:rPr>
          <w:vertAlign w:val="subscript"/>
        </w:rPr>
        <w:t xml:space="preserve">m</w:t>
      </w:r>
      <w:r>
        <w:t xml:space="preserve"> </w:t>
      </w:r>
      <w:r>
        <w:t xml:space="preserve">and</w:t>
      </w:r>
      <w:r>
        <w:t xml:space="preserve"> </w:t>
      </w:r>
      <w:r>
        <w:rPr>
          <w:i/>
        </w:rPr>
        <w:t xml:space="preserve">K</w:t>
      </w:r>
      <w:r>
        <w:rPr>
          <w:vertAlign w:val="subscript"/>
        </w:rPr>
        <w:t xml:space="preserve">L</w:t>
      </w:r>
      <w:r>
        <w:t xml:space="preserve"> </w:t>
      </w:r>
      <w:r>
        <w:t xml:space="preserve">should be coordinated, as optimizing hydraulic supply allows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to enhance</w:t>
      </w:r>
      <w:r>
        <w:t xml:space="preserve"> </w:t>
      </w:r>
      <w:r>
        <w:rPr>
          <w:i/>
        </w:rPr>
        <w:t xml:space="preserve">A</w:t>
      </w:r>
      <w:r>
        <w:rPr>
          <w:vertAlign w:val="subscript"/>
        </w:rPr>
        <w:t xml:space="preserve">n</w:t>
      </w:r>
      <w:r>
        <w:t xml:space="preserve"> </w:t>
      </w:r>
      <w:r>
        <w:t xml:space="preserve">(Flexas</w:t>
      </w:r>
      <w:r>
        <w:t xml:space="preserve"> </w:t>
      </w:r>
      <w:r>
        <w:rPr>
          <w:i/>
        </w:rPr>
        <w:t xml:space="preserve">et al.</w:t>
      </w:r>
      <w:r>
        <w:t xml:space="preserve"> </w:t>
      </w:r>
      <w:r>
        <w:t xml:space="preserve">2013)</w:t>
      </w:r>
      <w:r>
        <w:t xml:space="preserve">. Here, higher</w:t>
      </w:r>
      <w:r>
        <w:t xml:space="preserve"> </w:t>
      </w:r>
      <w:r>
        <w:rPr>
          <w:i/>
        </w:rPr>
        <w:t xml:space="preserve">K</w:t>
      </w:r>
      <w:r>
        <w:rPr>
          <w:vertAlign w:val="subscript"/>
        </w:rPr>
        <w:t xml:space="preserve">l</w:t>
      </w:r>
      <w:r>
        <w:t xml:space="preserve"> </w:t>
      </w:r>
      <w:r>
        <w:t xml:space="preserve">in shade leaves under high light lends supports to the potential coordination</w:t>
      </w:r>
      <w:r>
        <w:t xml:space="preserve"> </w:t>
      </w:r>
      <w:r>
        <w:rPr>
          <w:i/>
        </w:rPr>
        <w:t xml:space="preserve">K</w:t>
      </w:r>
      <w:r>
        <w:rPr>
          <w:vertAlign w:val="subscript"/>
        </w:rPr>
        <w:t xml:space="preserve">l</w:t>
      </w:r>
      <w:r>
        <w:t xml:space="preserve"> </w:t>
      </w:r>
      <w:r>
        <w:t xml:space="preserve">and</w:t>
      </w:r>
      <w:r>
        <w:t xml:space="preserve"> </w:t>
      </w:r>
      <w:r>
        <w:rPr>
          <w:i/>
        </w:rPr>
        <w:t xml:space="preserve">g</w:t>
      </w:r>
      <w:r>
        <w:rPr>
          <w:vertAlign w:val="subscript"/>
        </w:rPr>
        <w:t xml:space="preserve">m</w:t>
      </w:r>
      <w:r>
        <w:t xml:space="preserve"> </w:t>
      </w:r>
      <w:r>
        <w:t xml:space="preserve">and also to the association of higher</w:t>
      </w:r>
      <w:r>
        <w:t xml:space="preserve"> </w:t>
      </w:r>
      <w:r>
        <w:rPr>
          <w:i/>
        </w:rPr>
        <w:t xml:space="preserve">A</w:t>
      </w:r>
      <w:r>
        <w:rPr>
          <w:vertAlign w:val="subscript"/>
        </w:rPr>
        <w:t xml:space="preserve">n</w:t>
      </w:r>
      <w:r>
        <w:t xml:space="preserve"> </w:t>
      </w:r>
      <w:r>
        <w:t xml:space="preserve">with higher</w:t>
      </w:r>
      <w:r>
        <w:t xml:space="preserve"> </w:t>
      </w:r>
      <w:r>
        <w:rPr>
          <w:i/>
        </w:rPr>
        <w:t xml:space="preserve">K</w:t>
      </w:r>
      <w:r>
        <w:rPr>
          <w:vertAlign w:val="subscript"/>
        </w:rPr>
        <w:t xml:space="preserve">l</w:t>
      </w:r>
      <w:r>
        <w:t xml:space="preserve"> </w:t>
      </w:r>
      <w:r>
        <w:t xml:space="preserve">when light becomes saturating reported by</w:t>
      </w:r>
      <w:r>
        <w:t xml:space="preserve"> </w:t>
      </w:r>
      <w:r>
        <w:t xml:space="preserve">Franks (2006)</w:t>
      </w:r>
      <w:r>
        <w:t xml:space="preserve">.</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8541.666666666668"/>
        <w:tblLook w:firstRow="1"/>
      </w:tblPr>
      <w:tblGrid>
        <w:gridCol w:w="1100"/>
        <w:gridCol w:w="1870"/>
        <w:gridCol w:w="1650"/>
        <w:gridCol w:w="165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1.71 (0.21) a</w:t>
            </w:r>
          </w:p>
        </w:tc>
        <w:tc>
          <w:p>
            <w:pPr>
              <w:pStyle w:val="Compact"/>
              <w:jc w:val="left"/>
            </w:pPr>
            <w:r>
              <w:t xml:space="preserve">-0.32 (0.04) a</w:t>
            </w:r>
          </w:p>
        </w:tc>
        <w:tc>
          <w:p>
            <w:pPr>
              <w:pStyle w:val="Compact"/>
              <w:jc w:val="left"/>
            </w:pPr>
            <w:r>
              <w:t xml:space="preserve">-1.60 (0.11)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1.78 (0.18) a</w:t>
            </w:r>
          </w:p>
        </w:tc>
        <w:tc>
          <w:p>
            <w:pPr>
              <w:pStyle w:val="Compact"/>
              <w:jc w:val="left"/>
            </w:pPr>
            <w:r>
              <w:t xml:space="preserve">-0.32 (0.03) a</w:t>
            </w:r>
          </w:p>
        </w:tc>
        <w:tc>
          <w:p>
            <w:pPr>
              <w:pStyle w:val="Compact"/>
              <w:jc w:val="left"/>
            </w:pPr>
            <w:r>
              <w:t xml:space="preserve">-1.70 (0.10)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2.73 (0.22) b</w:t>
            </w:r>
          </w:p>
        </w:tc>
        <w:tc>
          <w:p>
            <w:pPr>
              <w:pStyle w:val="Compact"/>
              <w:jc w:val="left"/>
            </w:pPr>
            <w:r>
              <w:t xml:space="preserve">-0.27 (0.02) a</w:t>
            </w:r>
          </w:p>
        </w:tc>
        <w:tc>
          <w:p>
            <w:pPr>
              <w:pStyle w:val="Compact"/>
              <w:jc w:val="left"/>
            </w:pPr>
            <w:r>
              <w:t xml:space="preserve">-1.60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2.79 (0.22) b</w:t>
            </w:r>
          </w:p>
        </w:tc>
        <w:tc>
          <w:p>
            <w:pPr>
              <w:pStyle w:val="Compact"/>
              <w:jc w:val="left"/>
            </w:pPr>
            <w:r>
              <w:t xml:space="preserve">-0.29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0.001</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The relationship between mean leaf N per area (</w:t>
      </w:r>
      <w:r>
        <w:rPr>
          <w:i/>
        </w:rPr>
        <w:t xml:space="preserve">N</w:t>
      </w:r>
      <w:r>
        <w:rPr>
          <w:vertAlign w:val="subscript"/>
        </w:rPr>
        <w:t xml:space="preserve">a</w:t>
      </w:r>
      <w:r>
        <w:t xml:space="preserve">) for each chamber and photosynthetic capacity (</w:t>
      </w:r>
      <w:r>
        <w:rPr>
          <w:i/>
        </w:rPr>
        <w:t xml:space="preserve">A</w:t>
      </w:r>
      <w:r>
        <w:t xml:space="preserve">~max) for sun and shade leaves grown under elevated (ET) and ambient (AT) temperature treatments.</w:t>
      </w:r>
      <w:r>
        <w:t xml:space="preserve"> </w:t>
      </w:r>
      <w:r>
        <w:rPr>
          <w:i/>
        </w:rPr>
        <w:t xml:space="preserve">A</w:t>
      </w:r>
      <w:r>
        <w:t xml:space="preserve">~max represents the net photosynthetic rate at the highest C</w:t>
      </w:r>
      <w:r>
        <w:rPr>
          <w:vertAlign w:val="subscript"/>
        </w:rPr>
        <w:t xml:space="preserve">i</w:t>
      </w:r>
      <w:r>
        <w:t xml:space="preserve"> </w:t>
      </w:r>
      <w:r>
        <w:t xml:space="preserve">values taken from A-</w:t>
      </w:r>
      <w:r>
        <w:rPr>
          <w:i/>
        </w:rPr>
        <w:t xml:space="preserve">C</w:t>
      </w:r>
      <w:r>
        <w:rPr>
          <w:vertAlign w:val="subscript"/>
        </w:rPr>
        <w:t xml:space="preserve">i</w:t>
      </w:r>
      <w:r>
        <w:t xml:space="preserve"> </w:t>
      </w:r>
      <w:r>
        <w:t xml:space="preserve">curves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0.59 and 0.62.</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&amp;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Vårhammar A., Ghannoum O., Tissue D.T., … Tjoelker M.G. (2016)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t xml:space="preserve">Baldocchi D.D., Wilson K.B. &amp;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&amp;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&amp;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Brooks J.R., Sprugel D.G. &amp; Hinckley T.M. (1996) The effects of light acclimation during and after foliage expansion on photosynthesis of</w:t>
      </w:r>
      <w:r>
        <w:t xml:space="preserve"> </w:t>
      </w:r>
      <w:r>
        <w:rPr>
          <w:i/>
        </w:rPr>
        <w:t xml:space="preserve">abies amabilis</w:t>
      </w:r>
      <w:r>
        <w:t xml:space="preserve"> </w:t>
      </w:r>
      <w:r>
        <w:t xml:space="preserve">foliage within the canopy.</w:t>
      </w:r>
      <w:r>
        <w:t xml:space="preserve"> </w:t>
      </w:r>
      <w:r>
        <w:rPr>
          <w:i/>
        </w:rPr>
        <w:t xml:space="preserve">Oecologia</w:t>
      </w:r>
      <w:r>
        <w:t xml:space="preserve"> </w:t>
      </w:r>
      <w:r>
        <w:rPr>
          <w:b/>
        </w:rPr>
        <w:t xml:space="preserve">107</w:t>
      </w:r>
      <w:r>
        <w:t xml:space="preserve">, 21–32.</w:t>
      </w:r>
    </w:p>
    <w:p>
      <w:pPr>
        <w:pStyle w:val="Bibliography"/>
      </w:pPr>
      <w:r>
        <w:t xml:space="preserve">Buckley T.N., Cescatti A. &amp;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&amp;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&amp;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&amp;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&amp;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&amp;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rPr>
          <w:b/>
        </w:rPr>
        <w:t xml:space="preserve">62</w:t>
      </w:r>
      <w:r>
        <w:t xml:space="preserve">, 5335–5346.</w:t>
      </w:r>
    </w:p>
    <w:p>
      <w:pPr>
        <w:pStyle w:val="Bibliography"/>
      </w:pPr>
      <w:r>
        <w:t xml:space="preserve">Douthe C., Dreyer E., Brendel O. &amp;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&amp;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Payton P., Bange M.P., Broughton K.J., Smith R.A., Medlyn B.E. &amp;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&amp;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&amp;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&amp;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&amp;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&amp;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Flexas J., Scoffoni C., Gago J. &amp; Sack L. (2013) Leaf mesophyll conductance and leaf hydraulic conductance: an introduction to their measurement and coordination.</w:t>
      </w:r>
      <w:r>
        <w:t xml:space="preserve"> </w:t>
      </w:r>
      <w:r>
        <w:rPr>
          <w:i/>
        </w:rPr>
        <w:t xml:space="preserve">Journal of Experimental Botany</w:t>
      </w:r>
      <w:r>
        <w:t xml:space="preserve"> </w:t>
      </w:r>
      <w:r>
        <w:rPr>
          <w:b/>
        </w:rPr>
        <w:t xml:space="preserve">64</w:t>
      </w:r>
      <w:r>
        <w:t xml:space="preserve">, 3965–3981.</w:t>
      </w:r>
    </w:p>
    <w:p>
      <w:pPr>
        <w:pStyle w:val="Bibliography"/>
      </w:pPr>
      <w:r>
        <w:t xml:space="preserve">Franks P.J. (2006) Higher rates of leaf gas exchange are associated with higher leaf hydrodynamic pressure gradients.</w:t>
      </w:r>
      <w:r>
        <w:t xml:space="preserve"> </w:t>
      </w:r>
      <w:r>
        <w:rPr>
          <w:i/>
        </w:rPr>
        <w:t xml:space="preserve">Plant, Cell &amp; Environment</w:t>
      </w:r>
      <w:r>
        <w:t xml:space="preserve"> </w:t>
      </w:r>
      <w:r>
        <w:rPr>
          <w:b/>
        </w:rPr>
        <w:t xml:space="preserve">29</w:t>
      </w:r>
      <w:r>
        <w:t xml:space="preserve">, 584–592.</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&amp;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&amp;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&amp;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&amp;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&amp;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&amp;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&amp;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&amp;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&amp;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&amp;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Prentice I.C., Wang H., Baig S., … Others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&amp;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&amp; Lajtha K. (2007) Sources of variation in the stable isotopic composition of plants. In:</w:t>
      </w:r>
      <w:r>
        <w:t xml:space="preserve"> </w:t>
      </w:r>
      <w:r>
        <w:rPr>
          <w:i/>
        </w:rPr>
        <w:t xml:space="preserve">Stable isotopes in ecology and environmental science</w:t>
      </w:r>
      <w:r>
        <w:t xml:space="preserve"> </w:t>
      </w:r>
      <w:r>
        <w:t xml:space="preserve">(eds Michener R, Lajtha K), pp. 22–60. Blackwell Publishing Ltd, Oxford, UK.</w:t>
      </w:r>
    </w:p>
    <w:p>
      <w:pPr>
        <w:pStyle w:val="Bibliography"/>
      </w:pPr>
      <w:r>
        <w:t xml:space="preserve">Medlyn B.E., Dreyer E., Ellsworth D., Forstreuter M., Harley P.C., Kirschbaum M.U.F., … Others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Ellsworth D.S., Prentice I.C., Barton C.V.M., … Wingate 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Milla-Moreno E.A., McKown A.D., Guy R.D. &amp; Soolanayakanahally R.Y. (2016) Leaf mass area predicts palisade structural properties linked to mesophyll conductance in balsam poplar (</w:t>
      </w:r>
      <w:r>
        <w:rPr>
          <w:i/>
        </w:rPr>
        <w:t xml:space="preserve">populus balsamifera</w:t>
      </w:r>
      <w:r>
        <w:t xml:space="preserve"> </w:t>
      </w:r>
      <w:r>
        <w:t xml:space="preserve">l.).</w:t>
      </w:r>
      <w:r>
        <w:t xml:space="preserve"> </w:t>
      </w:r>
      <w:r>
        <w:rPr>
          <w:i/>
        </w:rPr>
        <w:t xml:space="preserve">Botany</w:t>
      </w:r>
      <w:r>
        <w:t xml:space="preserve"> </w:t>
      </w:r>
      <w:r>
        <w:rPr>
          <w:b/>
        </w:rPr>
        <w:t xml:space="preserve">94</w:t>
      </w:r>
      <w:r>
        <w:t xml:space="preserve">, 1–15.</w:t>
      </w:r>
    </w:p>
    <w:p>
      <w:pPr>
        <w:pStyle w:val="Bibliography"/>
      </w:pPr>
      <w:r>
        <w:t xml:space="preserve">Monsi M. &amp;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&amp; Gulmon S.L. (1979) Environmental and evolutionary constraints on the photosynthetic characteristics of higher plants. In:</w:t>
      </w:r>
      <w:r>
        <w:t xml:space="preserve"> </w:t>
      </w:r>
      <w:r>
        <w:rPr>
          <w:i/>
        </w:rPr>
        <w:t xml:space="preserve">Topics in plant population biology</w:t>
      </w:r>
      <w:r>
        <w:t xml:space="preserve">, Vols. 316-337 (eds Solbrig OT, Jain S, Johnson GB, Raven PH). Springer, New York.</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&amp;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Kinana A., Mabiala A., Roupsard O., … Saint-André 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&amp;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&amp;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&amp;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&amp;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&amp;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&amp;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&amp;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&amp;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&amp;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&amp;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&amp;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&amp;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&amp;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&amp;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&amp;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&amp;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&amp;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&amp;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&amp;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&amp;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&amp;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CRC Press, 410 pp.</w:t>
      </w:r>
    </w:p>
    <w:p>
      <w:pPr>
        <w:pStyle w:val="Bibliography"/>
      </w:pPr>
      <w:r>
        <w:t xml:space="preserve">Wright I.J., Reich P.B. &amp;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05fc9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