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 2 4570 1421</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 </w:t>
      </w:r>
      <w:r>
        <w:rPr>
          <w:b/>
        </w:rPr>
        <w:t xml:space="preserve">Running Title</w:t>
      </w:r>
      <w:r>
        <w:br w:type="textWrapping"/>
      </w:r>
      <w:r>
        <w:t xml:space="preserve">Mesophyll conductance response to light</w:t>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index"/>
      <w:bookmarkEnd w:id="23"/>
      <w:r>
        <w:t xml:space="preserve">Keyword index</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vapour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capacity of each leaf (</w:t>
      </w:r>
      <w:r>
        <w:rPr>
          <w:i/>
        </w:rPr>
        <w:t xml:space="preserve">A</w:t>
      </w:r>
      <w:r>
        <w:rPr>
          <w:vertAlign w:val="subscript"/>
        </w:rPr>
        <w:t xml:space="preserve">max</w:t>
      </w:r>
      <w:r>
        <w:t xml:space="preserve">) was determined as the maximum rate of photosynthesis measured at the highest</w:t>
      </w:r>
      <w:r>
        <w:t xml:space="preserve"> </w:t>
      </w:r>
      <w:r>
        <w:rPr>
          <w:i/>
        </w:rPr>
        <w:t xml:space="preserve">C</w:t>
      </w:r>
      <w:r>
        <w:rPr>
          <w:vertAlign w:val="subscript"/>
        </w:rPr>
        <w:t xml:space="preserve">i</w:t>
      </w:r>
      <w:r>
        <w:t xml:space="preserve"> </w:t>
      </w:r>
      <w:r>
        <w:t xml:space="preserve">with [CO</w:t>
      </w:r>
      <w:r>
        <w:rPr>
          <w:vertAlign w:val="subscript"/>
        </w:rPr>
        <w:t xml:space="preserve">2</w:t>
      </w:r>
      <w:r>
        <w:t xml:space="preserve">] of 1800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also generated from each A-</w:t>
      </w:r>
      <w:r>
        <w:rPr>
          <w:i/>
        </w:rPr>
        <w:t xml:space="preserve">C</w:t>
      </w:r>
      <w:r>
        <w:rPr>
          <w:vertAlign w:val="subscript"/>
        </w:rPr>
        <w:t xml:space="preserve">i</w:t>
      </w:r>
      <w:r>
        <w:t xml:space="preserve"> </w:t>
      </w:r>
      <w:r>
        <w:t xml:space="preserve">curve and their derivations are presented in Supporting Information Methods S2.</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w:t>
      </w:r>
    </w:p>
    <w:p>
      <w:pPr>
        <w:pStyle w:val="BodyText"/>
      </w:pPr>
      <w:r>
        <w:rPr>
          <w:i/>
        </w:rPr>
        <w:t xml:space="preserve">Leaf-specific hydraulic conductance (</w:t>
      </w:r>
      <w:r>
        <w:t xml:space="preserve">K</w:t>
      </w:r>
      <w:r>
        <w:rPr>
          <w:vertAlign w:val="subscript"/>
          <w:i/>
        </w:rPr>
        <w:t xml:space="preserve">L</w:t>
      </w:r>
      <w:r>
        <w:rPr>
          <w:i/>
        </w:rPr>
        <w:t xml:space="preserve">) was similar across sun and shade leaves (Table 1). This was because neither leaf water potentials (</w:t>
      </w:r>
      <m:oMath>
        <m:sSub>
          <m:e>
            <m:r>
              <m:rPr/>
              <m:t>Ψ</m:t>
            </m:r>
          </m:e>
          <m:sub>
            <m:r>
              <m:rPr/>
              <m:t>p</m:t>
            </m:r>
            <m:r>
              <m:rPr/>
              <m:t>d</m:t>
            </m:r>
          </m:sub>
        </m:sSub>
      </m:oMath>
      <w:r>
        <w:rPr>
          <w:i/>
        </w:rPr>
        <w:t xml:space="preserve"> </w:t>
      </w:r>
      <w:r>
        <w:rPr>
          <w:i/>
        </w:rPr>
        <w:t xml:space="preserve">and</w:t>
      </w:r>
      <w:r>
        <w:rPr>
          <w:i/>
        </w:rPr>
        <w:t xml:space="preserve"> </w:t>
      </w:r>
      <m:oMath>
        <m:sSub>
          <m:e>
            <m:r>
              <m:rPr/>
              <m:t>Ψ</m:t>
            </m:r>
          </m:e>
          <m:sub>
            <m:r>
              <m:rPr/>
              <m:t>L</m:t>
            </m:r>
          </m:sub>
        </m:sSub>
      </m:oMath>
      <w:r>
        <w:rPr>
          <w:i/>
        </w:rPr>
        <w:t xml:space="preserve">, Table 1) nor transpiration rates (</w:t>
      </w:r>
      <w:r>
        <w:t xml:space="preserve">E</w:t>
      </w:r>
      <w:r>
        <w:rPr>
          <w:vertAlign w:val="subscript"/>
          <w:i/>
        </w:rPr>
        <w:t xml:space="preserve">L</w:t>
      </w:r>
      <w:r>
        <w:rPr>
          <w:i/>
        </w:rPr>
        <w:t xml:space="preserve"> </w:t>
      </w:r>
      <w:r>
        <w:rPr>
          <w:i/>
        </w:rPr>
        <w:t xml:space="preserve">, Table 2) differed between leaf types.</w:t>
      </w:r>
    </w:p>
    <w:p>
      <w:pPr>
        <w:pStyle w:val="BodyText"/>
      </w:pPr>
      <w:r>
        <w:t xml:space="preserve">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indistinguishable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w:t>
      </w:r>
      <w:r>
        <w:t xml:space="preserve">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8541.666666666668"/>
        <w:tblLook w:firstRow="1"/>
      </w:tblPr>
      <w:tblGrid>
        <w:gridCol w:w="1100"/>
        <w:gridCol w:w="1870"/>
        <w:gridCol w:w="1650"/>
        <w:gridCol w:w="165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1.71 (0.21) a</w:t>
            </w:r>
          </w:p>
        </w:tc>
        <w:tc>
          <w:p>
            <w:pPr>
              <w:pStyle w:val="Compact"/>
              <w:jc w:val="left"/>
            </w:pPr>
            <w:r>
              <w:t xml:space="preserve">-0.32 (0.04) a</w:t>
            </w:r>
          </w:p>
        </w:tc>
        <w:tc>
          <w:p>
            <w:pPr>
              <w:pStyle w:val="Compact"/>
              <w:jc w:val="left"/>
            </w:pPr>
            <w:r>
              <w:t xml:space="preserve">-1.60 (0.11)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1.78 (0.18) a</w:t>
            </w:r>
          </w:p>
        </w:tc>
        <w:tc>
          <w:p>
            <w:pPr>
              <w:pStyle w:val="Compact"/>
              <w:jc w:val="left"/>
            </w:pPr>
            <w:r>
              <w:t xml:space="preserve">-0.32 (0.03) a</w:t>
            </w:r>
          </w:p>
        </w:tc>
        <w:tc>
          <w:p>
            <w:pPr>
              <w:pStyle w:val="Compact"/>
              <w:jc w:val="left"/>
            </w:pPr>
            <w:r>
              <w:t xml:space="preserve">-1.70 (0.10)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2.73 (0.22) b</w:t>
            </w:r>
          </w:p>
        </w:tc>
        <w:tc>
          <w:p>
            <w:pPr>
              <w:pStyle w:val="Compact"/>
              <w:jc w:val="left"/>
            </w:pPr>
            <w:r>
              <w:t xml:space="preserve">-0.27 (0.02) a</w:t>
            </w:r>
          </w:p>
        </w:tc>
        <w:tc>
          <w:p>
            <w:pPr>
              <w:pStyle w:val="Compact"/>
              <w:jc w:val="left"/>
            </w:pPr>
            <w:r>
              <w:t xml:space="preserve">-1.60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2.79 (0.22) b</w:t>
            </w:r>
          </w:p>
        </w:tc>
        <w:tc>
          <w:p>
            <w:pPr>
              <w:pStyle w:val="Compact"/>
              <w:jc w:val="left"/>
            </w:pPr>
            <w:r>
              <w:t xml:space="preserve">-0.29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0.001</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The relationship between mean leaf N per area (</w:t>
      </w:r>
      <w:r>
        <w:rPr>
          <w:i/>
        </w:rPr>
        <w:t xml:space="preserve">N</w:t>
      </w:r>
      <w:r>
        <w:rPr>
          <w:vertAlign w:val="subscript"/>
        </w:rPr>
        <w:t xml:space="preserve">a</w:t>
      </w:r>
      <w:r>
        <w:t xml:space="preserve">) for each chamber and photosynthetic capacity (</w:t>
      </w:r>
      <w:r>
        <w:rPr>
          <w:i/>
        </w:rPr>
        <w:t xml:space="preserve">A</w:t>
      </w:r>
      <w:r>
        <w:t xml:space="preserve">~max) for sun and shade leaves grown under elevated (ET) and ambient (AT) temperature treatments.</w:t>
      </w:r>
      <w:r>
        <w:t xml:space="preserve"> </w:t>
      </w:r>
      <w:r>
        <w:rPr>
          <w:i/>
        </w:rPr>
        <w:t xml:space="preserve">A</w:t>
      </w:r>
      <w:r>
        <w:t xml:space="preserve">~max represents the net photosynthetic rate at the highest C</w:t>
      </w:r>
      <w:r>
        <w:rPr>
          <w:vertAlign w:val="subscript"/>
        </w:rPr>
        <w:t xml:space="preserve">i</w:t>
      </w:r>
      <w:r>
        <w:t xml:space="preserve"> </w:t>
      </w:r>
      <w:r>
        <w:t xml:space="preserve">values taken from A-</w:t>
      </w:r>
      <w:r>
        <w:rPr>
          <w:i/>
        </w:rPr>
        <w:t xml:space="preserve">C</w:t>
      </w:r>
      <w:r>
        <w:rPr>
          <w:vertAlign w:val="subscript"/>
        </w:rPr>
        <w:t xml:space="preserve">i</w:t>
      </w:r>
      <w:r>
        <w:t xml:space="preserve"> </w:t>
      </w:r>
      <w:r>
        <w:t xml:space="preserve">curves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0.59 and 0.62.</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&amp;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Vårhammar A., Ghannoum O., Tissue D.T., … Tjoelker M.G.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&amp;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&amp;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&amp;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Buckley T.N., Cescatti A. &amp;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&amp;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&amp;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&amp;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&amp;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&amp;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rPr>
          <w:b/>
        </w:rPr>
        <w:t xml:space="preserve">62</w:t>
      </w:r>
      <w:r>
        <w:t xml:space="preserve">, 5335–5346.</w:t>
      </w:r>
    </w:p>
    <w:p>
      <w:pPr>
        <w:pStyle w:val="Bibliography"/>
      </w:pPr>
      <w:r>
        <w:t xml:space="preserve">Douthe C., Dreyer E., Brendel O. &amp;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&amp;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Payton P., Bange M.P., Broughton K.J., Smith R.A., Medlyn B.E. &amp;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&amp;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&amp;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&amp;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&amp;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&amp;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&amp;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&amp;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&amp;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&amp;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&amp;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&amp;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&amp;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&amp;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&amp;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&amp;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Prentice I.C., Wang H., Baig S., … Others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&amp;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&amp; Lajtha K. (2007) Sources of variation in the stable isotopic composition of plants. In:</w:t>
      </w:r>
      <w:r>
        <w:t xml:space="preserve"> </w:t>
      </w:r>
      <w:r>
        <w:rPr>
          <w:i/>
        </w:rPr>
        <w:t xml:space="preserve">Stable isotopes in ecology and environmental science</w:t>
      </w:r>
      <w:r>
        <w:t xml:space="preserve"> </w:t>
      </w:r>
      <w:r>
        <w:t xml:space="preserve">(eds Michener R, Lajtha K), pp. 22–60. Blackwell Publishing Ltd, Oxford, UK.</w:t>
      </w:r>
    </w:p>
    <w:p>
      <w:pPr>
        <w:pStyle w:val="Bibliography"/>
      </w:pPr>
      <w:r>
        <w:t xml:space="preserve">Medlyn B.E., Dreyer E., Ellsworth D., Forstreuter M., Harley P.C., Kirschbaum M.U.F., … Others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Ellsworth D.S., Prentice I.C., Barton C.V.M., … Wingate 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Monsi M. &amp;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&amp; Gulmon S.L. (1979) Environmental and evolutionary constraints on the photosynthetic characteristics of higher plants. In:</w:t>
      </w:r>
      <w:r>
        <w:t xml:space="preserve"> </w:t>
      </w:r>
      <w:r>
        <w:rPr>
          <w:i/>
        </w:rPr>
        <w:t xml:space="preserve">Topics in plant population biology</w:t>
      </w:r>
      <w:r>
        <w:t xml:space="preserve">, Vols. 316-337 (eds Solbrig OT, Jain S, Johnson GB, Raven PH). Springer, New York.</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&amp;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Kinana A., Mabiala A., Roupsard O., … Saint-André 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&amp;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&amp;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&amp;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&amp;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&amp;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&amp;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&amp;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&amp;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&amp;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&amp;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&amp;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&amp;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&amp;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&amp;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&amp;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&amp;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&amp;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&amp;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&amp;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&amp;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&amp;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CRC Press, 410 pp.</w:t>
      </w:r>
    </w:p>
    <w:p>
      <w:pPr>
        <w:pStyle w:val="Bibliography"/>
      </w:pPr>
      <w:r>
        <w:t xml:space="preserve">Wright I.J., Reich P.B. &amp;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2dfa5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