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 2 4570 1421</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 </w:t>
      </w:r>
      <w:r>
        <w:rPr>
          <w:b/>
        </w:rPr>
        <w:t xml:space="preserve">Running Title</w:t>
      </w:r>
      <w:r>
        <w:br w:type="textWrapping"/>
      </w:r>
      <w:r>
        <w:t xml:space="preserve">Mesophyll conductance response to light</w:t>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index"/>
      <w:bookmarkEnd w:id="23"/>
      <w:r>
        <w:t xml:space="preserve">Keyword index</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vapour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w:t>
      </w:r>
      <w:r>
        <w:t xml:space="preserve">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10763.888888888889"/>
        <w:tblLook w:firstRow="1"/>
      </w:tblPr>
      <w:tblGrid>
        <w:gridCol w:w="1100"/>
        <w:gridCol w:w="1870"/>
        <w:gridCol w:w="1650"/>
        <w:gridCol w:w="1650"/>
        <w:gridCol w:w="1650"/>
        <w:gridCol w:w="187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&amp;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Vårhammar A., Ghannoum O., Tissue D.T., … Tjoelker M.G. (2016) Convergent acclimation of leaf photosynthesis and respiration to prevailing ambient temperatures under current and warmer climates in Eucalyptus tereticornis.</w:t>
      </w:r>
      <w:r>
        <w:t xml:space="preserve"> </w:t>
      </w:r>
      <w:r>
        <w:rPr>
          <w:i/>
        </w:rPr>
        <w:t xml:space="preserve">New Phytologist</w:t>
      </w:r>
      <w:r>
        <w:t xml:space="preserve"> </w:t>
      </w:r>
      <w:r>
        <w:t xml:space="preserve">in press.</w:t>
      </w:r>
    </w:p>
    <w:p>
      <w:pPr>
        <w:pStyle w:val="Bibliography"/>
      </w:pPr>
      <w:r>
        <w:t xml:space="preserve">Baldocchi D.D., Wilson K.B. &amp;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&amp;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&amp;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Buckley T.N., Cescatti A. &amp;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&amp;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&amp;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&amp;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&amp;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&amp;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rPr>
          <w:b/>
        </w:rPr>
        <w:t xml:space="preserve">62</w:t>
      </w:r>
      <w:r>
        <w:t xml:space="preserve">, 5335–5346.</w:t>
      </w:r>
    </w:p>
    <w:p>
      <w:pPr>
        <w:pStyle w:val="Bibliography"/>
      </w:pPr>
      <w:r>
        <w:t xml:space="preserve">Douthe C., Dreyer E., Brendel O. &amp;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&amp;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(2015)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t xml:space="preserve">Duursma R.A., Payton P., Bange M.P., Broughton K.J., Smith R.A., Medlyn B.E. &amp;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&amp;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&amp;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&amp;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&amp;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&amp;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&amp;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&amp;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&amp;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&amp;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&amp;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&amp;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&amp;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&amp;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&amp;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&amp;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Prentice I.C., Wang H., Baig S., … Others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&amp;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&amp; Lajtha K. (2007) Sources of variation in the stable isotopic composition of plants. In:</w:t>
      </w:r>
      <w:r>
        <w:t xml:space="preserve"> </w:t>
      </w:r>
      <w:r>
        <w:rPr>
          <w:i/>
        </w:rPr>
        <w:t xml:space="preserve">Stable isotopes in ecology and environmental science</w:t>
      </w:r>
      <w:r>
        <w:t xml:space="preserve"> </w:t>
      </w:r>
      <w:r>
        <w:t xml:space="preserve">(eds Michener R, Lajtha K), pp. 22–60. Blackwell Publishing Ltd, Oxford, UK.</w:t>
      </w:r>
    </w:p>
    <w:p>
      <w:pPr>
        <w:pStyle w:val="Bibliography"/>
      </w:pPr>
      <w:r>
        <w:t xml:space="preserve">Medlyn B.E., Dreyer E., Ellsworth D., Forstreuter M., Harley P.C., Kirschbaum M.U.F., … Others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Ellsworth D.S., Prentice I.C., Barton C.V.M., … Wingate 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Monsi M. &amp;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&amp; Gulmon S.L. (1979) Environmental and evolutionary constraints on the photosynthetic characteristics of higher plants. In:</w:t>
      </w:r>
      <w:r>
        <w:t xml:space="preserve"> </w:t>
      </w:r>
      <w:r>
        <w:rPr>
          <w:i/>
        </w:rPr>
        <w:t xml:space="preserve">Topics in plant population biology</w:t>
      </w:r>
      <w:r>
        <w:t xml:space="preserve">, Vols. 316-337 (eds Solbrig OT, Jain S, Johnson GB, Raven PH). Springer, New York.</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&amp;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Kinana A., Mabiala A., Roupsard O., … Saint-André 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&amp;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&amp;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&amp;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&amp;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&amp;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&amp;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&amp;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&amp;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&amp;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&amp;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&amp;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&amp;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&amp;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&amp;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&amp;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&amp;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&amp;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&amp;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&amp;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&amp;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&amp;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CRC Press, 410 pp.</w:t>
      </w:r>
    </w:p>
    <w:p>
      <w:pPr>
        <w:pStyle w:val="Bibliography"/>
      </w:pPr>
      <w:r>
        <w:t xml:space="preserve">Wright I.J., Reich P.B. &amp;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c3dd5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