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1.71 (0.21) a</w:t>
            </w:r>
          </w:p>
        </w:tc>
        <w:tc>
          <w:p>
            <w:pPr>
              <w:pStyle w:val="Compact"/>
              <w:jc w:val="left"/>
            </w:pPr>
            <w:r>
              <w:t xml:space="preserve">-0.32 (0.04) a</w:t>
            </w:r>
          </w:p>
        </w:tc>
        <w:tc>
          <w:p>
            <w:pPr>
              <w:pStyle w:val="Compact"/>
              <w:jc w:val="left"/>
            </w:pPr>
            <w:r>
              <w:t xml:space="preserve">-1.60 (0.11)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1.78 (0.18) a</w:t>
            </w:r>
          </w:p>
        </w:tc>
        <w:tc>
          <w:p>
            <w:pPr>
              <w:pStyle w:val="Compact"/>
              <w:jc w:val="left"/>
            </w:pPr>
            <w:r>
              <w:t xml:space="preserve">-0.32 (0.03) a</w:t>
            </w:r>
          </w:p>
        </w:tc>
        <w:tc>
          <w:p>
            <w:pPr>
              <w:pStyle w:val="Compact"/>
              <w:jc w:val="left"/>
            </w:pPr>
            <w:r>
              <w:t xml:space="preserve">-1.70 (0.10)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2.73 (0.22) b</w:t>
            </w:r>
          </w:p>
        </w:tc>
        <w:tc>
          <w:p>
            <w:pPr>
              <w:pStyle w:val="Compact"/>
              <w:jc w:val="left"/>
            </w:pPr>
            <w:r>
              <w:t xml:space="preserve">-0.27 (0.02) a</w:t>
            </w:r>
          </w:p>
        </w:tc>
        <w:tc>
          <w:p>
            <w:pPr>
              <w:pStyle w:val="Compact"/>
              <w:jc w:val="left"/>
            </w:pPr>
            <w:r>
              <w:t xml:space="preserve">-1.60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2.79 (0.22) b</w:t>
            </w:r>
          </w:p>
        </w:tc>
        <w:tc>
          <w:p>
            <w:pPr>
              <w:pStyle w:val="Compact"/>
              <w:jc w:val="left"/>
            </w:pPr>
            <w:r>
              <w:t xml:space="preserve">-0.29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e23b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