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w:t>
      </w:r>
      <w:r>
        <w:rPr>
          <w:i/>
        </w:rP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w:t>
      </w:r>
      <w:r>
        <w:rPr>
          <w:i/>
        </w:rPr>
        <w:t xml:space="preserve">R</w:t>
      </w:r>
      <w:r>
        <w:rPr>
          <w:vertAlign w:val="superscript"/>
        </w:rPr>
        <w:t xml:space="preserve">2</w:t>
      </w:r>
      <w:r>
        <w:t xml:space="preserve"> </w:t>
      </w:r>
      <w:r>
        <w:t xml:space="preserve">= 0.16 and 0.08, respectively).</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w:t>
      </w:r>
      <w:r>
        <w:t xml:space="preserve"> </w:t>
      </w:r>
      <w:r>
        <w:rPr>
          <w:i/>
        </w:rPr>
        <w:t xml:space="preserve">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w:t>
      </w:r>
      <w:r>
        <w:rPr>
          <w:i/>
        </w:rPr>
        <w:t xml:space="preserve">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w:t>
      </w:r>
      <w:r>
        <w:t xml:space="preserve">1986)</w:t>
      </w:r>
      <w:r>
        <w:t xml:space="preserve">.</w:t>
      </w:r>
      <w:r>
        <w:t xml:space="preserve"> </w:t>
      </w:r>
      <w:r>
        <w:rPr>
          <w:i/>
        </w:rPr>
        <w:t xml:space="preserve">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t xml:space="preserve">Crous K.Y., Zaragoza-Castells J., Ellsworth D.S., Duursma R.A., Loew M., Tissue D.T. &amp;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t xml:space="preserve">Evans J.R. &amp; von Caemmerer S. (2013)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t xml:space="preserve">Evans J.R., Sharkey T.D., Berry J.A. &amp; Farquhar G.D. (1986)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t xml:space="preserve">Farquhar G.D. &amp; Cernusak L.A. (2012)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t xml:space="preserve">Griffiths H. &amp; Helliker B.R. (2013)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E2E55">
          <w:rPr>
            <w:noProof/>
          </w:rPr>
          <w:t>10</w:t>
        </w:r>
        <w:r>
          <w:rPr>
            <w:noProof/>
          </w:rPr>
          <w:fldChar w:fldCharType="end"/>
        </w:r>
      </w:p>
    </w:sdtContent>
  </w:sdt>
  <w:p w:rsidR="006710CF" w:rsidRDefault="00376A1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f32c1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8E2E55"/>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