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3.png" ContentType="image/png"/>
  <Override PartName="/word/media/rId24.png" ContentType="image/png"/>
  <Override PartName="/word/media/rId25.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tables"/>
      <w:bookmarkEnd w:id="21"/>
      <w:r>
        <w:t xml:space="preserve">Tables</w:t>
      </w:r>
    </w:p>
    <w:p>
      <w:pPr>
        <w:pStyle w:val="FirstParagraph"/>
      </w:pPr>
      <w:r>
        <w:rPr>
          <w:i/>
        </w:rPr>
        <w:t xml:space="preserve">jmax vcmax values</w:t>
      </w:r>
      <w:r>
        <w:t xml:space="preserve"> </w:t>
      </w:r>
      <w:r>
        <w:rPr>
          <w:b/>
        </w:rPr>
        <w:t xml:space="preserve">Table S1</w:t>
      </w:r>
      <w:r>
        <w:t xml:space="preserve">. Leaf morphological and physiological traits of sun and shade leaves under ambient and elevated temperature treatments for</w:t>
      </w:r>
      <w:r>
        <w:t xml:space="preserve"> </w:t>
      </w:r>
      <w:r>
        <w:rPr>
          <w:i/>
        </w:rPr>
        <w:t xml:space="preserve">Eucalyptus tereticornis</w:t>
      </w:r>
      <w:r>
        <w:t xml:space="preserve">. Values of</w:t>
      </w:r>
      <w:r>
        <w:t xml:space="preserve"> </w:t>
      </w:r>
      <w:r>
        <w:rPr>
          <w:i/>
        </w:rPr>
        <w:t xml:space="preserve">V</w:t>
      </w:r>
      <w:r>
        <w:rPr>
          <w:vertAlign w:val="subscript"/>
        </w:rPr>
        <w:t xml:space="preserve">cmax</w:t>
      </w:r>
      <w:r>
        <w:t xml:space="preserve"> </w:t>
      </w:r>
      <w:r>
        <w:t xml:space="preserve">and</w:t>
      </w:r>
      <w:r>
        <w:t xml:space="preserve"> </w:t>
      </w:r>
      <w:r>
        <w:rPr>
          <w:i/>
        </w:rPr>
        <w:t xml:space="preserve">J</w:t>
      </w:r>
      <w:r>
        <w:rPr>
          <w:vertAlign w:val="subscript"/>
        </w:rPr>
        <w:t xml:space="preserve">max</w:t>
      </w:r>
      <w:r>
        <w:t xml:space="preserve"> </w:t>
      </w:r>
      <w:r>
        <w:t xml:space="preserve">are treatment mean (± 1 standard error) from A-</w:t>
      </w:r>
      <w:r>
        <w:rPr>
          <w:i/>
        </w:rPr>
        <w:t xml:space="preserve">C</w:t>
      </w:r>
      <w:r>
        <w:rPr>
          <w:vertAlign w:val="subscript"/>
        </w:rPr>
        <w:t xml:space="preserve">i</w:t>
      </w:r>
      <w:r>
        <w:t xml:space="preserve"> </w:t>
      </w:r>
      <w:r>
        <w:t xml:space="preserve">curves measured in each chamber at 25 °C and saturating light. Different letters represent significant differences between leaf type and temperature treatments (based on a Tukey test). The P value represents the overall effect between each unique combination of leaf type and temperature treatment for each trait.</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J</w:t>
            </w:r>
            <w:r>
              <w:rPr>
                <w:vertAlign w:val="subscript"/>
                <w:b/>
              </w:rPr>
              <w:t xml:space="preserve">max</w:t>
            </w:r>
          </w:p>
        </w:tc>
      </w:tr>
      <w:tr>
        <w:tc>
          <w:p>
            <w:pPr>
              <w:pStyle w:val="Compact"/>
              <w:jc w:val="left"/>
            </w:pPr>
            <w:r>
              <w:t xml:space="preserve">Sun</w:t>
            </w:r>
          </w:p>
        </w:tc>
        <w:tc>
          <w:p>
            <w:pPr>
              <w:pStyle w:val="Compact"/>
              <w:jc w:val="left"/>
            </w:pPr>
            <w:r>
              <w:t xml:space="preserve">AT</w:t>
            </w:r>
          </w:p>
        </w:tc>
        <w:tc>
          <w:p>
            <w:pPr>
              <w:pStyle w:val="Compact"/>
              <w:jc w:val="left"/>
            </w:pPr>
            <w:r>
              <w:t xml:space="preserve">96.3 (5.9) b</w:t>
            </w:r>
          </w:p>
        </w:tc>
        <w:tc>
          <w:p>
            <w:pPr>
              <w:pStyle w:val="Compact"/>
              <w:jc w:val="left"/>
            </w:pPr>
            <w:r>
              <w:t xml:space="preserve">146.1 (11.2) c</w:t>
            </w:r>
          </w:p>
        </w:tc>
      </w:tr>
      <w:tr>
        <w:tc>
          <w:p>
            <w:pStyle w:val="Compact"/>
          </w:p>
        </w:tc>
        <w:tc>
          <w:p>
            <w:pPr>
              <w:pStyle w:val="Compact"/>
              <w:jc w:val="left"/>
            </w:pPr>
            <w:r>
              <w:t xml:space="preserve">ET</w:t>
            </w:r>
          </w:p>
        </w:tc>
        <w:tc>
          <w:p>
            <w:pPr>
              <w:pStyle w:val="Compact"/>
              <w:jc w:val="left"/>
            </w:pPr>
            <w:r>
              <w:t xml:space="preserve">84.8 (10.5) b</w:t>
            </w:r>
          </w:p>
        </w:tc>
        <w:tc>
          <w:p>
            <w:pPr>
              <w:pStyle w:val="Compact"/>
              <w:jc w:val="left"/>
            </w:pPr>
            <w:r>
              <w:t xml:space="preserve">130.3 (11.6) bc</w:t>
            </w:r>
          </w:p>
        </w:tc>
      </w:tr>
      <w:tr>
        <w:tc>
          <w:p>
            <w:pPr>
              <w:pStyle w:val="Compact"/>
              <w:jc w:val="left"/>
            </w:pPr>
            <w:r>
              <w:t xml:space="preserve">Shade</w:t>
            </w:r>
          </w:p>
        </w:tc>
        <w:tc>
          <w:p>
            <w:pPr>
              <w:pStyle w:val="Compact"/>
              <w:jc w:val="left"/>
            </w:pPr>
            <w:r>
              <w:t xml:space="preserve">AT</w:t>
            </w:r>
          </w:p>
        </w:tc>
        <w:tc>
          <w:p>
            <w:pPr>
              <w:pStyle w:val="Compact"/>
              <w:jc w:val="left"/>
            </w:pPr>
            <w:r>
              <w:t xml:space="preserve">84.0 (3.5) ab</w:t>
            </w:r>
          </w:p>
        </w:tc>
        <w:tc>
          <w:p>
            <w:pPr>
              <w:pStyle w:val="Compact"/>
              <w:jc w:val="left"/>
            </w:pPr>
            <w:r>
              <w:t xml:space="preserve">112.7 (5.2) ab</w:t>
            </w:r>
          </w:p>
        </w:tc>
      </w:tr>
      <w:tr>
        <w:tc>
          <w:p>
            <w:pStyle w:val="Compact"/>
          </w:p>
        </w:tc>
        <w:tc>
          <w:p>
            <w:pPr>
              <w:pStyle w:val="Compact"/>
              <w:jc w:val="left"/>
            </w:pPr>
            <w:r>
              <w:t xml:space="preserve">ET</w:t>
            </w:r>
          </w:p>
        </w:tc>
        <w:tc>
          <w:p>
            <w:pPr>
              <w:pStyle w:val="Compact"/>
              <w:jc w:val="left"/>
            </w:pPr>
            <w:r>
              <w:t xml:space="preserve">66.8 (5.0) a</w:t>
            </w:r>
          </w:p>
        </w:tc>
        <w:tc>
          <w:p>
            <w:pPr>
              <w:pStyle w:val="Compact"/>
              <w:jc w:val="left"/>
            </w:pPr>
            <w:r>
              <w:t xml:space="preserve">95.6 (5.9) a</w:t>
            </w:r>
          </w:p>
        </w:tc>
      </w:tr>
      <w:tr>
        <w:tc>
          <w:p>
            <w:pPr>
              <w:pStyle w:val="Compact"/>
              <w:jc w:val="left"/>
            </w:pPr>
            <w:r>
              <w:t xml:space="preserve">P value</w:t>
            </w:r>
          </w:p>
        </w:tc>
        <w:tc>
          <w:p>
            <w:pStyle w:val="Compact"/>
          </w:p>
        </w:tc>
        <w:tc>
          <w:p>
            <w:pPr>
              <w:pStyle w:val="Compact"/>
              <w:jc w:val="left"/>
            </w:pPr>
            <w:r>
              <w:t xml:space="preserve">0.028</w:t>
            </w:r>
          </w:p>
        </w:tc>
        <w:tc>
          <w:p>
            <w:pPr>
              <w:pStyle w:val="Compact"/>
              <w:jc w:val="left"/>
            </w:pPr>
            <w:r>
              <w:t xml:space="preserve">0.002</w:t>
            </w:r>
          </w:p>
        </w:tc>
      </w:tr>
    </w:tbl>
    <w:p>
      <w:pPr>
        <w:pStyle w:val="Heading2"/>
      </w:pPr>
      <w:bookmarkStart w:id="22" w:name="figures"/>
      <w:bookmarkEnd w:id="22"/>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3"/>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4"/>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w:t>
      </w:r>
      <w:r>
        <w:rPr>
          <w:i/>
        </w:rP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5"/>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w:t>
      </w:r>
      <w:r>
        <w:rPr>
          <w:i/>
        </w:rPr>
        <w:t xml:space="preserve">R</w:t>
      </w:r>
      <w:r>
        <w:rPr>
          <w:vertAlign w:val="superscript"/>
        </w:rPr>
        <w:t xml:space="preserve">2</w:t>
      </w:r>
      <w:r>
        <w:t xml:space="preserve"> </w:t>
      </w:r>
      <w:r>
        <w:t xml:space="preserve">= 0.16 and 0.08, respectively).</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6"/>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w:t>
      </w:r>
      <w:r>
        <w:t xml:space="preserve"> </w:t>
      </w:r>
      <w:r>
        <w:rPr>
          <w:i/>
        </w:rPr>
        <w:t xml:space="preserve">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w:t>
      </w:r>
      <w:r>
        <w:rPr>
          <w:i/>
        </w:rPr>
        <w:t xml:space="preserve">R</w:t>
      </w:r>
      <w:r>
        <w:rPr>
          <w:vertAlign w:val="superscript"/>
        </w:rPr>
        <w:t xml:space="preserve">2</w:t>
      </w:r>
      <w:r>
        <w:t xml:space="preserve"> </w:t>
      </w:r>
      <w:r>
        <w:t xml:space="preserve">= 0.73, 0.58 and 0.72, respectively).</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SuppInfo_files/figure-docx/acicurves-1.png" id="0" name="Picture"/>
                    <pic:cNvPicPr>
                      <a:picLocks noChangeArrowheads="1" noChangeAspect="1"/>
                    </pic:cNvPicPr>
                  </pic:nvPicPr>
                  <pic:blipFill>
                    <a:blip r:embed="rId27"/>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S5</w:t>
      </w:r>
      <w:r>
        <w:t xml:space="preserve">. Photosynthetic capacity, photosynthesis rate and leaf nitrogen for sun and shade leaves. (a) A-</w:t>
      </w:r>
      <w:r>
        <w:rPr>
          <w:i/>
        </w:rPr>
        <w:t xml:space="preserve">C</w:t>
      </w:r>
      <w:r>
        <w:rPr>
          <w:vertAlign w:val="subscript"/>
        </w:rPr>
        <w:t xml:space="preserve">i</w:t>
      </w:r>
      <w:r>
        <w:t xml:space="preserve"> </w:t>
      </w:r>
      <w:r>
        <w:t xml:space="preserve">curves for sun and shade leaves grown under elevated (ET) and ambient (AT) temperature treatments. A-</w:t>
      </w:r>
      <w:r>
        <w:rPr>
          <w:i/>
        </w:rPr>
        <w:t xml:space="preserve">C</w:t>
      </w:r>
      <w:r>
        <w:rPr>
          <w:vertAlign w:val="subscript"/>
        </w:rPr>
        <w:t xml:space="preserve">i</w:t>
      </w:r>
      <w:r>
        <w:t xml:space="preserve"> </w:t>
      </w:r>
      <w:r>
        <w:t xml:space="preserve">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w:t>
      </w:r>
      <w:r>
        <w:t xml:space="preserve"> </w:t>
      </w:r>
      <w:r>
        <w:rPr>
          <w:i/>
        </w:rPr>
        <w:t xml:space="preserve">V</w:t>
      </w:r>
      <w:r>
        <w:rPr>
          <w:vertAlign w:val="subscript"/>
        </w:rPr>
        <w:t xml:space="preserve">cmax</w:t>
      </w:r>
      <w:r>
        <w:t xml:space="preserve"> </w:t>
      </w:r>
      <w:r>
        <w:t xml:space="preserve">and mean leaf N per area (</w:t>
      </w:r>
      <w:r>
        <w:rPr>
          <w:i/>
        </w:rPr>
        <w:t xml:space="preserve">N</w:t>
      </w:r>
      <w:r>
        <w:rPr>
          <w:vertAlign w:val="subscript"/>
        </w:rPr>
        <w:t xml:space="preserve">a</w:t>
      </w:r>
      <w:r>
        <w:t xml:space="preserve">) for each chamber, including sun leaves and shade leaves at low light. For (b) the dashed line represents the significant linear model fit for all leaves, with a marginal and conditional</w:t>
      </w:r>
      <w:r>
        <w:t xml:space="preserve"> </w:t>
      </w:r>
      <w:r>
        <w:rPr>
          <w:i/>
        </w:rPr>
        <w:t xml:space="preserve">R</w:t>
      </w:r>
      <w:r>
        <w:rPr>
          <w:vertAlign w:val="superscript"/>
        </w:rPr>
        <w:t xml:space="preserve">2</w:t>
      </w:r>
      <w:r>
        <w:t xml:space="preserve"> </w:t>
      </w:r>
      <w:r>
        <w:t xml:space="preserve">of 0.28 and 0.35.</w:t>
      </w:r>
    </w:p>
    <w:p>
      <w:pPr>
        <w:pStyle w:val="Heading2"/>
      </w:pPr>
      <w:bookmarkStart w:id="28" w:name="methods-s1"/>
      <w:bookmarkEnd w:id="28"/>
      <w:r>
        <w:t xml:space="preserve">Methods S1</w:t>
      </w:r>
    </w:p>
    <w:p>
      <w:pPr>
        <w:pStyle w:val="Heading3"/>
      </w:pPr>
      <w:bookmarkStart w:id="29" w:name="description-of-the-calculation-of-gm-from-carbon-isotope-discrimination-during-c3-photosynthesis"/>
      <w:bookmarkEnd w:id="29"/>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w:t>
      </w:r>
      <w:r>
        <w:t xml:space="preserve">1986)</w:t>
      </w:r>
      <w:r>
        <w:t xml:space="preserve">.</w:t>
      </w:r>
      <w:r>
        <w:t xml:space="preserve"> </w:t>
      </w:r>
      <w:r>
        <w:rPr>
          <w:i/>
        </w:rPr>
        <w:t xml:space="preserve">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2"/>
      </w:pPr>
      <w:bookmarkStart w:id="30" w:name="methods-s2"/>
      <w:bookmarkEnd w:id="30"/>
      <w:r>
        <w:t xml:space="preserve">Methods S2</w:t>
      </w:r>
    </w:p>
    <w:p>
      <w:pPr>
        <w:pStyle w:val="Heading3"/>
      </w:pPr>
      <w:bookmarkStart w:id="31" w:name="photosynthetic-parameters-from-a-ci-curves"/>
      <w:bookmarkEnd w:id="31"/>
      <w:r>
        <w:t xml:space="preserve">Photosynthetic parameters from A-</w:t>
      </w:r>
      <w:r>
        <w:rPr>
          <w:i/>
        </w:rPr>
        <w:t xml:space="preserve">C</w:t>
      </w:r>
      <w:r>
        <w:rPr>
          <w:vertAlign w:val="subscript"/>
        </w:rPr>
        <w:t xml:space="preserve">i</w:t>
      </w:r>
      <w:r>
        <w:t xml:space="preserve"> </w:t>
      </w:r>
      <w:r>
        <w:t xml:space="preserve">curves</w:t>
      </w:r>
    </w:p>
    <w:p>
      <w:pPr>
        <w:pStyle w:val="FirstParagraph"/>
      </w:pPr>
      <w:r>
        <w:t xml:space="preserve">From each A-</w:t>
      </w:r>
      <w:r>
        <w:rPr>
          <w:i/>
        </w:rPr>
        <w:t xml:space="preserve">C</w:t>
      </w:r>
      <w:r>
        <w:rPr>
          <w:vertAlign w:val="subscript"/>
        </w:rPr>
        <w:t xml:space="preserve">i</w:t>
      </w:r>
      <w:r>
        <w:t xml:space="preserve"> </w:t>
      </w:r>
      <w:r>
        <w:t xml:space="preserve">curve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photosynthesis model of Farquhar et al.</w:t>
      </w:r>
      <w:r>
        <w:t xml:space="preserve"> </w:t>
      </w:r>
      <w:r>
        <w:t xml:space="preserve">(1980)</w:t>
      </w:r>
      <w:r>
        <w:t xml:space="preserve">. We used the 'fitaci' function in the 'plantecophys' package in R, see Duursma</w:t>
      </w:r>
      <w:r>
        <w:t xml:space="preserve"> </w:t>
      </w:r>
      <w:r>
        <w:t xml:space="preserve">(2015)</w:t>
      </w:r>
      <w:r>
        <w:t xml:space="preserve"> </w:t>
      </w:r>
      <w:r>
        <w:t xml:space="preserve">for detailed description of the fitting methods. This method uses non-linear regression to estimate</w:t>
      </w:r>
      <w:r>
        <w:t xml:space="preserve">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 </w:t>
      </w:r>
      <w:r>
        <w:t xml:space="preserve">and</w:t>
      </w:r>
      <w:r>
        <w:t xml:space="preserve"> </w:t>
      </w:r>
      <w:r>
        <w:rPr>
          <w:i/>
        </w:rPr>
        <w:t xml:space="preserve">R</w:t>
      </w:r>
      <w:r>
        <w:rPr>
          <w:vertAlign w:val="subscript"/>
        </w:rPr>
        <w:t xml:space="preserve">dark</w:t>
      </w:r>
      <w:r>
        <w:t xml:space="preserve"> </w:t>
      </w:r>
      <w:r>
        <w:t xml:space="preserve">simultaneously. Because there was considerable practical difficulty in fitting A-</w:t>
      </w:r>
      <w:r>
        <w:rPr>
          <w:i/>
        </w:rPr>
        <w:t xml:space="preserve">C</w:t>
      </w:r>
      <w:r>
        <w:rPr>
          <w:vertAlign w:val="subscript"/>
        </w:rPr>
        <w:t xml:space="preserve">c</w:t>
      </w:r>
      <w:r>
        <w:t xml:space="preserve"> </w:t>
      </w:r>
      <w:r>
        <w:t xml:space="preserve">curves, we report standard</w:t>
      </w:r>
      <w:r>
        <w:t xml:space="preserve"> </w:t>
      </w:r>
      <w:r>
        <w:rPr>
          <w:i/>
        </w:rPr>
        <w:t xml:space="preserve">C</w:t>
      </w:r>
      <w:r>
        <w:rPr>
          <w:vertAlign w:val="subscript"/>
        </w:rPr>
        <w:t xml:space="preserve">i</w:t>
      </w:r>
      <w:r>
        <w:t xml:space="preserve">-based</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which effectively include a mesophyll conductance component. When fitting the A-</w:t>
      </w:r>
      <w:r>
        <w:rPr>
          <w:i/>
        </w:rPr>
        <w:t xml:space="preserve">C</w:t>
      </w:r>
      <w:r>
        <w:rPr>
          <w:vertAlign w:val="subscript"/>
        </w:rPr>
        <w:t xml:space="preserve">i</w:t>
      </w:r>
      <w:r>
        <w:t xml:space="preserve"> </w:t>
      </w:r>
      <w:r>
        <w:t xml:space="preserve">curves, we calculated</w:t>
      </w:r>
      <w:r>
        <w:t xml:space="preserve"> </w:t>
      </w:r>
      <m:oMath>
        <m:sSub>
          <m:e>
            <m:r>
              <m:rPr/>
              <m:t>Γ</m:t>
            </m:r>
          </m:e>
          <m:sub>
            <m:r>
              <m:rPr/>
              <m:t>*</m:t>
            </m:r>
          </m:sub>
        </m:sSub>
      </m:oMath>
      <w:r>
        <w:t xml:space="preserve"> </w:t>
      </w:r>
      <w:r>
        <w:t xml:space="preserve">with the same methods as for</w:t>
      </w:r>
      <w:r>
        <w:t xml:space="preserve"> </w:t>
      </w:r>
      <w:r>
        <w:rPr>
          <w:i/>
        </w:rPr>
        <w:t xml:space="preserve">g</w:t>
      </w:r>
      <w:r>
        <w:rPr>
          <w:vertAlign w:val="subscript"/>
        </w:rPr>
        <w:t xml:space="preserve">m</w:t>
      </w:r>
      <w:r>
        <w:t xml:space="preserve">, described above (the estimated value at 25°C was 38.9</w:t>
      </w:r>
      <w:r>
        <w:t xml:space="preserve"> </w:t>
      </w:r>
      <m:oMath>
        <m:r>
          <m:rPr/>
          <m:t>μ</m:t>
        </m:r>
      </m:oMath>
      <w:r>
        <w:t xml:space="preserve">mol mol</w:t>
      </w:r>
      <w:r>
        <w:rPr>
          <w:vertAlign w:val="superscript"/>
        </w:rPr>
        <w:t xml:space="preserve">-1</w:t>
      </w:r>
      <w:r>
        <w:t xml:space="preserve">), and the combined Michaelis-Menten coefficient (</w:t>
      </w:r>
      <w:r>
        <w:rPr>
          <w:i/>
        </w:rPr>
        <w:t xml:space="preserve">K</w:t>
      </w:r>
      <w:r>
        <w:rPr>
          <w:vertAlign w:val="subscript"/>
        </w:rPr>
        <w:t xml:space="preserve">m</w:t>
      </w:r>
      <w:r>
        <w:t xml:space="preserve">) was estimated from Medlyn et al.</w:t>
      </w:r>
      <w:r>
        <w:t xml:space="preserve"> </w:t>
      </w:r>
      <w:r>
        <w:t xml:space="preserve">(2002)</w:t>
      </w:r>
      <w:r>
        <w:t xml:space="preserve"> </w:t>
      </w:r>
      <w:r>
        <w:t xml:space="preserve">(713.4</w:t>
      </w:r>
      <w:r>
        <w:t xml:space="preserve"> </w:t>
      </w:r>
      <m:oMath>
        <m:r>
          <m:rPr/>
          <m:t>μ</m:t>
        </m:r>
      </m:oMath>
      <w:r>
        <w:t xml:space="preserve">mol mol</w:t>
      </w:r>
      <w:r>
        <w:rPr>
          <w:vertAlign w:val="superscript"/>
        </w:rPr>
        <w:t xml:space="preserve">-1</w:t>
      </w:r>
      <w:r>
        <w:t xml:space="preserve"> </w:t>
      </w:r>
      <w:r>
        <w:t xml:space="preserve">at 25°C, using a</w:t>
      </w:r>
      <w:r>
        <w:t xml:space="preserve"> </w:t>
      </w:r>
      <w:r>
        <w:rPr>
          <w:i/>
        </w:rPr>
        <w:t xml:space="preserve">K</w:t>
      </w:r>
      <w:r>
        <w:rPr>
          <w:vertAlign w:val="subscript"/>
        </w:rPr>
        <w:t xml:space="preserve">c</w:t>
      </w:r>
      <w:r>
        <w:t xml:space="preserve"> </w:t>
      </w:r>
      <w:r>
        <w:t xml:space="preserve">of 405</w:t>
      </w:r>
      <w:r>
        <w:t xml:space="preserve"> </w:t>
      </w:r>
      <m:oMath>
        <m:r>
          <m:rPr/>
          <m:t>μ</m:t>
        </m:r>
      </m:oMath>
      <w:r>
        <w:t xml:space="preserve">mol mol</w:t>
      </w:r>
      <w:r>
        <w:rPr>
          <w:vertAlign w:val="superscript"/>
        </w:rPr>
        <w:t xml:space="preserve">-1</w:t>
      </w:r>
      <w:r>
        <w:t xml:space="preserve">, with an atmospheric pressure of 100 kPa). The temperature response parameters for</w:t>
      </w:r>
      <w:r>
        <w:t xml:space="preserve">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 </w:t>
      </w:r>
      <w:r>
        <w:t xml:space="preserve">and</w:t>
      </w:r>
      <w:r>
        <w:t xml:space="preserve"> </w:t>
      </w:r>
      <w:r>
        <w:rPr>
          <w:i/>
        </w:rPr>
        <w:t xml:space="preserve">K</w:t>
      </w:r>
      <w:r>
        <w:rPr>
          <w:vertAlign w:val="subscript"/>
        </w:rPr>
        <w:t xml:space="preserve">m</w:t>
      </w:r>
      <w:r>
        <w:t xml:space="preserve"> </w:t>
      </w:r>
      <w:r>
        <w:t xml:space="preserve">are not relevant since</w:t>
      </w:r>
      <w:r>
        <w:t xml:space="preserve"> </w:t>
      </w:r>
      <w:r>
        <w:rPr>
          <w:i/>
        </w:rPr>
        <w:t xml:space="preserve">T</w:t>
      </w:r>
      <w:r>
        <w:rPr>
          <w:vertAlign w:val="subscript"/>
        </w:rPr>
        <w:t xml:space="preserve">leaf</w:t>
      </w:r>
      <w:r>
        <w:t xml:space="preserve"> </w:t>
      </w:r>
      <w:r>
        <w:t xml:space="preserve">was kept constant at 25°C.</w:t>
      </w:r>
    </w:p>
    <w:p>
      <w:pPr>
        <w:pStyle w:val="Heading1"/>
      </w:pPr>
      <w:bookmarkStart w:id="32" w:name="references"/>
      <w:bookmarkEnd w:id="32"/>
      <w:r>
        <w:t xml:space="preserve">References</w:t>
      </w:r>
    </w:p>
    <w:p>
      <w:pPr>
        <w:pStyle w:val="Bibliography"/>
      </w:pPr>
      <w:r>
        <w:t xml:space="preserve">Crous K.Y., Zaragoza-Castells J., Ellsworth D.S., Duursma R.A., Loew M., Tissue D.T. &amp;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t xml:space="preserve">Duursma R.A. (2015)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t xml:space="preserve">Evans J.R. &amp; von Caemmerer S. (2013)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t xml:space="preserve">Evans J.R., Sharkey T.D., Berry J.A. &amp; Farquhar G.D. (1986)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t xml:space="preserve">Farquhar G.D. &amp; Cernusak L.A. (2012)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t xml:space="preserve">Farquhar G.D., Caemmerer S. von &amp; Berry J.A. (1980)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t xml:space="preserve">Griffiths H. &amp; Helliker B.R. (2013)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t xml:space="preserve">Medlyn B.E., Dreyer E., Ellsworth D., Forstreuter M., Harley P.C., Kirschbaum M.U.F., … Others (2002)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E2E55">
          <w:rPr>
            <w:noProof/>
          </w:rPr>
          <w:t>10</w:t>
        </w:r>
        <w:r>
          <w:rPr>
            <w:noProof/>
          </w:rPr>
          <w:fldChar w:fldCharType="end"/>
        </w:r>
      </w:p>
    </w:sdtContent>
  </w:sdt>
  <w:p w:rsidR="006710CF" w:rsidRDefault="00376A1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005c2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8E2E55"/>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