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3.png" ContentType="image/png"/>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p>
    <w:p>
      <w:pPr>
        <w:pStyle w:val="FirstParagraph"/>
      </w:pPr>
      <w:r>
        <w:t xml:space="preserve">Article title: Coupled response of stomatal and mesophyll conductance to light enhances photosynthesis of shade leaves under sunflecks.</w:t>
      </w:r>
    </w:p>
    <w:p>
      <w:pPr>
        <w:pStyle w:val="BodyText"/>
      </w:pPr>
      <w:r>
        <w:t xml:space="preserve">Authors: Courtney E. Campany, Mark G. Tjoelker, Susanne von Caemmerer, Remko A. Duursma.</w:t>
      </w:r>
    </w:p>
    <w:p>
      <w:pPr>
        <w:pStyle w:val="Heading2"/>
      </w:pPr>
      <w:bookmarkStart w:id="21" w:name="figures"/>
      <w:bookmarkEnd w:id="21"/>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SuppInfo_files/figure-docx/airvars-1.png" id="0" name="Picture"/>
                    <pic:cNvPicPr>
                      <a:picLocks noChangeArrowheads="1" noChangeAspect="1"/>
                    </pic:cNvPicPr>
                  </pic:nvPicPr>
                  <pic:blipFill>
                    <a:blip r:embed="rId22"/>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SuppInfo_files/figure-docx/deltacica-1.png" id="0" name="Picture"/>
                    <pic:cNvPicPr>
                      <a:picLocks noChangeArrowheads="1" noChangeAspect="1"/>
                    </pic:cNvPicPr>
                  </pic:nvPicPr>
                  <pic:blipFill>
                    <a:blip r:embed="rId23"/>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w:t>
      </w:r>
      <w:r>
        <w:t xml:space="preserve"> </w:t>
      </w:r>
      <w:r>
        <w:rPr>
          <w:i/>
        </w:rPr>
        <w:t xml:space="preserve">C</w:t>
      </w:r>
      <w:r>
        <w:rPr>
          <w:vertAlign w:val="subscript"/>
        </w:rPr>
        <w:t xml:space="preserve">i</w:t>
      </w:r>
      <w:r>
        <w:t xml:space="preserve">/</w:t>
      </w:r>
      <w:r>
        <w:rPr>
          <w:i/>
        </w:rP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7653564"/>
            <wp:effectExtent b="0" l="0" r="0" t="0"/>
            <wp:docPr descr="" id="1" name="Picture"/>
            <a:graphic>
              <a:graphicData uri="http://schemas.openxmlformats.org/drawingml/2006/picture">
                <pic:pic>
                  <pic:nvPicPr>
                    <pic:cNvPr descr="manuscript_gmes_SuppInfo_files/figure-docx/gasex_temp3-1.png" id="0" name="Picture"/>
                    <pic:cNvPicPr>
                      <a:picLocks noChangeArrowheads="1" noChangeAspect="1"/>
                    </pic:cNvPicPr>
                  </pic:nvPicPr>
                  <pic:blipFill>
                    <a:blip r:embed="rId24"/>
                    <a:stretch>
                      <a:fillRect/>
                    </a:stretch>
                  </pic:blipFill>
                  <pic:spPr bwMode="auto">
                    <a:xfrm>
                      <a:off x="0" y="0"/>
                      <a:ext cx="5943600" cy="7653564"/>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rPr>
        <w:t xml:space="preserve">n</w:t>
      </w:r>
      <w:r>
        <w:t xml:space="preserve"> </w:t>
      </w:r>
      <w:r>
        <w:t xml:space="preserve">(a),</w:t>
      </w:r>
      <w:r>
        <w:t xml:space="preserve"> </w:t>
      </w:r>
      <w:r>
        <w:rPr>
          <w:i/>
        </w:rPr>
        <w:t xml:space="preserve">g</w:t>
      </w:r>
      <w:r>
        <w:rPr>
          <w:vertAlign w:val="subscript"/>
        </w:rPr>
        <w:t xml:space="preserve">m</w:t>
      </w:r>
      <w:r>
        <w:t xml:space="preserve"> </w:t>
      </w:r>
      <w:r>
        <w:t xml:space="preserve">(b) and</w:t>
      </w:r>
      <w:r>
        <w:t xml:space="preserve"> </w:t>
      </w:r>
      <w:r>
        <w:rPr>
          <w:i/>
        </w:rPr>
        <w:t xml:space="preserve">C</w:t>
      </w:r>
      <w:r>
        <w:rPr>
          <w:vertAlign w:val="subscript"/>
        </w:rPr>
        <w:t xml:space="preserve">i</w:t>
      </w:r>
      <w:r>
        <w:t xml:space="preserve">-</w:t>
      </w:r>
      <w:r>
        <w:rPr>
          <w:i/>
        </w:rPr>
        <w:t xml:space="preserve">C</w:t>
      </w:r>
      <w:r>
        <w:rPr>
          <w:vertAlign w:val="subscript"/>
        </w:rPr>
        <w:t xml:space="preserve">c</w:t>
      </w:r>
      <w:r>
        <w:t xml:space="preserve"> </w:t>
      </w:r>
      <w:r>
        <w:t xml:space="preserve">to leaf temperature for sun leaves and shade leaves at low and high light. Shaded symbols represent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w:t>
      </w:r>
      <w:r>
        <w:t xml:space="preserve"> </w:t>
      </w:r>
      <w:r>
        <w:rPr>
          <w:i/>
        </w:rPr>
        <w:t xml:space="preserve">g</w:t>
      </w:r>
      <w:r>
        <w:rPr>
          <w:vertAlign w:val="subscript"/>
        </w:rPr>
        <w:t xml:space="preserve">m</w:t>
      </w:r>
      <w:r>
        <w:t xml:space="preserve"> </w:t>
      </w:r>
      <w:r>
        <w:t xml:space="preserve">and increasing leaf temperature were detected with sun and shade leaves under their local light environment (</w:t>
      </w:r>
      <w:r>
        <w:rPr>
          <w:i/>
        </w:rPr>
        <w:t xml:space="preserve">R</w:t>
      </w:r>
      <w:r>
        <w:rPr>
          <w:vertAlign w:val="superscript"/>
        </w:rPr>
        <w:t xml:space="preserve">2</w:t>
      </w:r>
      <w:r>
        <w:t xml:space="preserve"> </w:t>
      </w:r>
      <w:r>
        <w:t xml:space="preserve">= 0.16 and 0.08, respectively).</w:t>
      </w:r>
      <w:r>
        <w:br w:type="textWrapping"/>
      </w:r>
      <w:r>
        <w:drawing>
          <wp:inline>
            <wp:extent cx="5943600" cy="7653564"/>
            <wp:effectExtent b="0" l="0" r="0" t="0"/>
            <wp:docPr descr="" id="1" name="Picture"/>
            <a:graphic>
              <a:graphicData uri="http://schemas.openxmlformats.org/drawingml/2006/picture">
                <pic:pic>
                  <pic:nvPicPr>
                    <pic:cNvPr descr="manuscript_gmes_SuppInfo_files/figure-docx/gasex_temp4-1.png" id="0" name="Picture"/>
                    <pic:cNvPicPr>
                      <a:picLocks noChangeArrowheads="1" noChangeAspect="1"/>
                    </pic:cNvPicPr>
                  </pic:nvPicPr>
                  <pic:blipFill>
                    <a:blip r:embed="rId25"/>
                    <a:stretch>
                      <a:fillRect/>
                    </a:stretch>
                  </pic:blipFill>
                  <pic:spPr bwMode="auto">
                    <a:xfrm>
                      <a:off x="0" y="0"/>
                      <a:ext cx="5943600" cy="7653564"/>
                    </a:xfrm>
                    <a:prstGeom prst="rect">
                      <a:avLst/>
                    </a:prstGeom>
                    <a:noFill/>
                    <a:ln w="9525">
                      <a:noFill/>
                      <a:headEnd/>
                      <a:tailEnd/>
                    </a:ln>
                  </pic:spPr>
                </pic:pic>
              </a:graphicData>
            </a:graphic>
          </wp:inline>
        </w:drawing>
      </w:r>
      <w:r>
        <w:br w:type="textWrapping"/>
      </w:r>
      <w:r>
        <w:rPr>
          <w:b/>
        </w:rPr>
        <w:t xml:space="preserve">Figure S4</w:t>
      </w:r>
      <w:r>
        <w:t xml:space="preserve">. Response of VPD (a),</w:t>
      </w:r>
      <w:r>
        <w:t xml:space="preserve"> </w:t>
      </w:r>
      <w:r>
        <w:rPr>
          <w:i/>
        </w:rPr>
        <w:t xml:space="preserve">g</w:t>
      </w:r>
      <w:r>
        <w:rPr>
          <w:vertAlign w:val="subscript"/>
        </w:rPr>
        <w:t xml:space="preserve">s</w:t>
      </w:r>
      <w:r>
        <w:t xml:space="preserve"> </w:t>
      </w:r>
      <w:r>
        <w:t xml:space="preserve">(b) and</w:t>
      </w:r>
      <w:r>
        <w:t xml:space="preserve"> </w:t>
      </w:r>
      <w:r>
        <w:rPr>
          <w:i/>
        </w:rPr>
        <w:t xml:space="preserve">C</w:t>
      </w:r>
      <w:r>
        <w:rPr>
          <w:vertAlign w:val="subscript"/>
        </w:rPr>
        <w:t xml:space="preserve">a</w:t>
      </w:r>
      <w:r>
        <w:t xml:space="preserve">-</w:t>
      </w:r>
      <w:r>
        <w:rPr>
          <w:i/>
        </w:rP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w:t>
      </w:r>
      <w:r>
        <w:rPr>
          <w:i/>
        </w:rPr>
        <w:t xml:space="preserve">R</w:t>
      </w:r>
      <w:r>
        <w:rPr>
          <w:vertAlign w:val="superscript"/>
        </w:rPr>
        <w:t xml:space="preserve">2</w:t>
      </w:r>
      <w:r>
        <w:t xml:space="preserve"> </w:t>
      </w:r>
      <w:r>
        <w:t xml:space="preserve">= 0.73, 0.58 and 0.72, respectively).</w:t>
      </w:r>
    </w:p>
    <w:p>
      <w:pPr>
        <w:pStyle w:val="Heading2"/>
      </w:pPr>
      <w:bookmarkStart w:id="26" w:name="methods-s1"/>
      <w:bookmarkEnd w:id="26"/>
      <w:r>
        <w:t xml:space="preserve">Methods S1</w:t>
      </w:r>
    </w:p>
    <w:p>
      <w:pPr>
        <w:pStyle w:val="Heading3"/>
      </w:pPr>
      <w:bookmarkStart w:id="27" w:name="description-of-the-calculation-of-gm-from-carbon-isotope-discrimination-during-c3-photosynthesis"/>
      <w:bookmarkEnd w:id="27"/>
      <w:r>
        <w:t xml:space="preserve">Description of the calculation of</w:t>
      </w:r>
      <w:r>
        <w:t xml:space="preserve"> </w:t>
      </w:r>
      <w:r>
        <w:rPr>
          <w:i/>
        </w:rPr>
        <w:t xml:space="preserve">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w:t>
      </w:r>
      <w:r>
        <w:t xml:space="preserve"> </w:t>
      </w:r>
      <w:r>
        <w:rPr>
          <w:i/>
        </w:rPr>
        <w:t xml:space="preserve">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the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w:t>
      </w:r>
      <w:r>
        <w:t xml:space="preserve"> </w:t>
      </w:r>
      <w:r>
        <w:rPr>
          <w:i/>
        </w:rPr>
        <w:t xml:space="preserve">C</w:t>
      </w:r>
      <w:r>
        <w:rPr>
          <w:vertAlign w:val="subscript"/>
        </w:rPr>
        <w:t xml:space="preserve">i</w:t>
      </w:r>
      <w:r>
        <w:t xml:space="preserve"> </w:t>
      </w:r>
      <w:r>
        <w:t xml:space="preserve">=</w:t>
      </w:r>
      <w:r>
        <w:t xml:space="preserve"> </w:t>
      </w:r>
      <w:r>
        <w:rPr>
          <w:i/>
        </w:rPr>
        <w:t xml:space="preserve">C</w:t>
      </w:r>
      <w:r>
        <w:rPr>
          <w:vertAlign w:val="subscript"/>
        </w:rPr>
        <w:t xml:space="preserve">c</w:t>
      </w:r>
      <w:r>
        <w:t xml:space="preserve">,</w:t>
      </w:r>
      <w:r>
        <w:t xml:space="preserve"> </w:t>
      </w:r>
      <w:r>
        <w:rPr>
          <w:i/>
        </w:rPr>
        <w:t xml:space="preserve">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w:t>
      </w:r>
      <w:r>
        <w:t xml:space="preserve"> </w:t>
      </w:r>
      <w:r>
        <w:rPr>
          <w:i/>
        </w:rPr>
        <w:t xml:space="preserve">C</w:t>
      </w:r>
      <w:r>
        <w:rPr>
          <w:vertAlign w:val="subscript"/>
        </w:rPr>
        <w:t xml:space="preserve">a</w:t>
      </w:r>
      <w:r>
        <w:t xml:space="preserve"> </w:t>
      </w:r>
      <w:r>
        <w:t xml:space="preserve">and</w:t>
      </w:r>
      <w:r>
        <w:t xml:space="preserve"> </w:t>
      </w:r>
      <w:r>
        <w:rPr>
          <w:i/>
        </w:rPr>
        <w:t xml:space="preserve">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w:t>
      </w:r>
      <w:r>
        <w:t xml:space="preserve"> </w:t>
      </w:r>
      <w:r>
        <w:rPr>
          <w:i/>
        </w:rPr>
        <w:t xml:space="preserve">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w:t>
      </w:r>
      <w:r>
        <w:t xml:space="preserve"> </w:t>
      </w:r>
      <w:r>
        <w:rPr>
          <w:i/>
        </w:rPr>
        <w:t xml:space="preserve">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w:t>
      </w:r>
      <w:r>
        <w:t xml:space="preserve"> </w:t>
      </w:r>
      <w:r>
        <w:rPr>
          <w:i/>
        </w:rPr>
        <w:t xml:space="preserve">g</w:t>
      </w:r>
      <w:r>
        <w:rPr>
          <w:vertAlign w:val="subscript"/>
        </w:rPr>
        <w:t xml:space="preserve">m</w:t>
      </w:r>
      <w:r>
        <w:t xml:space="preserve"> </w:t>
      </w:r>
      <w:r>
        <w:t xml:space="preserve">and</w:t>
      </w:r>
      <w:r>
        <w:t xml:space="preserve"> </w:t>
      </w:r>
      <w:r>
        <w:rPr>
          <w:i/>
        </w:rPr>
        <w:t xml:space="preserve">g</w:t>
      </w:r>
      <w:r>
        <w:rPr>
          <w:vertAlign w:val="subscript"/>
        </w:rPr>
        <w:t xml:space="preserve">s</w:t>
      </w:r>
      <w:r>
        <w:t xml:space="preserve"> </w:t>
      </w:r>
      <w:r>
        <w:t xml:space="preserve">can be made.</w:t>
      </w:r>
    </w:p>
    <w:p>
      <w:pPr>
        <w:pStyle w:val="Heading1"/>
      </w:pPr>
      <w:bookmarkStart w:id="28" w:name="references"/>
      <w:bookmarkEnd w:id="28"/>
      <w:r>
        <w:t xml:space="preserve">References</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7ab8e1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dc:title>
  <dc:creator/>
</cp:coreProperties>
</file>