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4.png" ContentType="image/png"/>
  <Override PartName="/word/media/rId46.png" ContentType="image/png"/>
  <Override PartName="/word/media/rId53.png" ContentType="image/png"/>
  <Override PartName="/word/media/rId48.png" ContentType="image/png"/>
  <Override PartName="/word/media/rId51.png" ContentType="image/png"/>
  <Override PartName="/word/media/rId50.png" ContentType="image/png"/>
  <Override PartName="/word/media/rId55.png" ContentType="image/png"/>
  <Override PartName="/word/media/rId56.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photosynthesis (</w:t>
      </w:r>
      <w:r>
        <w:rPr>
          <w:i/>
        </w:rPr>
        <w:t xml:space="preserve">A</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photosynthesis (</w:t>
      </w:r>
      <w:r>
        <w:rPr>
          <w:i/>
        </w:rPr>
        <w:t xml:space="preserve">A</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w:t>
      </w:r>
      <w:r>
        <w:t xml:space="preserve"> </w:t>
      </w:r>
      <w:r>
        <w:rPr>
          <w:i/>
        </w:rPr>
        <w:t xml:space="preserve">A</w:t>
      </w:r>
      <w:r>
        <w:t xml:space="preserve">, including leaf nitrogen (N) and supply of water, are also partially defined by canopy light gradients. As</w:t>
      </w:r>
      <w:r>
        <w:t xml:space="preserve"> </w:t>
      </w:r>
      <w:r>
        <w:rPr>
          <w:i/>
        </w:rPr>
        <w:t xml:space="preserve">A</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t xml:space="preserve"> </w:t>
      </w:r>
      <w:r>
        <w:t xml:space="preserve">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t xml:space="preserve"> </w:t>
      </w:r>
      <w:r>
        <w:t xml:space="preserve">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r>
        <w:br w:type="textWrapping"/>
      </w:r>
      <w:r>
        <w:t xml:space="preserve">1. If whole tree canopies are optimized for C gain, then leaf N, hydraulic conductance and biochemical photosynthetic capacity are predicted to be higher in sun leaves compared to shade leaves.</w:t>
      </w:r>
    </w:p>
    <w:p>
      <w:r>
        <w:br w:type="textWrapping"/>
      </w:r>
      <w:r>
        <w:t xml:space="preserve">2. Stomatal conductance is proportional to</w:t>
      </w:r>
      <w:r>
        <w:t xml:space="preserve"> </w:t>
      </w:r>
      <w:r>
        <w:rPr>
          <w:i/>
        </w:rPr>
        <w:t xml:space="preserve">A</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t xml:space="preserve"> </w:t>
      </w:r>
      <w:r>
        <w:t xml:space="preserve">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w:t>
      </w:r>
      <w:r>
        <w:rPr>
          <w:i/>
        </w:rPr>
        <w:t xml:space="preserve">A</w:t>
      </w:r>
      <w:r>
        <w:t xml:space="preserve">)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m:t>
              </m:r>
              <m:r>
                <m:rPr>
                  <m:sty m:val="p"/>
                </m:rPr>
                <m:t>A</m:t>
              </m:r>
              <m:r>
                <m:rPr>
                  <m:sty m:val="p"/>
                </m:rPr>
                <m:t>*</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six measurement campaigns over the 7 month period PPFD was reduced on average by &gt;75% in the shade (Figure 1). Leaf-specific hydraulic conductance (K)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r>
        <w:br w:type="textWrapping"/>
      </w:r>
      <w:r>
        <w:t xml:space="preserve">Mean A 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 A across gas exchange campaigns and leaf types measured under ambient light and temperature conditions (P &lt; 0.001, Figure 2c). Following an increase in light intensity to match high-light conditions, A of shade leaves increased to values significantly greater than sun leaves at high light (P &lt; 0.001, Table 2). No effect of the warming treatment was detected on A 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 use efficiency</w:t>
      </w:r>
    </w:p>
    <w:p>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 A 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g1 value for each leaf type and treatment (Figure 5a). Within leaf types and light treatments the response of VPD to leaf temperature was similar across all measurement campaigns (Figure S4a).</w:t>
      </w:r>
    </w:p>
    <w:p>
      <w:r>
        <w:br w:type="textWrapping"/>
      </w:r>
      <w:r>
        <w:t xml:space="preserve">Bulk-leaf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t>
      </w:r>
      <m:oMath>
        <m:nary>
          <m:naryPr>
            <m:chr m:val="Δ"/>
            <m:limLoc m:val="subSup"/>
            <m:supHide m:val="off"/>
            <m:supHide m:val="off"/>
          </m:naryPr>
          <m:e/>
          <m:sub>
            <m:r>
              <m:rPr>
                <m:sty m:val="p"/>
              </m:rPr>
              <m:t>o</m:t>
            </m:r>
          </m:sub>
          <m:sup/>
        </m:nary>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than shade leaves at low light (Figure 6). Carbon isotope discrimination associated with g</w:t>
      </w:r>
      <w:r>
        <w:rPr>
          <w:vertAlign w:val="subscript"/>
        </w:rPr>
        <w:t xml:space="preserve">m</w:t>
      </w:r>
      <w:r>
        <w:t xml:space="preserve"> </w:t>
      </w:r>
      <w:r>
        <w:t xml:space="preserve">accounted for the majority of</w:t>
      </w:r>
      <w:r>
        <w:t xml:space="preserve"> </w:t>
      </w:r>
      <m:oMath>
        <m:nary>
          <m:naryPr>
            <m:chr m:val="Δ"/>
            <m:limLoc m:val="subSup"/>
            <m:supHide m:val="off"/>
            <m:supHide m:val="off"/>
          </m:naryPr>
          <m:e/>
          <m:sub>
            <m:r>
              <m:rPr>
                <m:sty m:val="p"/>
              </m:rPr>
              <m:t>o</m:t>
            </m:r>
          </m:sub>
          <m:sup/>
        </m:nary>
      </m:oMath>
      <w:r>
        <w:t xml:space="preserve"> </w:t>
      </w:r>
      <w:r>
        <w:t xml:space="preserve">(69.7±0.4%) and varied little across measurement temperatures, leaf types, or warming treatments. The remainder</w:t>
      </w:r>
      <w:r>
        <w:t xml:space="preserve"> </w:t>
      </w:r>
      <m:oMath>
        <m:nary>
          <m:naryPr>
            <m:chr m:val="Δ"/>
            <m:limLoc m:val="subSup"/>
            <m:supHide m:val="off"/>
            <m:supHide m:val="off"/>
          </m:naryPr>
          <m:e/>
          <m:sub>
            <m:r>
              <m:rPr>
                <m:sty m:val="p"/>
              </m:rPr>
              <m:t>o</m:t>
            </m:r>
          </m:sub>
          <m:sup/>
        </m:nary>
      </m:oMath>
      <w:r>
        <w:t xml:space="preserve"> </w:t>
      </w:r>
      <w:r>
        <w:t xml:space="preserve">consists of the contributions of g</w:t>
      </w:r>
      <w:r>
        <w:rPr>
          <w:vertAlign w:val="subscript"/>
        </w:rPr>
        <w:t xml:space="preserve">s</w:t>
      </w:r>
      <w:r>
        <w:t xml:space="preserve">, respiration and photorespiration to discrimination.</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 A 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 A (Figure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S2) and A-Ci 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w:t>
      </w:r>
      <w:r>
        <w:t xml:space="preserve">Von Caemmerer</w:t>
      </w:r>
      <w:r>
        <w:t xml:space="preserve"> </w:t>
      </w:r>
      <w:r>
        <w:t xml:space="preserve">&amp;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r>
        <w:t xml:space="preserve">Here we show that A 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 A.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 A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 A were all reduced in shade leaves. Leaf mass area, however, was not different between sun and shade leaves. This could be due to leaf formation under comparative light conditions or possible differences in total non-structural carbohydrates contents between leaf types.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Thus, no direct relationship between water supply and N distribution or A within the canopy were detected.</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likely prevalent long term. From a canopy perspective this pattern in water use efficiency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 A 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inefficient water use in shade leaves is important as we hypothesized that g</w:t>
      </w:r>
      <w:r>
        <w:rPr>
          <w:vertAlign w:val="subscript"/>
        </w:rPr>
        <w:t xml:space="preserve">s</w:t>
      </w:r>
      <w:r>
        <w:t xml:space="preserve"> </w:t>
      </w:r>
      <w:r>
        <w:t xml:space="preserve">and A would be proportional across sun and shade leaves. In sun leaves, A and g</w:t>
      </w:r>
      <w:r>
        <w:rPr>
          <w:vertAlign w:val="subscript"/>
        </w:rPr>
        <w:t xml:space="preserve">s</w:t>
      </w:r>
      <w:r>
        <w:t xml:space="preserve"> </w:t>
      </w:r>
      <w:r>
        <w:t xml:space="preserve">were strongly correlated, exhibiting behaviour broadly consistent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w:t>
      </w:r>
      <w:r>
        <w:t xml:space="preserve">ü</w:t>
      </w:r>
      <w:r>
        <w:t xml:space="preserve">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 A 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WUE.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 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p>
      <w:pPr>
        <w:pStyle w:val="Heading1"/>
      </w:pPr>
      <w:bookmarkStart w:id="42" w:name="list-of-figures"/>
      <w:bookmarkEnd w:id="42"/>
      <w:r>
        <w:t xml:space="preserve">List of Figures</w:t>
      </w:r>
    </w:p>
    <w:p>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maximum daily air temperature during each campaign period.</w:t>
      </w:r>
    </w:p>
    <w:p>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rPr>
          <w:b/>
        </w:rPr>
        <w:t xml:space="preserve">Figure 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rPr>
          <w:b/>
        </w:rPr>
        <w:t xml:space="preserve">Figure 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r>
        <w:br w:type="textWrapping"/>
      </w:r>
      <w:r>
        <w:rPr>
          <w:b/>
        </w:rPr>
        <w:t xml:space="preserve">Figure 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Daily maximum and minimum temperature (a) and total daily PPFD (b) for each chamber across the experiment duration.</w:t>
      </w:r>
    </w:p>
    <w:p>
      <w:r>
        <w:br w:type="textWrapping"/>
      </w:r>
      <w:r>
        <w:rPr>
          <w:b/>
        </w:rPr>
        <w:t xml:space="preserve">Figure 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p>
    <w:p>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43" w:name="tables"/>
      <w:bookmarkEnd w:id="43"/>
      <w:r>
        <w:t xml:space="preserve">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6798493"/>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53"/>
                    <a:stretch>
                      <a:fillRect/>
                    </a:stretch>
                  </pic:blipFill>
                  <pic:spPr bwMode="auto">
                    <a:xfrm>
                      <a:off x="0" y="0"/>
                      <a:ext cx="5440680" cy="6992082"/>
                    </a:xfrm>
                    <a:prstGeom prst="rect">
                      <a:avLst/>
                    </a:prstGeom>
                    <a:noFill/>
                    <a:ln w="9525">
                      <a:noFill/>
                      <a:headEnd/>
                      <a:tailEnd/>
                    </a:ln>
                  </pic:spPr>
                </pic:pic>
              </a:graphicData>
            </a:graphic>
          </wp:inline>
        </w:drawing>
      </w:r>
    </w:p>
    <w:p>
      <w:r>
        <w:rPr>
          <w:b/>
        </w:rPr>
        <w:t xml:space="preserve">Figure S1</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S3</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S4</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w:t>
      </w:r>
      <w:r>
        <w:rPr>
          <w:b w:val="0"/>
          <w:b/>
        </w:rPr>
        <w:t xml:space="preserve">ü</w:t>
      </w:r>
      <w:r>
        <w:rPr>
          <w:b w:val="0"/>
          <w:b/>
        </w:rPr>
        <w:t xml:space="preserve">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w:t>
      </w:r>
      <w:r>
        <w:rPr>
          <w:b w:val="0"/>
          <w:b/>
        </w:rPr>
        <w:t xml:space="preserve">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w:t>
      </w:r>
      <w:r>
        <w:rPr>
          <w:b w:val="0"/>
          <w:b/>
        </w:rPr>
        <w:t xml:space="preserve">ö</w:t>
      </w:r>
      <w:r>
        <w:rPr>
          <w:b w:val="0"/>
          <w:b/>
        </w:rPr>
        <w:t xml:space="preserve">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8582d0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0f51c1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