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6.png" ContentType="image/png"/>
  <Override PartName="/word/media/rId49.png" ContentType="image/png"/>
  <Override PartName="/word/media/rId34.png" ContentType="image/png"/>
  <Override PartName="/word/media/rId48.png" ContentType="image/png"/>
  <Override PartName="/word/media/rId37.png" ContentType="image/png"/>
  <Override PartName="/word/media/rId42.png" ContentType="image/png"/>
  <Override PartName="/word/media/rId40.png" ContentType="image/png"/>
  <Override PartName="/word/media/rId50.png" ContentType="image/png"/>
  <Override PartName="/word/media/rId51.png" ContentType="image/png"/>
  <Override PartName="/word/media/rId32.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3</w:t>
      </w:r>
      <w:r>
        <w:br w:type="textWrapping"/>
      </w: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p>
    <w:p>
      <w:pPr>
        <w:pStyle w:val="BodyText"/>
      </w:pPr>
      <w:r>
        <w:br w:type="textWrapping"/>
      </w:r>
      <w:r>
        <w:rPr>
          <w:vertAlign w:val="superscript"/>
        </w:rPr>
        <w:t xml:space="preserve">2</w:t>
      </w:r>
      <w:r>
        <w:t xml:space="preserve"> </w:t>
      </w:r>
      <w:r>
        <w:t xml:space="preserve">Plant Science Division, Research School of Biology, The Australian National University, Canberra, ACT, Australia</w:t>
      </w:r>
    </w:p>
    <w:p>
      <w:pPr>
        <w:pStyle w:val="BodyText"/>
      </w:pPr>
      <w:r>
        <w:br w:type="textWrapping"/>
      </w:r>
      <w:r>
        <w:rPr>
          <w:i/>
        </w:rPr>
        <w:t xml:space="preserve">Corresponding author</w:t>
      </w:r>
      <w:r>
        <w:t xml:space="preserve">: Courtney Campany E:</w:t>
      </w:r>
      <w:r>
        <w:t xml:space="preserve"> </w:t>
      </w:r>
      <w:hyperlink r:id="rId21">
        <w:r>
          <w:rPr>
            <w:rStyle w:val="Hyperlink"/>
          </w:rPr>
          <w:t xml:space="preserve">courtneycampany@gmail.com</w:t>
        </w:r>
      </w:hyperlink>
    </w:p>
    <w:p>
      <w:pPr>
        <w:pStyle w:val="Heading1"/>
      </w:pPr>
      <w:bookmarkStart w:id="22" w:name="abstract"/>
      <w:bookmarkEnd w:id="22"/>
      <w:r>
        <w:t xml:space="preserve">3.1 Abstract</w:t>
      </w:r>
    </w:p>
    <w:p>
      <w:pPr>
        <w:pStyle w:val="FirstParagraph"/>
      </w:pPr>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w:t>
      </w:r>
      <w:r>
        <w:t xml:space="preserve"> </w:t>
      </w:r>
      <w:r>
        <w:rPr>
          <w:i/>
        </w:rPr>
        <w:t xml:space="preserve">A</w:t>
      </w:r>
      <w:r>
        <w:rPr>
          <w:vertAlign w:val="subscript"/>
          <w:i/>
        </w:rPr>
        <w:t xml:space="preserve">n</w:t>
      </w:r>
      <w:r>
        <w:t xml:space="preserve">,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w:t>
      </w:r>
      <w:r>
        <w:t xml:space="preserve"> </w:t>
      </w:r>
      <w:r>
        <w:rPr>
          <w:i/>
        </w:rPr>
        <w:t xml:space="preserve">A</w:t>
      </w:r>
      <w:r>
        <w:rPr>
          <w:vertAlign w:val="subscript"/>
          <w:i/>
        </w:rPr>
        <w:t xml:space="preserve">n</w:t>
      </w:r>
      <w:r>
        <w:t xml:space="preserve"> </w:t>
      </w:r>
      <w:r>
        <w:t xml:space="preserve">greater than sun leaves at the same photosynthetic photon flux density.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1"/>
      </w:pPr>
      <w:bookmarkStart w:id="23" w:name="introduction"/>
      <w:bookmarkEnd w:id="23"/>
      <w:r>
        <w:t xml:space="preserve">3.2 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and Saeki 2005)</w:t>
      </w:r>
      <w:r>
        <w:t xml:space="preserve">. Consequently, structural and functional properties of leaves are modified to efficiently use light</w:t>
      </w:r>
      <w:r>
        <w:t xml:space="preserve"> </w:t>
      </w:r>
      <w:r>
        <w:t xml:space="preserve">(Vogelman et al. 1996, Niinemets and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and Farquhar 1997, Linderson et al.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and Mooney 1986, Peltoniemi et al.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and Poorter 2001)</w:t>
      </w:r>
      <w:r>
        <w:t xml:space="preserve">. Sun leaves frequently experience greater water limitations in the upper canopy, despite effective vascular systems developed for high radiation loads and transpiration</w:t>
      </w:r>
      <w:r>
        <w:t xml:space="preserve"> </w:t>
      </w:r>
      <w:r>
        <w:t xml:space="preserve">(Sellin et al.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 et al.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 et al.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 et al. 2006, Sellin and Kupper 2007 , Sellin et al. 2008)</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 et al. 2012)</w:t>
      </w:r>
      <w:r>
        <w:t xml:space="preserve">. This is because stomata are hypothesized to exhibit an optimal behaviour to maximize C gain while simultaneously minimizing water loss through transpiration</w:t>
      </w:r>
      <w:r>
        <w:t xml:space="preserve"> </w:t>
      </w:r>
      <w:r>
        <w:t xml:space="preserve">(Cowan and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and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 et al. 2002, Warren et al. 2007)</w:t>
      </w:r>
      <w:r>
        <w:t xml:space="preserve">, yet the trade-offs that constrain this diffusion pathway are yet to be explicitly quantified. Stomatal and mesophyll conductance should not be considered independent of each other</w:t>
      </w:r>
      <w:r>
        <w:t xml:space="preserve"> </w:t>
      </w:r>
      <w:r>
        <w:t xml:space="preserve">(Griffiths and Helliker 2013)</w:t>
      </w:r>
      <w:r>
        <w:t xml:space="preserve">, but a lack of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 et al.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 et al. 2011, Way and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 et al.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 et al. 2009)</w:t>
      </w:r>
      <w:r>
        <w:t xml:space="preserve"> </w:t>
      </w:r>
      <w:r>
        <w:t xml:space="preserve">but was responsive to light in tobacco</w:t>
      </w:r>
      <w:r>
        <w:t xml:space="preserve"> </w:t>
      </w:r>
      <w:r>
        <w:t xml:space="preserve">(Flexas et al.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 et al.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 et al. 2002, Niinemets and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 et al. 1980, Medlyn et al.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pPr>
        <w:pStyle w:val="BodyText"/>
      </w:pPr>
      <w:r>
        <w:br w:type="textWrapping"/>
      </w:r>
      <w:r>
        <w:t xml:space="preserve">1. If whole tree canopies are optimized for C gain, then leaf N, hydraulic conductance and biochemical photosynthetic capacity are predicted to be higher in sun leaves compared to shade leaves.</w:t>
      </w:r>
    </w:p>
    <w:p>
      <w:pPr>
        <w:pStyle w:val="BodyText"/>
      </w:pPr>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pPr>
        <w:pStyle w:val="BodyText"/>
      </w:pPr>
      <w:r>
        <w:br w:type="textWrapping"/>
      </w:r>
      <w:r>
        <w:t xml:space="preserve">3. As shade leaves were expected to develop lower biochemical photosynthetic capacity,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pPr>
        <w:pStyle w:val="BodyText"/>
      </w:pPr>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may lead to stomatal closure.</w:t>
      </w:r>
    </w:p>
    <w:p>
      <w:pPr>
        <w:pStyle w:val="Heading1"/>
      </w:pPr>
      <w:bookmarkStart w:id="24" w:name="materials-and-methods"/>
      <w:bookmarkEnd w:id="24"/>
      <w:r>
        <w:t xml:space="preserve">3.3 Materials and Methods</w:t>
      </w:r>
    </w:p>
    <w:p>
      <w:pPr>
        <w:pStyle w:val="Heading2"/>
      </w:pPr>
      <w:bookmarkStart w:id="25" w:name="whole-tree-chamber-experimental-design"/>
      <w:bookmarkEnd w:id="25"/>
      <w:r>
        <w:t xml:space="preserve">3.3.1 Whole tree chamber experimental design</w:t>
      </w:r>
    </w:p>
    <w:p>
      <w:pPr>
        <w:pStyle w:val="FirstParagraph"/>
      </w:pPr>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 et al.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6" w:name="leaf-gas-exchange-online-carbon-isotope-discrimination-and-mesophyll-conductance"/>
      <w:bookmarkEnd w:id="26"/>
      <w:r>
        <w:t xml:space="preserve">3.3.2 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AT or ET WTC.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pPr>
        <w:pStyle w:val="BodyText"/>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and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sSub>
                  <m:e>
                    <m:r>
                      <m:rPr/>
                      <m:t>a</m:t>
                    </m:r>
                  </m:e>
                  <m:sub>
                    <m:r>
                      <m:rPr/>
                      <m:t>i</m:t>
                    </m:r>
                  </m:sub>
                </m:sSub>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r>
                      <m:rPr/>
                      <m:t>a</m:t>
                    </m:r>
                    <m:r>
                      <m:rPr/>
                      <m:t>′</m:t>
                    </m:r>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 et al.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pPr>
        <w:pStyle w:val="BodyText"/>
      </w:pPr>
      <w:r>
        <w:br w:type="textWrapping"/>
      </w:r>
      <w:r>
        <w:t xml:space="preserve">(11)</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BodyText"/>
      </w:pPr>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7" w:name="biochemical-parameters-of-photosynthesis"/>
      <w:bookmarkEnd w:id="27"/>
      <w:r>
        <w:t xml:space="preserve">3.3.3 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 et al.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Heading2"/>
      </w:pPr>
      <w:bookmarkStart w:id="28" w:name="leaf-chemistry-and-hydraulic-parameters"/>
      <w:bookmarkEnd w:id="28"/>
      <w:r>
        <w:t xml:space="preserve">3.3.4 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(12)</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 et al. 2011)</w:t>
      </w:r>
      <w:r>
        <w:t xml:space="preserve"> </w:t>
      </w:r>
      <w:r>
        <w:t xml:space="preserve">using non-linear regression, where k=0.5</w:t>
      </w:r>
      <w:r>
        <w:t xml:space="preserve"> </w:t>
      </w:r>
      <w:r>
        <w:t xml:space="preserve">(see Duursma et al.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 et al. 2015)</w:t>
      </w:r>
      <w:r>
        <w:t xml:space="preserve">.</w:t>
      </w:r>
    </w:p>
    <w:p>
      <w:pPr>
        <w:pStyle w:val="Heading2"/>
      </w:pPr>
      <w:bookmarkStart w:id="29" w:name="data-analysis"/>
      <w:bookmarkEnd w:id="29"/>
      <w:r>
        <w:t xml:space="preserve">3.3.5 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and Schielzeth 2013)</w:t>
      </w:r>
      <w:r>
        <w:t xml:space="preserve">. Confidence intervals (95 %) of mixed effect linear models were generated using bootstrapping methods with 999 simulations, using the bootMer function in the 'lme4' package</w:t>
      </w:r>
      <w:r>
        <w:t xml:space="preserve"> </w:t>
      </w:r>
      <w:r>
        <w:t xml:space="preserve">(Bates et al.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0" w:name="results"/>
      <w:bookmarkEnd w:id="30"/>
      <w:r>
        <w:t xml:space="preserve">3.4 Results</w:t>
      </w:r>
    </w:p>
    <w:p>
      <w:pPr>
        <w:pStyle w:val="Heading2"/>
      </w:pPr>
      <w:bookmarkStart w:id="31" w:name="leaf-resource-distribution"/>
      <w:bookmarkEnd w:id="31"/>
      <w:r>
        <w:t xml:space="preserve">3.4.1 Leaf resource distribution</w:t>
      </w:r>
    </w:p>
    <w:p>
      <w:pPr>
        <w:pStyle w:val="FirstParagraph"/>
      </w:pPr>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 (P &gt; 0.05).</w:t>
      </w:r>
      <w:r>
        <w:br w:type="textWrapping"/>
      </w:r>
      <w:r>
        <w:drawing>
          <wp:inline>
            <wp:extent cx="5422900" cy="542290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2"/>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694.444444444443"/>
        <w:tblLook w:firstRow="1"/>
      </w:tblPr>
      <w:tblGrid>
        <w:gridCol w:w="1100"/>
        <w:gridCol w:w="1870"/>
        <w:gridCol w:w="1650"/>
        <w:gridCol w:w="1650"/>
        <w:gridCol w:w="1650"/>
        <w:gridCol w:w="176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Heading2"/>
      </w:pPr>
      <w:bookmarkStart w:id="33" w:name="photosynthetic-capacity-and-leaf-photosynthesis-rates"/>
      <w:bookmarkEnd w:id="33"/>
      <w:r>
        <w:t xml:space="preserve">3.4.2 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r>
        <w:br w:type="textWrapping"/>
      </w:r>
      <w:r>
        <w:drawing>
          <wp:inline>
            <wp:extent cx="5422900" cy="6788040"/>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4"/>
                    <a:stretch>
                      <a:fillRect/>
                    </a:stretch>
                  </pic:blipFill>
                  <pic:spPr bwMode="auto">
                    <a:xfrm>
                      <a:off x="0" y="0"/>
                      <a:ext cx="5422900" cy="6788040"/>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pPr>
        <w:pStyle w:val="BodyText"/>
      </w:pPr>
      <w:r>
        <w:br w:type="textWrapping"/>
      </w:r>
      <w:r>
        <w:rPr>
          <w:b/>
        </w:rPr>
        <w:t xml:space="preserve">Table 3.2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5" w:name="stomatal-conductance-and-leaf-water-use-efficiency"/>
      <w:bookmarkEnd w:id="35"/>
      <w:r>
        <w:t xml:space="preserve">3.4.3 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r>
        <w:br w:type="textWrapping"/>
      </w:r>
      <w:r>
        <w:drawing>
          <wp:inline>
            <wp:extent cx="5422900" cy="542290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6"/>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3.3</w:t>
      </w:r>
      <w:r>
        <w:t xml:space="preserve">. The response of</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422900" cy="324922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7"/>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r>
        <w:br w:type="textWrapping"/>
      </w:r>
      <w:r>
        <w:drawing>
          <wp:inline>
            <wp:extent cx="5422900" cy="542290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8"/>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 et al. 2007)</w:t>
      </w:r>
      <w:r>
        <w:t xml:space="preserve">, was significantly lower in shade leaves compared to sun leaves by ca. 2‰ (Table 3.1).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3.5b),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9" w:name="leaf-carbon-isotope-discrimination-and-mesophyll-conductance"/>
      <w:bookmarkEnd w:id="39"/>
      <w:r>
        <w:t xml:space="preserve">3.4.4 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drawing>
          <wp:inline>
            <wp:extent cx="5422900" cy="542290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0"/>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3.S2) and AC</w:t>
      </w:r>
      <w:r>
        <w:rPr>
          <w:vertAlign w:val="subscript"/>
        </w:rPr>
        <w:t xml:space="preserve">i</w:t>
      </w:r>
      <w:r>
        <w:t xml:space="preserve"> </w:t>
      </w:r>
      <w:r>
        <w:t xml:space="preserve">curves revealed similar differences between sun and shade leaves.</w:t>
      </w:r>
    </w:p>
    <w:p>
      <w:pPr>
        <w:pStyle w:val="Heading2"/>
      </w:pPr>
      <w:bookmarkStart w:id="41" w:name="variation-in-intercellular-and-chloroplastic-co2-concentrations"/>
      <w:bookmarkEnd w:id="41"/>
      <w:r>
        <w:t xml:space="preserve">3.4.5 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and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r>
        <w:br w:type="textWrapping"/>
      </w:r>
      <w:r>
        <w:drawing>
          <wp:inline>
            <wp:extent cx="5422900" cy="324922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2"/>
                    <a:stretch>
                      <a:fillRect/>
                    </a:stretch>
                  </pic:blipFill>
                  <pic:spPr bwMode="auto">
                    <a:xfrm>
                      <a:off x="0" y="0"/>
                      <a:ext cx="5422900" cy="3249227"/>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1"/>
      </w:pPr>
      <w:bookmarkStart w:id="43" w:name="discussion"/>
      <w:bookmarkEnd w:id="43"/>
      <w:r>
        <w:t xml:space="preserve">3.5 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4" w:name="resource-distribution-and-photosynthetic-capacity"/>
      <w:bookmarkEnd w:id="44"/>
      <w:r>
        <w:t xml:space="preserve">3.5.1 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 et al.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 et al.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5" w:name="physiological-behaviour-of-sun-and-shade-leaves"/>
      <w:bookmarkEnd w:id="45"/>
      <w:r>
        <w:t xml:space="preserve">3.5.2 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 et al. 2014, Lin et al.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 et al.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 et al.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 et al. 2013)</w:t>
      </w:r>
      <w:r>
        <w:t xml:space="preserve">. This is because rapid increases in leaf temperature with sunflecks have been shown to inhibit C gain</w:t>
      </w:r>
      <w:r>
        <w:t xml:space="preserve"> </w:t>
      </w:r>
      <w:r>
        <w:t xml:space="preserve">(Leakey et al.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and Schneider 1993, Pepin and Livingston 1997, Leakey et al. 2002)</w:t>
      </w:r>
      <w:r>
        <w:t xml:space="preserve"> </w:t>
      </w:r>
      <w:r>
        <w:t xml:space="preserve">and understory plants, often in deep shade</w:t>
      </w:r>
      <w:r>
        <w:t xml:space="preserve"> </w:t>
      </w:r>
      <w:r>
        <w:t xml:space="preserve">(Chazdon and Pearcy 1991, Allen and Pearcy 2000, Brantley and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and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 et al. 2004, Heinen et al. 2009, Li et al.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 et al.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and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and Farquhar 1997)</w:t>
      </w:r>
      <w:r>
        <w:t xml:space="preserve">.</w:t>
      </w:r>
    </w:p>
    <w:p>
      <w:pPr>
        <w:pStyle w:val="Heading2"/>
      </w:pPr>
      <w:bookmarkStart w:id="46" w:name="conclusions"/>
      <w:bookmarkEnd w:id="46"/>
      <w:r>
        <w:t xml:space="preserve">3.5.3 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7" w:name="supporting-information"/>
      <w:bookmarkEnd w:id="47"/>
      <w:r>
        <w:t xml:space="preserve">3.6 Supporting Information</w:t>
      </w:r>
    </w:p>
    <w:p>
      <w:pPr>
        <w:pStyle w:val="FirstParagraph"/>
      </w:pPr>
      <w:r>
        <w:drawing>
          <wp:inline>
            <wp:extent cx="5422900" cy="6821664"/>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8"/>
                    <a:stretch>
                      <a:fillRect/>
                    </a:stretch>
                  </pic:blipFill>
                  <pic:spPr bwMode="auto">
                    <a:xfrm>
                      <a:off x="0" y="0"/>
                      <a:ext cx="5422900" cy="6821664"/>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daily maximum VPD (b) and total daily PPFD (c) for each chamber across the experiment duration.</w:t>
      </w:r>
      <w:r>
        <w:br w:type="textWrapping"/>
      </w:r>
      <w:r>
        <w:drawing>
          <wp:inline>
            <wp:extent cx="5422900" cy="542290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9"/>
                    <a:stretch>
                      <a:fillRect/>
                    </a:stretch>
                  </pic:blipFill>
                  <pic:spPr bwMode="auto">
                    <a:xfrm>
                      <a:off x="0" y="0"/>
                      <a:ext cx="5422900" cy="542290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0"/>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3.S3</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422900" cy="7757760"/>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1"/>
                    <a:stretch>
                      <a:fillRect/>
                    </a:stretch>
                  </pic:blipFill>
                  <pic:spPr bwMode="auto">
                    <a:xfrm>
                      <a:off x="0" y="0"/>
                      <a:ext cx="5422900" cy="7757760"/>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2" w:name="references"/>
      <w:bookmarkEnd w:id="52"/>
      <w:r>
        <w:t xml:space="preserve">References</w:t>
      </w:r>
    </w:p>
    <w:p>
      <w:pPr>
        <w:pStyle w:val="Bibliography"/>
      </w:pPr>
      <w:r>
        <w:t xml:space="preserve">Allen MT, Pearcy RW (2000) Stomatal behavior and photosynthetic performance under dynamic light regimes in a seasonally dry tropical rain forest. Oecologia 122:470–478.</w:t>
      </w:r>
    </w:p>
    <w:p>
      <w:pPr>
        <w:pStyle w:val="Bibliography"/>
      </w:pPr>
      <w:r>
        <w:t xml:space="preserve">Baldocchi DD, Wilson KB, Gu L (2002) How the environment, canopy structure and canopy physiological functioning influence carbon, water and energy fluxes of a temperate broad-leaved deciduous forest—an assessment with the biophysical model CANOAK. Tree Physiology 22:1065–1077.</w:t>
      </w:r>
    </w:p>
    <w:p>
      <w:pPr>
        <w:pStyle w:val="Bibliography"/>
      </w:pPr>
      <w:r>
        <w:t xml:space="preserve">Barton CVM, Ellsworth DS, Medlyn BE, Duursma RA, Tissue DT, Adams MA, Eamus D, Conroy JP, McMurtrie RE, Parsby J, Others (2010) Whole-tree chambers for elevated atmospheric CO_2 experimentation and tree scale flux measurements in south-eastern Australia: The Hawkesbury Forest Experiment. Agricultural and Forest Meteorology 150:941–951.</w:t>
      </w:r>
    </w:p>
    <w:p>
      <w:pPr>
        <w:pStyle w:val="Bibliography"/>
      </w:pPr>
      <w:r>
        <w:t xml:space="preserve">Bates D, Maechler M, Bolker B, Walker S (2015) Fitting Linear Mixed-Effects Models Using lme4. Journal of Statistical Software 67:1–48.</w:t>
      </w:r>
    </w:p>
    <w:p>
      <w:pPr>
        <w:pStyle w:val="Bibliography"/>
      </w:pPr>
      <w:r>
        <w:t xml:space="preserve">Boardman NK (1977) Comparative photosynthesis of sun and shade plants. Annual review of plant physiology 28:355–377.</w:t>
      </w:r>
    </w:p>
    <w:p>
      <w:pPr>
        <w:pStyle w:val="Bibliography"/>
      </w:pPr>
      <w:r>
        <w:t xml:space="preserve">Brantley ST, Young DR (2009) Contribution of sunflecks is minimal in expanding shrub thickets compared to temperate forest. Ecology 90:1021–1029.</w:t>
      </w:r>
    </w:p>
    <w:p>
      <w:pPr>
        <w:pStyle w:val="Bibliography"/>
      </w:pPr>
      <w:r>
        <w:t xml:space="preserve">Burgess SSO, Pittermann J, Dawson TE (2006) Hydraulic efficiency and safety of branch xylem increases with height in</w:t>
      </w:r>
      <w:r>
        <w:t xml:space="preserve"> </w:t>
      </w:r>
      <w:r>
        <w:rPr>
          <w:i/>
        </w:rPr>
        <w:t xml:space="preserve">Sequoia sempervirens</w:t>
      </w:r>
      <w:r>
        <w:t xml:space="preserve"> </w:t>
      </w:r>
      <w:r>
        <w:t xml:space="preserve">(D. Don) crowns. Plant, Cell &amp; Environment 29:229–239.</w:t>
      </w:r>
    </w:p>
    <w:p>
      <w:pPr>
        <w:pStyle w:val="Bibliography"/>
      </w:pPr>
      <w:r>
        <w:t xml:space="preserve">Chazdon RL, Pearcy RW (1991) The importance of sunflecks for forest understory plants. Bioscience:760–766.</w:t>
      </w:r>
    </w:p>
    <w:p>
      <w:pPr>
        <w:pStyle w:val="Bibliography"/>
      </w:pPr>
      <w:r>
        <w:t xml:space="preserve">Cowan IR, Farquhar GD (1977) Stomatal function in relation to leaf metabolism and environment. In: Symposia of the society for experimental biology.pp 471–505.</w:t>
      </w:r>
    </w:p>
    <w:p>
      <w:pPr>
        <w:pStyle w:val="Bibliography"/>
      </w:pPr>
      <w:r>
        <w:t xml:space="preserve">Crous KY, Zaragoza-Castells J, Ellsworth DS, Duursma RA, Loew M, Tissue DT, Atkin OK (2012) Light inhibition of leaf respiration in field-grown</w:t>
      </w:r>
      <w:r>
        <w:t xml:space="preserve"> </w:t>
      </w:r>
      <w:r>
        <w:rPr>
          <w:i/>
        </w:rPr>
        <w:t xml:space="preserve">Eucalyptus saligna</w:t>
      </w:r>
      <w:r>
        <w:t xml:space="preserve"> </w:t>
      </w:r>
      <w:r>
        <w:t xml:space="preserve">in whole-tree chambers under elevated atmospheric CO_2 and summer drought. Plant, cell &amp; environment 35:966–981.</w:t>
      </w:r>
    </w:p>
    <w:p>
      <w:pPr>
        <w:pStyle w:val="Bibliography"/>
      </w:pPr>
      <w:r>
        <w:t xml:space="preserve">De Pury DGG, Farquhar GD (1997) Simple scaling of photosynthesis from leaves to canopies without the errors of big-leaf models. Plant Cell and Environment 20:537–557.</w:t>
      </w:r>
    </w:p>
    <w:p>
      <w:pPr>
        <w:pStyle w:val="Bibliography"/>
      </w:pPr>
      <w:r>
        <w:t xml:space="preserve">Duursma RA (2015) Plantecophys - An R Package for Analysing and Modelling Leaf Gas Exchange Data. PLoS ONE 10</w:t>
      </w:r>
    </w:p>
    <w:p>
      <w:pPr>
        <w:pStyle w:val="Bibliography"/>
      </w:pPr>
      <w:r>
        <w:t xml:space="preserve">Duursma RA, Payton P, Bange MP, Broughton KJ, Smith RA, Medlyn BE, Tissue DT (2013) Near-optimal response of instantaneous transpiration efficiency to vapour pressure deficit, temperature and [CO_2] in cotton (</w:t>
      </w:r>
      <w:r>
        <w:rPr>
          <w:i/>
        </w:rPr>
        <w:t xml:space="preserve">Gossypium hirsutum</w:t>
      </w:r>
      <w:r>
        <w:t xml:space="preserve"> </w:t>
      </w:r>
      <w:r>
        <w:t xml:space="preserve">L.). Agricultural and forest meteorology 168:168–176.</w:t>
      </w:r>
    </w:p>
    <w:p>
      <w:pPr>
        <w:pStyle w:val="Bibliography"/>
      </w:pPr>
      <w:r>
        <w:t xml:space="preserve">Evans JR (1995) Carbon fixation profiles do reflect light absorption profiles in leaves. Functional Plant Biology 22:865–873.</w:t>
      </w:r>
    </w:p>
    <w:p>
      <w:pPr>
        <w:pStyle w:val="Bibliography"/>
      </w:pPr>
      <w:r>
        <w:t xml:space="preserve">Evans J, Poorter H (2001) Photosynthetic acclimation of plants to growth irradiance: the relative importance of specific leaf area and nitrogen partitioning in maximizing carbon gain. Plant, Cell &amp; Environment 24:755–767.</w:t>
      </w:r>
    </w:p>
    <w:p>
      <w:pPr>
        <w:pStyle w:val="Bibliography"/>
      </w:pPr>
      <w:r>
        <w:t xml:space="preserve">Evans JR, Von Caemmerer S (2013) Temperature response of carbon isotope discrimination and mesophyll conductance in tobacco. Plant, cell &amp; environment 36:745–756.</w:t>
      </w:r>
    </w:p>
    <w:p>
      <w:pPr>
        <w:pStyle w:val="Bibliography"/>
      </w:pPr>
      <w:r>
        <w:t xml:space="preserve">Evans JR, Sharkey TD, Berry JA, Farquhar GD (1986) Carbon isotope discrimination measured concurrently with gas exchange to investigate CO_2 diffusion in leaves of higher plants. Functional Plant Biology 13:281–292.</w:t>
      </w:r>
    </w:p>
    <w:p>
      <w:pPr>
        <w:pStyle w:val="Bibliography"/>
      </w:pPr>
      <w:r>
        <w:t xml:space="preserve">Farquhar GD, Cernusak LA (2012) Ternary effects on the gas exchange of isotopologues of carbon dioxide. Plant, Cell &amp; Environment 35:1221–1231.</w:t>
      </w:r>
    </w:p>
    <w:p>
      <w:pPr>
        <w:pStyle w:val="Bibliography"/>
      </w:pPr>
      <w:r>
        <w:t xml:space="preserve">Farquhar GD, Caemmerer S von von, Berry JA (1980) A biochemical model of photosynthetic CO_2 assimilation in leaves of C3 species. Planta 149:78–90.</w:t>
      </w:r>
    </w:p>
    <w:p>
      <w:pPr>
        <w:pStyle w:val="Bibliography"/>
      </w:pPr>
      <w:r>
        <w:t xml:space="preserve">Field C (1983) Allocating leaf nitrogen for the maximization of carbon gain: leaf age as a control on the allocation program. Oecologia 56:341–347.</w:t>
      </w:r>
    </w:p>
    <w:p>
      <w:pPr>
        <w:pStyle w:val="Bibliography"/>
      </w:pPr>
      <w:r>
        <w:t xml:space="preserve">Field CH, Mooney HA (1986) Photosynthesis–nitrogen relationship in wild plants. In: On the economy of plant form and function: Proceedings of the sixth maria moors cabot symposium,‘ evolutionary constraints on primary productivity, adaptive patterns of energy capture in plants,’ harvard forest, august 1983.</w:t>
      </w:r>
    </w:p>
    <w:p>
      <w:pPr>
        <w:pStyle w:val="Bibliography"/>
      </w:pPr>
      <w:r>
        <w:t xml:space="preserve">Flexas J, Diaz-Espejo A, Galmes J, Kaldenhoff R, Medrano H, Ribas-Carbó M (2007) Rapid variations of mesophyll conductance in response to changes in CO_2 concentration around leaves. Plant, Cell &amp; Environment 30:1284–1298.</w:t>
      </w:r>
    </w:p>
    <w:p>
      <w:pPr>
        <w:pStyle w:val="Bibliography"/>
      </w:pPr>
      <w:r>
        <w:t xml:space="preserve">Flexas J, Ribas-Carbó M, Diaz-Espejo A, Galmes J, Medrano H (2008) Mesophyll conductance to CO_2: current knowledge and future prospects. Plant, Cell &amp; Environment 31:602–621.</w:t>
      </w:r>
    </w:p>
    <w:p>
      <w:pPr>
        <w:pStyle w:val="Bibliography"/>
      </w:pPr>
      <w:r>
        <w:t xml:space="preserve">Griffiths H, Helliker BR (2013) Mesophyll conductance: internal insights of leaf carbon exchange. Plant, cell &amp; environment 36:733–735.</w:t>
      </w:r>
    </w:p>
    <w:p>
      <w:pPr>
        <w:pStyle w:val="Bibliography"/>
      </w:pPr>
      <w:r>
        <w:t xml:space="preserve">Hanba YT, Shibasaka M, Hayashi Y, Hayakawa T, Kasamo K, Terashima I, Katsuhara M (2004) Overexpression of the barley aquaporin HvPIP2; 1 increases internal CO_2 conductance and CO_2 assimilation in the leaves of transgenic rice plants. Plant and Cell Physiology 45:521–529.</w:t>
      </w:r>
    </w:p>
    <w:p>
      <w:pPr>
        <w:pStyle w:val="Bibliography"/>
      </w:pPr>
      <w:r>
        <w:t xml:space="preserve">Heinen RB, Ye Q, Chaumont F (2009) Role of aquaporins in leaf physiology. Journal of Experimental Botany 60:2971–2985.</w:t>
      </w:r>
    </w:p>
    <w:p>
      <w:pPr>
        <w:pStyle w:val="Bibliography"/>
      </w:pPr>
      <w:r>
        <w:t xml:space="preserve">Hubbard RM, Ryan MG, Stiller V, Sperry JS (2001) Stomatal conductance and photosynthesis vary linearly with plant hydraulic conductance in ponderosa pine. Plant, Cell &amp; Environment 24:113–121.</w:t>
      </w:r>
    </w:p>
    <w:p>
      <w:pPr>
        <w:pStyle w:val="Bibliography"/>
      </w:pPr>
      <w:r>
        <w:t xml:space="preserve">Küppers M, Schneider H (1993) Leaf gas exchange of beech (</w:t>
      </w:r>
      <w:r>
        <w:rPr>
          <w:i/>
        </w:rPr>
        <w:t xml:space="preserve">Fagus sylvatica</w:t>
      </w:r>
      <w:r>
        <w:t xml:space="preserve"> </w:t>
      </w:r>
      <w:r>
        <w:t xml:space="preserve">L.) seedlings in lightflecks: effects of fleck length and leaf temperature in leaves grown in deep and partial shade. Trees 7:160–168.</w:t>
      </w:r>
    </w:p>
    <w:p>
      <w:pPr>
        <w:pStyle w:val="Bibliography"/>
      </w:pPr>
      <w:r>
        <w:t xml:space="preserve">Leakey ADB, Press MC, Scholes JD (2003) High-temperature inhibition of photosynthesis is greater under sunflecks than uniform irradiance in a tropical rain forest tree seedling. Plant, Cell &amp; Environment 26:1681–1690.</w:t>
      </w:r>
    </w:p>
    <w:p>
      <w:pPr>
        <w:pStyle w:val="Bibliography"/>
      </w:pPr>
      <w:r>
        <w:t xml:space="preserve">Leakey ADB, Press MC, Scholes JD, Watling JR (2002) Relative enhancement of photosynthesis and growth at elevated CO_2 is greater under sunflecks than uniform irradiance in a tropical rain forest tree seedling. Plant, Cell &amp; Environment 25:1701–1714.</w:t>
      </w:r>
    </w:p>
    <w:p>
      <w:pPr>
        <w:pStyle w:val="Bibliography"/>
      </w:pPr>
      <w:r>
        <w:t xml:space="preserve">Li G, Santoni V, Maurel C (2014) Plant aquaporins: roles in plant physiology. Biochimica et Biophysica Acta (BBA)-General Subjects 1840:1574–1582.</w:t>
      </w:r>
    </w:p>
    <w:p>
      <w:pPr>
        <w:pStyle w:val="Bibliography"/>
      </w:pPr>
      <w:r>
        <w:t xml:space="preserve">Lin Y-S, Medlyn BE, Duursma RA, Prentice IC, Wang H, Baig S, Eamus D, Dios VR de, Mitchell P, Ellsworth DS, Others (2015) Optimal stomatal behaviour around the world. Nature Climate Change 5:459–464.</w:t>
      </w:r>
    </w:p>
    <w:p>
      <w:pPr>
        <w:pStyle w:val="Bibliography"/>
      </w:pPr>
      <w:r>
        <w:t xml:space="preserve">Linderson M-L, Mikkelsen TN, Ibrom A, Lindroth A, Ro-Poulsen H, Pilegaard K (2012) Up-scaling of water use efficiency from leaf to canopy as based on leaf gas exchange relationships and the modeled in-canopy light distribution. Agricultural and Forest Meteorology 152:201–211.</w:t>
      </w:r>
    </w:p>
    <w:p>
      <w:pPr>
        <w:pStyle w:val="Bibliography"/>
      </w:pPr>
      <w:r>
        <w:t xml:space="preserve">Marshall JD, Brooks JR, Lajtha K (2007) Sources of variation in the stable isotopic composition of plants. Stable isotopes in ecology and environmental science:22–60.</w:t>
      </w:r>
    </w:p>
    <w:p>
      <w:pPr>
        <w:pStyle w:val="Bibliography"/>
      </w:pPr>
      <w:r>
        <w:t xml:space="preserve">Medlyn BE, Dreyer E, Ellsworth D, Forstreuter M, Harley PC, Kirschbaum MUF, Le Roux X, Montpied P, Strassemeyer J, Walcroft A, Others (2002) Temperature response of parameters of a biochemically based model of photosynthesis. II. A review of experimental data. Plant, Cell &amp; Environment 25:1167–1179.</w:t>
      </w:r>
    </w:p>
    <w:p>
      <w:pPr>
        <w:pStyle w:val="Bibliography"/>
      </w:pPr>
      <w:r>
        <w:t xml:space="preserve">Medlyn BE, Duursma RA, Eamus D, Ellsworth DS, Prentice IC, Barton CVM, Crous KY, Angelis P de, Freeman M, Wingate L (2011) Reconciling the optimal and empirical approaches to modelling stomatal conductance. Global Change Biology 17:2134–2144.</w:t>
      </w:r>
    </w:p>
    <w:p>
      <w:pPr>
        <w:pStyle w:val="Bibliography"/>
      </w:pPr>
      <w:r>
        <w:t xml:space="preserve">Monsi M, Saeki T (2005) On the factor light in plant communities and its importance for matter production. Annals of Botany 95:549–567.</w:t>
      </w:r>
    </w:p>
    <w:p>
      <w:pPr>
        <w:pStyle w:val="Bibliography"/>
      </w:pPr>
      <w:r>
        <w:t xml:space="preserve">Nakagawa S, Schielzeth H (2013) Methods in Ecology and Evolution 4:133–142.</w:t>
      </w:r>
    </w:p>
    <w:p>
      <w:pPr>
        <w:pStyle w:val="Bibliography"/>
      </w:pPr>
      <w:r>
        <w:t xml:space="preserve">Niinemets Ü (2007) Photosynthesis and resource distribution through plant canopies. Plant, Cell &amp; Environment 30:1052–1071.</w:t>
      </w:r>
    </w:p>
    <w:p>
      <w:pPr>
        <w:pStyle w:val="Bibliography"/>
      </w:pPr>
      <w:r>
        <w:t xml:space="preserve">Niinemets Ü (2010) A review of light interception in plant stands from leaf to canopy in different plant functional types and in species with varying shade tolerance. Ecological Research 25:693–714.</w:t>
      </w:r>
    </w:p>
    <w:p>
      <w:pPr>
        <w:pStyle w:val="Bibliography"/>
      </w:pPr>
      <w:r>
        <w:t xml:space="preserve">Niinemets Ü (2012) Optimization of foliage photosynthetic capacity in tree canopies: towards identifying missing constraints. Tree physiology 32:505–509.</w:t>
      </w:r>
    </w:p>
    <w:p>
      <w:pPr>
        <w:pStyle w:val="Bibliography"/>
      </w:pPr>
      <w:r>
        <w:t xml:space="preserve">Niinemets Ü, Valladares F (2004) Photosynthetic acclimation to simultaneous and interacting environmental stresses along natural light gradients: optimality and constraints. Plant Biology 6:254–268.</w:t>
      </w:r>
    </w:p>
    <w:p>
      <w:pPr>
        <w:pStyle w:val="Bibliography"/>
      </w:pPr>
      <w:r>
        <w:t xml:space="preserve">Pearcy RW (1990) Sunflecks and photosynthesis in plant canopies. Annual review of plant biology 41:421–453.</w:t>
      </w:r>
    </w:p>
    <w:p>
      <w:pPr>
        <w:pStyle w:val="Bibliography"/>
      </w:pPr>
      <w:r>
        <w:t xml:space="preserve">Peltoniemi MS, Duursma RA, Medlyn BE (2012) Co-optimal distribution of leaf nitrogen and hydraulic conductance in plant canopies. Tree physiology 32:510–519.</w:t>
      </w:r>
    </w:p>
    <w:p>
      <w:pPr>
        <w:pStyle w:val="Bibliography"/>
      </w:pPr>
      <w:r>
        <w:t xml:space="preserve">Pepin S, Livingston NJ (1997) Rates of stomatal opening in conifer seedlings in relation to air temperature and daily carbon gain. Plant, Cell &amp; Environment 20:1462–1472.</w:t>
      </w:r>
    </w:p>
    <w:p>
      <w:pPr>
        <w:pStyle w:val="Bibliography"/>
      </w:pPr>
      <w:r>
        <w:t xml:space="preserve">Piel C, Frak E, Le Roux X, Genty B (2002) Effect of local irradiance on CO_2 transfer conductance of mesophyll in walnut. Journal of Experimental Botany 53:2423–2430.</w:t>
      </w:r>
    </w:p>
    <w:p>
      <w:pPr>
        <w:pStyle w:val="Bibliography"/>
      </w:pPr>
      <w:r>
        <w:t xml:space="preserve">Prentice IC, Dong N, Gleason SM, Maire V, Wright IJ (2014) Balancing the costs of carbon gain and water transport: testing a new theoretical framework for plant functional ecology. Ecology letters 17:82–91.</w:t>
      </w:r>
    </w:p>
    <w:p>
      <w:pPr>
        <w:pStyle w:val="Bibliography"/>
      </w:pPr>
      <w:r>
        <w:t xml:space="preserve">R Development Core Team R (2011) R: A Language and Environment for Statistical Computing Team RDC (ed). 1:409.</w:t>
      </w:r>
      <w:r>
        <w:t xml:space="preserve"> </w:t>
      </w:r>
      <w:hyperlink r:id="rId53">
        <w:r>
          <w:rPr>
            <w:rStyle w:val="Hyperlink"/>
          </w:rPr>
          <w:t xml:space="preserve">http://www.r-project.org</w:t>
        </w:r>
      </w:hyperlink>
    </w:p>
    <w:p>
      <w:pPr>
        <w:pStyle w:val="Bibliography"/>
      </w:pPr>
      <w:r>
        <w:t xml:space="preserve">Schymanski SJ, Or D, Zwieniecki MA (2013) Stomatal control and leaf thermal and hydraulic capacitances under rapid environmental fluctuations. PloS one 8</w:t>
      </w:r>
    </w:p>
    <w:p>
      <w:pPr>
        <w:pStyle w:val="Bibliography"/>
      </w:pPr>
      <w:r>
        <w:t xml:space="preserve">Sellin A, Kupper P (2007) Effects of enhanced hydraulic supply for foliage on stomatal responses in little-leaf linden (</w:t>
      </w:r>
      <w:r>
        <w:rPr>
          <w:i/>
        </w:rPr>
        <w:t xml:space="preserve">Tilia cordata</w:t>
      </w:r>
      <w:r>
        <w:t xml:space="preserve"> </w:t>
      </w:r>
      <w:r>
        <w:t xml:space="preserve">Mill.). European Journal of Forest Research 126:241–251.</w:t>
      </w:r>
    </w:p>
    <w:p>
      <w:pPr>
        <w:pStyle w:val="Bibliography"/>
      </w:pPr>
      <w:r>
        <w:t xml:space="preserve">Sellin A, Õunapuu E, Kupper P (2008) Effects of light intensity and duration on leaf hydraulic conductance and distribution of resistance in shoots of silver birch (</w:t>
      </w:r>
      <w:r>
        <w:rPr>
          <w:i/>
        </w:rPr>
        <w:t xml:space="preserve">Betula pendula</w:t>
      </w:r>
      <w:r>
        <w:t xml:space="preserve">). Physiologia Plantarum 134:412–420.</w:t>
      </w:r>
    </w:p>
    <w:p>
      <w:pPr>
        <w:pStyle w:val="Bibliography"/>
      </w:pPr>
      <w:r>
        <w:t xml:space="preserve">Tausz M, Warren CR, Adams MA (2005)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 New Phytologist 165:143–156.</w:t>
      </w:r>
    </w:p>
    <w:p>
      <w:pPr>
        <w:pStyle w:val="Bibliography"/>
      </w:pPr>
      <w:r>
        <w:t xml:space="preserve">Tazoe Y, Von Caemmerer S, Badger MR, Evans JR (2009) Light and CO_2 do not affect the mesophyll conductance to CO_2 diffusion in wheat leaves. Journal of Experimental Botany 60:2291–2301.</w:t>
      </w:r>
    </w:p>
    <w:p>
      <w:pPr>
        <w:pStyle w:val="Bibliography"/>
      </w:pPr>
      <w:r>
        <w:t xml:space="preserve">Terashima I, Hanba YT, Tazoe Y, Vyas P, Yano S (2006) Irradiance and phenotype: comparative eco-development of sun and shade leaves in relation to photosynthetic CO_2 diffusion. Journal of Experimental Botany 57:343–354.</w:t>
      </w:r>
    </w:p>
    <w:p>
      <w:pPr>
        <w:pStyle w:val="Bibliography"/>
      </w:pPr>
      <w:r>
        <w:t xml:space="preserve">Ubierna N, Marshall JD (2011) Plant, cell &amp; environment 34:1521–1535.</w:t>
      </w:r>
    </w:p>
    <w:p>
      <w:pPr>
        <w:pStyle w:val="Bibliography"/>
      </w:pPr>
      <w:r>
        <w:t xml:space="preserve">Vico G, Manzoni S, Palmroth S, Katul G (2011) Effects of stomatal delays on the economics of leaf gas exchange under intermittent light regimes. New Phytologist 192:640–652.</w:t>
      </w:r>
    </w:p>
    <w:p>
      <w:pPr>
        <w:pStyle w:val="Bibliography"/>
      </w:pPr>
      <w:r>
        <w:t xml:space="preserve">Vogelman TC, Nishio JN, Smith WK (1996) Leaves and light capture: light propagation and gradients of carbon fixation within leaves. Trends in Plant Science 1:65–70.</w:t>
      </w:r>
    </w:p>
    <w:p>
      <w:pPr>
        <w:pStyle w:val="Bibliography"/>
      </w:pPr>
      <w:r>
        <w:t xml:space="preserve">Von Caemmerer S, Evans JR (2014) Temperature responses of mesophyll conductance differ greatly between species. Plant, cell &amp; environment 38:629–637.</w:t>
      </w:r>
    </w:p>
    <w:p>
      <w:pPr>
        <w:pStyle w:val="Bibliography"/>
      </w:pPr>
      <w:r>
        <w:t xml:space="preserve">Warren CR (2008) Stand aside stomata, another actor deserves centre stage: the forgotten role of the internal conductance to CO_2 transfer. Journal of Experimental Botany 59:1475–1487.</w:t>
      </w:r>
    </w:p>
    <w:p>
      <w:pPr>
        <w:pStyle w:val="Bibliography"/>
      </w:pPr>
      <w:r>
        <w:t xml:space="preserve">Warren CR, Löw M, Matyssek R, Tausz M (2007) Internal conductance to CO_2 transfer of adult</w:t>
      </w:r>
      <w:r>
        <w:t xml:space="preserve"> </w:t>
      </w:r>
      <w:r>
        <w:rPr>
          <w:i/>
        </w:rPr>
        <w:t xml:space="preserve">Fagus sylvatica</w:t>
      </w:r>
      <w:r>
        <w:t xml:space="preserve">: variation between sun and shade leaves and due to free-air ozone fumigation. Environmental and Experimental Botany 59:130–138.</w:t>
      </w:r>
    </w:p>
    <w:p>
      <w:pPr>
        <w:pStyle w:val="Bibliography"/>
      </w:pPr>
      <w:r>
        <w:t xml:space="preserve">Way DA, Pearcy RW (2012) Sunflecks in trees and forests: from photosynthetic physiology to global change biology. Tree Physiology 32:1066–1081.</w:t>
      </w:r>
    </w:p>
    <w:p>
      <w:pPr>
        <w:pStyle w:val="Bibliography"/>
      </w:pPr>
      <w:r>
        <w:t xml:space="preserve">Wright IJ, Reich PB, Westoby M (2003) Least-cost input mixtures of water and nitrogen for photosynthesis. The American Naturalist 161:98–111.</w:t>
      </w:r>
    </w:p>
    <w:sectPr w:rsidR="00273792" w:rsidSect="00367EEB">
      <w:footerReference w:type="default" r:id="rId8"/>
      <w:pgSz w:w="12240" w:h="15840"/>
      <w:pgMar w:top="1418" w:right="1418" w:bottom="1418" w:left="2268"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367EEB">
          <w:rPr>
            <w:noProof/>
          </w:rPr>
          <w:t>1</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8b2463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hyperlink" Id="rId53"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3"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Rapid response of mesophyll conductance to light availability allows shade leaves to take advantage of sunflecks</dc:title>
  <dc:creator/>
</cp:coreProperties>
</file>