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50.png" ContentType="image/png"/>
  <Override PartName="/word/media/rId35.png" ContentType="image/png"/>
  <Override PartName="/word/media/rId49.png" ContentType="image/png"/>
  <Override PartName="/word/media/rId38.png" ContentType="image/png"/>
  <Override PartName="/word/media/rId43.png" ContentType="image/png"/>
  <Override PartName="/word/media/rId41.png" ContentType="image/png"/>
  <Override PartName="/word/media/rId51.png" ContentType="image/png"/>
  <Override PartName="/word/media/rId52.png" ContentType="image/png"/>
  <Override PartName="/word/media/rId33.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r>
        <w:br w:type="textWrapping"/>
      </w:r>
      <w:r>
        <w:t xml:space="preserve">Courtney E. Campany</w:t>
      </w:r>
      <w:r>
        <w:rPr>
          <w:vertAlign w:val="superscript"/>
        </w:rPr>
        <w:t xml:space="preserve">1</w:t>
      </w:r>
      <w:r>
        <w:t xml:space="preserve">, Belinda Medlyn</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Western Sydney University, Locked Bag 1797, Penrith, NSW, Australia</w:t>
      </w:r>
    </w:p>
    <w:p>
      <w:r>
        <w:br w:type="textWrapping"/>
      </w:r>
      <w:r>
        <w:rPr>
          <w:vertAlign w:val="superscript"/>
        </w:rPr>
        <w:t xml:space="preserve">2</w:t>
      </w:r>
      <w:r>
        <w:t xml:space="preserve"> </w:t>
      </w:r>
      <w:r>
        <w:t xml:space="preserve">Plant Science Division, Research School of Biology, The Australian National University, Canberra, ACT,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Light gradients within tree canopies play a major role in the distribution of plant resources that define photosynthetic capacity of individual leaves. A lack of empirical data relating photosynthesis to leaf physiological behavior within tree canopies, however, impedes our ability to assess the contribution of shade leaves to canopy carbon gain. 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 Compared to sun leaves, shade leaves had lower A, g</w:t>
      </w:r>
      <w:r>
        <w:rPr>
          <w:vertAlign w:val="subscript"/>
        </w:rPr>
        <w:t xml:space="preserve">m</w:t>
      </w:r>
      <w:r>
        <w:t xml:space="preserve">, Vc</w:t>
      </w:r>
      <w:r>
        <w:rPr>
          <w:vertAlign w:val="subscript"/>
        </w:rPr>
        <w:t xml:space="preserve">max</w:t>
      </w:r>
      <w:r>
        <w:t xml:space="preserve">, J</w:t>
      </w:r>
      <w:r>
        <w:rPr>
          <w:vertAlign w:val="subscript"/>
        </w:rPr>
        <w:t xml:space="preserve">max</w:t>
      </w:r>
      <w:r>
        <w:t xml:space="preserve"> </w:t>
      </w:r>
      <w:r>
        <w:t xml:space="preserve">and leaf nitrogen but maintained similar rates of g</w:t>
      </w:r>
      <w:r>
        <w:rPr>
          <w:vertAlign w:val="subscript"/>
        </w:rPr>
        <w:t xml:space="preserve">s</w:t>
      </w:r>
      <w:r>
        <w:t xml:space="preserve">. When light intensity was increased from low light to high light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rapidly, leading to increases in A greater than sun leaves at the same PPFD. Here we show that dynamic physiological responses of shade leaves to altered light environments has important implications for upscaling leaf level measurements and predicting whole canopy carbon gain. We argue that the rapid response of g</w:t>
      </w:r>
      <w:r>
        <w:rPr>
          <w:vertAlign w:val="subscript"/>
        </w:rPr>
        <w:t xml:space="preserve">m</w:t>
      </w:r>
      <w:r>
        <w:t xml:space="preserve"> </w:t>
      </w:r>
      <w:r>
        <w:t xml:space="preserve">with light enables shade leaves to respond quickly to sunflecks. Evidence that g</w:t>
      </w:r>
      <w:r>
        <w:rPr>
          <w:vertAlign w:val="subscript"/>
        </w:rPr>
        <w:t xml:space="preserve">m</w:t>
      </w:r>
      <w:r>
        <w:t xml:space="preserve"> </w:t>
      </w:r>
      <w:r>
        <w:t xml:space="preserve">not only varies within a canopy but can be up-regulated over short time intervals possibly represents a new mechanism underpinning leaf gas exchange responses to light.</w:t>
      </w:r>
    </w:p>
    <w:p>
      <w:pPr>
        <w:pStyle w:val="Heading2"/>
      </w:pPr>
      <w:bookmarkStart w:id="23" w:name="key-words"/>
      <w:bookmarkEnd w:id="23"/>
      <w:r>
        <w:t xml:space="preserve">Key words</w:t>
      </w:r>
    </w:p>
    <w:p>
      <w:r>
        <w:t xml:space="preserve">photosynthesis, stomatal conductance, mesophyll conductance, shade, leaf optimal behavior</w:t>
      </w:r>
    </w:p>
    <w:p>
      <w:pPr>
        <w:pStyle w:val="Heading1"/>
      </w:pPr>
      <w:bookmarkStart w:id="24" w:name="introduction"/>
      <w:bookmarkEnd w:id="24"/>
      <w:r>
        <w:t xml:space="preserve">Introduction</w:t>
      </w:r>
    </w:p>
    <w:p>
      <w:r>
        <w:t xml:space="preserve">Light availability is one of the most important environmental drivers of leaf carbon (C) uptake in trees. Predicting C uptake if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 A to light by distinguishing between shaded and sunlit leaves</w:t>
      </w:r>
      <w:r>
        <w:t xml:space="preserve"> </w:t>
      </w:r>
      <w:r>
        <w:t xml:space="preserve">(</w:t>
      </w:r>
      <w:r>
        <w:t xml:space="preserve">De Pury</w:t>
      </w:r>
      <w:r>
        <w:t xml:space="preserve"> </w:t>
      </w:r>
      <w:r>
        <w:t xml:space="preserve">&amp; Farquhar, 1997; Linderson</w:t>
      </w:r>
      <w:r>
        <w:t xml:space="preserve"> </w:t>
      </w:r>
      <w:r>
        <w:rPr>
          <w:i/>
        </w:rPr>
        <w:t xml:space="preserve">et al.</w:t>
      </w:r>
      <w:r>
        <w:t xml:space="preserve">, 2012)</w:t>
      </w:r>
      <w:r>
        <w:t xml:space="preserve">.</w:t>
      </w:r>
    </w:p>
    <w:p>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(Burgess</w:t>
      </w:r>
      <w:r>
        <w:t xml:space="preserve"> </w:t>
      </w:r>
      <w:r>
        <w:rPr>
          <w:i/>
        </w:rPr>
        <w:t xml:space="preserve">et al.</w:t>
      </w:r>
      <w:r>
        <w:t xml:space="preserve">, 2006; Sellin &amp; Kupper, 2007 ; Sellin</w:t>
      </w:r>
      <w:r>
        <w:t xml:space="preserve"> </w:t>
      </w:r>
      <w:r>
        <w:rPr>
          <w:i/>
        </w:rPr>
        <w:t xml:space="preserve">et al.</w:t>
      </w:r>
      <w:r>
        <w:t xml:space="preserve">, 2008)</w:t>
      </w:r>
      <w:r>
        <w:t xml:space="preserve">.</w:t>
      </w:r>
    </w:p>
    <w:p>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empirical data currently hinders are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r>
        <w:br w:type="textWrapping"/>
      </w:r>
      <w:r>
        <w:t xml:space="preserve">Additionally, assessing shade leaf behaviour is made difficult with accounting of short term light fluctuations within a canopy, via sunflecks.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 A 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obviously vast, yet differentiating their impacts on leaf physiology within a canopy will be essential to evaluate whole tree responses to a changing climate.</w:t>
      </w:r>
    </w:p>
    <w:p>
      <w:r>
        <w:br w:type="textWrapping"/>
      </w:r>
      <w:r>
        <w:t xml:space="preserve">In this study we use</w:t>
      </w:r>
      <w:r>
        <w:t xml:space="preserve"> </w:t>
      </w:r>
      <w:r>
        <w:rPr>
          <w:i/>
        </w:rPr>
        <w:t xml:space="preserve">Eucalyptus tereticornis</w:t>
      </w:r>
      <w:r>
        <w:t xml:space="preserve"> </w:t>
      </w:r>
      <w:r>
        <w:t xml:space="preserve">Sm. trees, planted in climate controlled whole tree chambers with ambient and elevated temperature (ambient +3°C) treatments, to empirically evaluate the distribution of nitrogen and water supply and leaf physiological behaviour of sun and shade leaves. Our hypotheses are as follows:</w:t>
      </w:r>
    </w:p>
    <w:p>
      <w:r>
        <w:br w:type="textWrapping"/>
      </w:r>
      <w:r>
        <w:t xml:space="preserve">1. If whole tree canopies are optimized for C gain, then leaf N, hydraulic conductance and biochemical photosynthetic capacity are predicted to be higher in sun leaves compared to shade leaves.</w:t>
      </w:r>
    </w:p>
    <w:p>
      <w:r>
        <w:br w:type="textWrapping"/>
      </w:r>
      <w:r>
        <w:t xml:space="preserve">2. Stomatal conductance is proportional to</w:t>
      </w:r>
      <w:r>
        <w:t xml:space="preserve"> </w:t>
      </w:r>
      <w:r>
        <w:rPr>
          <w:i/>
        </w:rPr>
        <w:t xml:space="preserve">A</w:t>
      </w:r>
      <w:r>
        <w:rPr>
          <w:vertAlign w:val="subscript"/>
          <w:i/>
        </w:rPr>
        <w:t xml:space="preserve">n</w:t>
      </w:r>
      <w:r>
        <w:t xml:space="preserve"> </w:t>
      </w:r>
      <w:r>
        <w:t xml:space="preserve">across sun and shade leaves under similar leaf VPD and g</w:t>
      </w:r>
      <w:r>
        <w:rPr>
          <w:vertAlign w:val="subscript"/>
        </w:rPr>
        <w:t xml:space="preserve">m</w:t>
      </w:r>
      <w:r>
        <w:t xml:space="preserve"> </w:t>
      </w:r>
      <w:r>
        <w:t xml:space="preserve">scales positively with photosynthetic capacity.</w:t>
      </w:r>
    </w:p>
    <w:p>
      <w:r>
        <w:br w:type="textWrapping"/>
      </w:r>
      <w:r>
        <w:t xml:space="preserve">3. As shade leaves were expected to develop lower biochemical photosynthetic capacity and leaf physiological responses to light are typically slow (minutes), increases in</w:t>
      </w:r>
      <w:r>
        <w:t xml:space="preserve"> </w:t>
      </w:r>
      <w:r>
        <w:rPr>
          <w:i/>
        </w:rPr>
        <w:t xml:space="preserve">A</w:t>
      </w:r>
      <w:r>
        <w:rPr>
          <w:vertAlign w:val="subscript"/>
          <w:i/>
        </w:rPr>
        <w:t xml:space="preserve">n</w:t>
      </w:r>
      <w:r>
        <w:t xml:space="preserve"> </w:t>
      </w:r>
      <w:r>
        <w:t xml:space="preserve">following sunfleck simulations were not expected to reach rates of full sun leaves.</w:t>
      </w:r>
    </w:p>
    <w:p>
      <w:r>
        <w:br w:type="textWrapping"/>
      </w:r>
      <w:r>
        <w:t xml:space="preserve">4. The effects of climate warming were predicted to be greater in sun than shade leaves, seen as a decrease in g</w:t>
      </w:r>
      <w:r>
        <w:rPr>
          <w:vertAlign w:val="subscript"/>
        </w:rPr>
        <w:t xml:space="preserve">s</w:t>
      </w:r>
      <w:r>
        <w:t xml:space="preserve"> </w:t>
      </w:r>
      <w:r>
        <w:t xml:space="preserve">and leaf C gain during summer months, as increased evaporation demand from higher temperatures will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r>
        <w:t xml:space="preserve">Twelve</w:t>
      </w:r>
      <w:r>
        <w:t xml:space="preserve"> </w:t>
      </w:r>
      <w:r>
        <w:rPr>
          <w:i/>
        </w:rPr>
        <w:t xml:space="preserve">Eucalyptus tereticornis</w:t>
      </w:r>
      <w:r>
        <w:t xml:space="preserve"> </w:t>
      </w:r>
      <w:r>
        <w:t xml:space="preserve">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w:t>
      </w:r>
      <w:r>
        <w:t xml:space="preserve"> </w:t>
      </w:r>
      <w:r>
        <w:t xml:space="preserve">(Barton</w:t>
      </w:r>
      <w:r>
        <w:t xml:space="preserve"> </w:t>
      </w:r>
      <w:r>
        <w:rPr>
          <w:i/>
        </w:rPr>
        <w:t xml:space="preserve">et al.</w:t>
      </w:r>
      <w:r>
        <w:t xml:space="preserve">, 2010)</w:t>
      </w:r>
      <w:r>
        <w:t xml:space="preserve">. Six chambers were set to match outside ambient air temperatures (AT) while the remaining 6 experienced an elevated air temperature treatment of +3°C (ET, Figure 3.S1).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leaf counts and mean leaf size.</w:t>
      </w:r>
    </w:p>
    <w:p>
      <w:pPr>
        <w:pStyle w:val="Heading2"/>
      </w:pPr>
      <w:bookmarkStart w:id="27" w:name="leaf-gas-exchange-online-carbon-isotope-discrimination-and-mesophyll-conductance"/>
      <w:bookmarkEnd w:id="27"/>
      <w:r>
        <w:t xml:space="preserve">Leaf gas exchange, online carbon isotope discrimination and mesophyll conductance</w:t>
      </w:r>
    </w:p>
    <w:p>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r>
        <w:br w:type="textWrapping"/>
      </w:r>
      <w:r>
        <w:t xml:space="preserve">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sty m:val="p"/>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vapor fluxes re-stabilized in the leaf cuvette (ca. 25 min).</w:t>
      </w:r>
    </w:p>
    <w:p>
      <w:r>
        <w:br w:type="textWrapping"/>
      </w:r>
      <w:r>
        <w:t xml:space="preserve">Once CO</w:t>
      </w:r>
      <w:r>
        <w:rPr>
          <w:vertAlign w:val="subscript"/>
        </w:rPr>
        <w:t xml:space="preserve">2</w:t>
      </w:r>
      <w:r>
        <w:t xml:space="preserve"> </w:t>
      </w:r>
      <w:r>
        <w:t xml:space="preserve">and water vapor flux values were stable for each leaf measurement, the sample and reference gas lines were diverted to the TDL via T-junctions inserted into the reference gas tube and match valve outlet of the LI-6400.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same 12 min interval.</w:t>
      </w:r>
    </w:p>
    <w:p>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sty m:val="p"/>
          </m:rPr>
          <m:t>δ</m:t>
        </m:r>
      </m:oMath>
      <w:r>
        <w:rPr>
          <w:vertAlign w:val="superscript"/>
        </w:rPr>
        <w:t xml:space="preserve">13</w:t>
      </w:r>
      <w:r>
        <w:t xml:space="preserve">C</w:t>
      </w:r>
      <w:r>
        <w:rPr>
          <w:vertAlign w:val="subscript"/>
        </w:rPr>
        <w:t xml:space="preserve">e</w:t>
      </w:r>
      <w:r>
        <w:t xml:space="preserve">) with the sample gas (</w:t>
      </w:r>
      <m:oMath>
        <m:r>
          <m:rPr>
            <m:sty m:val="p"/>
          </m:rPr>
          <m:t>δ</m:t>
        </m:r>
      </m:oMath>
      <w:r>
        <w:rPr>
          <w:vertAlign w:val="superscript"/>
        </w:rPr>
        <w:t xml:space="preserve">13</w:t>
      </w:r>
      <w:r>
        <w:t xml:space="preserve">C</w:t>
      </w:r>
      <w:r>
        <w:rPr>
          <w:vertAlign w:val="subscript"/>
        </w:rPr>
        <w:t xml:space="preserve">o</w:t>
      </w:r>
      <w:r>
        <w:t xml:space="preserve">) such that:</w:t>
      </w:r>
    </w:p>
    <w:p>
      <w:r>
        <w:br w:type="textWrapping"/>
      </w:r>
      <w:r>
        <w:t xml:space="preserve">(1)</w:t>
      </w:r>
    </w:p>
    <w:p>
      <m:oMathPara>
        <m:oMathParaPr>
          <m:jc m:val="center"/>
        </m:oMathParaPr>
        <m:oMath>
          <m:r>
            <m:rPr>
              <m:sty m:val="p"/>
            </m:rPr>
            <m:t>δ</m:t>
          </m:r>
          <m:r>
            <m:rPr>
              <m:sty m:val="p"/>
            </m:rPr>
            <m:t>=</m:t>
          </m:r>
          <m:d>
            <m:dPr>
              <m:begChr m:val="("/>
              <m:endChr m:val=")"/>
              <m:grow/>
            </m:dPr>
            <m:e>
              <m:f>
                <m:fPr>
                  <m:type m:val="bar"/>
                </m:fPr>
                <m:num>
                  <m:sSub>
                    <m:e>
                      <m:r>
                        <m:rPr>
                          <m:sty m:val="p"/>
                        </m:rPr>
                        <m:t>R</m:t>
                      </m:r>
                    </m:e>
                    <m:sub>
                      <m:r>
                        <m:rPr>
                          <m:sty m:val="p"/>
                        </m:rPr>
                        <m:t>s</m:t>
                      </m:r>
                    </m:sub>
                  </m:sSub>
                </m:num>
                <m:den>
                  <m:sSub>
                    <m:e>
                      <m:r>
                        <m:rPr>
                          <m:sty m:val="p"/>
                        </m:rPr>
                        <m:t>R</m:t>
                      </m:r>
                    </m:e>
                    <m:sub>
                      <m:r>
                        <m:rPr>
                          <m:sty m:val="p"/>
                        </m:rPr>
                        <m:t>s</m:t>
                      </m:r>
                      <m:r>
                        <m:rPr>
                          <m:sty m:val="p"/>
                        </m:rPr>
                        <m:t>t</m:t>
                      </m:r>
                      <m:r>
                        <m:rPr>
                          <m:sty m:val="p"/>
                        </m:rPr>
                        <m:t>n</m:t>
                      </m:r>
                      <m:r>
                        <m:rPr>
                          <m:sty m:val="p"/>
                        </m:rPr>
                        <m:t>d</m:t>
                      </m:r>
                    </m:sub>
                  </m:sSub>
                </m:den>
              </m:f>
              <m:r>
                <m:rPr>
                  <m:sty m:val="p"/>
                </m:rPr>
                <m:t>−</m:t>
              </m:r>
              <m:r>
                <m:rPr>
                  <m:sty m:val="p"/>
                </m:rPr>
                <m:t>1</m:t>
              </m:r>
            </m:e>
          </m:d>
          <m:r>
            <m:rPr>
              <m:sty m:val="p"/>
            </m:rPr>
            <m:t>1000</m:t>
          </m:r>
        </m:oMath>
      </m:oMathPara>
    </w:p>
    <w:p>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sty m:val="p"/>
          </m:rPr>
          <m:t>Δ</m:t>
        </m:r>
      </m:oMath>
      <w:r>
        <w:rPr>
          <w:vertAlign w:val="subscript"/>
        </w:rPr>
        <w:t xml:space="preserve">obs</w:t>
      </w:r>
      <w:r>
        <w:t xml:space="preserve">) is calculated from Evans et al.</w:t>
      </w:r>
      <w:r>
        <w:t xml:space="preserve"> </w:t>
      </w:r>
      <w:r>
        <w:t xml:space="preserve">(1986)</w:t>
      </w:r>
      <w:r>
        <w:t xml:space="preserve">:</w:t>
      </w:r>
    </w:p>
    <w:p>
      <w:r>
        <w:br w:type="textWrapping"/>
      </w:r>
      <w:r>
        <w:t xml:space="preserve">(2)</w:t>
      </w:r>
    </w:p>
    <w:p>
      <m:oMathPara>
        <m:oMathParaPr>
          <m:jc m:val="center"/>
        </m:oMathParaPr>
        <m:oMath>
          <m:nary>
            <m:naryPr>
              <m:chr m:val="Δ"/>
              <m:limLoc m:val="subSup"/>
              <m:supHide m:val="off"/>
              <m:supHide m:val="off"/>
            </m:naryPr>
            <m:e>
              <m:r>
                <m:rPr>
                  <m:sty m:val="p"/>
                </m:rPr>
                <m:t>=</m:t>
              </m:r>
            </m:e>
            <m:sub>
              <m:r>
                <m:rPr>
                  <m:sty m:val="p"/>
                </m:rPr>
                <m:t>o</m:t>
              </m:r>
              <m:r>
                <m:rPr>
                  <m:sty m:val="p"/>
                </m:rPr>
                <m:t>b</m:t>
              </m:r>
              <m:r>
                <m:rPr>
                  <m:sty m:val="p"/>
                </m:rPr>
                <m:t>s</m:t>
              </m:r>
            </m:sub>
            <m:sup/>
          </m:nary>
          <m:f>
            <m:fPr>
              <m:type m:val="bar"/>
            </m:fPr>
            <m:num>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num>
            <m:den>
              <m:r>
                <m:rPr>
                  <m:sty m:val="p"/>
                </m:rPr>
                <m:t>1000</m:t>
              </m:r>
              <m:r>
                <m:rPr>
                  <m:sty m:val="p"/>
                </m:rPr>
                <m:t>+</m:t>
              </m:r>
              <m:sSup>
                <m:e>
                  <m:r>
                    <m:rPr>
                      <m:sty m:val="p"/>
                    </m:rPr>
                    <m:t>δ</m:t>
                  </m:r>
                </m:e>
                <m:sup>
                  <m:r>
                    <m:rPr>
                      <m:sty m:val="p"/>
                    </m:rPr>
                    <m:t>13</m:t>
                  </m:r>
                </m:sup>
              </m:sSup>
              <m:sSub>
                <m:e>
                  <m:r>
                    <m:rPr>
                      <m:sty m:val="p"/>
                    </m:rPr>
                    <m:t>C</m:t>
                  </m:r>
                </m:e>
                <m:sub>
                  <m:r>
                    <m:rPr>
                      <m:sty m:val="p"/>
                    </m:rPr>
                    <m:t>e</m:t>
                  </m:r>
                </m:sub>
              </m:sSub>
              <m:r>
                <m:rPr>
                  <m:sty m:val="p"/>
                </m:rPr>
                <m:t>−</m:t>
              </m:r>
              <m:r>
                <m:rPr>
                  <m:sty m:val="p"/>
                </m:rPr>
                <m:t>ξ</m:t>
              </m:r>
              <m:r>
                <m:rPr>
                  <m:sty m:val="p"/>
                </m:rPr>
                <m:t>(</m:t>
              </m:r>
              <m:sSup>
                <m:e>
                  <m:r>
                    <m:rPr>
                      <m:sty m:val="p"/>
                    </m:rPr>
                    <m:t>δ</m:t>
                  </m:r>
                </m:e>
                <m:sup>
                  <m:r>
                    <m:rPr>
                      <m:sty m:val="p"/>
                    </m:rPr>
                    <m:t>13</m:t>
                  </m:r>
                </m:sup>
              </m:sSup>
              <m:sSub>
                <m:e>
                  <m:r>
                    <m:rPr>
                      <m:sty m:val="p"/>
                    </m:rPr>
                    <m:t>C</m:t>
                  </m:r>
                </m:e>
                <m:sub>
                  <m:r>
                    <m:rPr>
                      <m:sty m:val="p"/>
                    </m:rPr>
                    <m:t>o</m:t>
                  </m:r>
                </m:sub>
              </m:sSub>
              <m:r>
                <m:rPr>
                  <m:sty m:val="p"/>
                </m:rPr>
                <m:t>−</m:t>
              </m:r>
              <m:sSup>
                <m:e>
                  <m:r>
                    <m:rPr>
                      <m:sty m:val="p"/>
                    </m:rPr>
                    <m:t>δ</m:t>
                  </m:r>
                </m:e>
                <m:sup>
                  <m:r>
                    <m:rPr>
                      <m:sty m:val="p"/>
                    </m:rPr>
                    <m:t>13</m:t>
                  </m:r>
                </m:sup>
              </m:sSup>
              <m:sSub>
                <m:e>
                  <m:r>
                    <m:rPr>
                      <m:sty m:val="p"/>
                    </m:rPr>
                    <m:t>C</m:t>
                  </m:r>
                </m:e>
                <m:sub>
                  <m:r>
                    <m:rPr>
                      <m:sty m:val="p"/>
                    </m:rPr>
                    <m:t>e</m:t>
                  </m:r>
                </m:sub>
              </m:sSub>
              <m:r>
                <m:rPr>
                  <m:sty m:val="p"/>
                </m:rPr>
                <m:t>)</m:t>
              </m:r>
            </m:den>
          </m:f>
        </m:oMath>
      </m:oMathPara>
    </w:p>
    <w:p>
      <w:r>
        <w:t xml:space="preserve">where:</w:t>
      </w:r>
    </w:p>
    <w:p>
      <w:r>
        <w:br w:type="textWrapping"/>
      </w:r>
      <w:r>
        <w:t xml:space="preserve">(3)</w:t>
      </w:r>
    </w:p>
    <w:p>
      <m:oMathPara>
        <m:oMathParaPr>
          <m:jc m:val="center"/>
        </m:oMathParaPr>
        <m:oMath>
          <m:r>
            <m:rPr>
              <m:sty m:val="p"/>
            </m:rPr>
            <m:t>ξ</m:t>
          </m:r>
          <m:r>
            <m:rPr>
              <m:sty m:val="p"/>
            </m:rPr>
            <m:t>=</m:t>
          </m:r>
          <m:f>
            <m:fPr>
              <m:type m:val="bar"/>
            </m:fPr>
            <m:num>
              <m:sSub>
                <m:e>
                  <m:r>
                    <m:rPr>
                      <m:sty m:val="p"/>
                    </m:rPr>
                    <m:t>C</m:t>
                  </m:r>
                </m:e>
                <m:sub>
                  <m:r>
                    <m:rPr>
                      <m:sty m:val="p"/>
                    </m:rPr>
                    <m:t>e</m:t>
                  </m:r>
                </m:sub>
              </m:sSub>
            </m:num>
            <m:den>
              <m:sSub>
                <m:e>
                  <m:r>
                    <m:rPr>
                      <m:sty m:val="p"/>
                    </m:rPr>
                    <m:t>C</m:t>
                  </m:r>
                </m:e>
                <m:sub>
                  <m:r>
                    <m:rPr>
                      <m:sty m:val="p"/>
                    </m:rPr>
                    <m:t>e</m:t>
                  </m:r>
                </m:sub>
              </m:sSub>
              <m:r>
                <m:rPr>
                  <m:sty m:val="p"/>
                </m:rPr>
                <m:t>−</m:t>
              </m:r>
              <m:sSub>
                <m:e>
                  <m:r>
                    <m:rPr>
                      <m:sty m:val="p"/>
                    </m:rPr>
                    <m:t>C</m:t>
                  </m:r>
                </m:e>
                <m:sub>
                  <m:r>
                    <m:rPr>
                      <m:sty m:val="p"/>
                    </m:rPr>
                    <m:t>o</m:t>
                  </m:r>
                </m:sub>
              </m:sSub>
            </m:den>
          </m:f>
        </m:oMath>
      </m:oMathPara>
    </w:p>
    <w:p>
      <w:r>
        <w:t xml:space="preserve">and</w:t>
      </w:r>
      <w:r>
        <w:t xml:space="preserve"> </w:t>
      </w:r>
      <m:oMath>
        <m:r>
          <m:rPr>
            <m:sty m:val="p"/>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r>
        <w:br w:type="textWrapping"/>
      </w:r>
      <w:r>
        <w:t xml:space="preserve">Second, C isotope discrimination during C</w:t>
      </w:r>
      <w:r>
        <w:rPr>
          <w:vertAlign w:val="subscript"/>
        </w:rPr>
        <w:t xml:space="preserve">3</w:t>
      </w:r>
      <w:r>
        <w:t xml:space="preserve"> </w:t>
      </w:r>
      <w:r>
        <w:t xml:space="preserve">photosynthesis (</w:t>
      </w:r>
      <m:oMath>
        <m:r>
          <m:rPr>
            <m:sty m:val="p"/>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r>
        <w:br w:type="textWrapping"/>
      </w:r>
      <w:r>
        <w:t xml:space="preserve">(4)</w:t>
      </w:r>
    </w:p>
    <w:p>
      <m:oMathPara>
        <m:oMathParaPr>
          <m:jc m:val="center"/>
        </m:oMathParaPr>
        <m:oMath>
          <m:nary>
            <m:naryPr>
              <m:chr m:val="Δ"/>
              <m:limLoc m:val="subSup"/>
              <m:supHide m:val="off"/>
              <m:supHide m:val="off"/>
            </m:naryPr>
            <m:e>
              <m:r>
                <m:rPr>
                  <m:sty m:val="p"/>
                </m:rPr>
                <m:t>=</m:t>
              </m:r>
            </m:e>
            <m:sub>
              <m:r>
                <m:rPr>
                  <m:sty m:val="p"/>
                </m:rPr>
                <m:t>o</m:t>
              </m:r>
            </m:sub>
            <m:sup/>
          </m:nary>
          <m:nary>
            <m:naryPr>
              <m:chr m:val="Δ"/>
              <m:limLoc m:val="subSup"/>
              <m:supHide m:val="off"/>
              <m:supHide m:val="off"/>
            </m:naryPr>
            <m:e>
              <m:r>
                <m:rPr>
                  <m:sty m:val="p"/>
                </m:rPr>
                <m:t>−</m:t>
              </m:r>
            </m:e>
            <m:sub>
              <m:r>
                <m:rPr>
                  <m:sty m:val="p"/>
                </m:rPr>
                <m:t>i</m:t>
              </m:r>
            </m:sub>
            <m:sup/>
          </m:nary>
          <m:nary>
            <m:naryPr>
              <m:chr m:val="Δ"/>
              <m:limLoc m:val="subSup"/>
              <m:supHide m:val="off"/>
              <m:supHide m:val="off"/>
            </m:naryPr>
            <m:e>
              <m:r>
                <m:rPr>
                  <m:sty m:val="p"/>
                </m:rPr>
                <m:t>−</m:t>
              </m:r>
            </m:e>
            <m:sub>
              <m:r>
                <m:rPr>
                  <m:sty m:val="p"/>
                </m:rPr>
                <m:t>g</m:t>
              </m:r>
              <m:r>
                <m:rPr>
                  <m:sty m:val="p"/>
                </m:rPr>
                <m:t>m</m:t>
              </m:r>
            </m:sub>
            <m:sup/>
          </m:nary>
          <m:nary>
            <m:naryPr>
              <m:chr m:val="Δ"/>
              <m:limLoc m:val="subSup"/>
              <m:supHide m:val="off"/>
              <m:supHide m:val="off"/>
            </m:naryPr>
            <m:e>
              <m:r>
                <m:rPr>
                  <m:sty m:val="p"/>
                </m:rPr>
                <m:t>−</m:t>
              </m:r>
            </m:e>
            <m:sub>
              <m:r>
                <m:rPr>
                  <m:sty m:val="p"/>
                </m:rPr>
                <m:t>e</m:t>
              </m:r>
            </m:sub>
            <m:sup/>
          </m:nary>
          <m:nary>
            <m:naryPr>
              <m:chr m:val="Δ"/>
              <m:limLoc m:val="subSup"/>
              <m:supHide m:val="off"/>
              <m:supHide m:val="off"/>
            </m:naryPr>
            <m:e/>
            <m:sub>
              <m:r>
                <m:rPr>
                  <m:sty m:val="p"/>
                </m:rPr>
                <m:t>f</m:t>
              </m:r>
            </m:sub>
            <m:sup/>
          </m:nary>
        </m:oMath>
      </m:oMathPara>
    </w:p>
    <w:p>
      <w:r>
        <w:t xml:space="preserve">where</w:t>
      </w:r>
      <w:r>
        <w:t xml:space="preserve"> </w:t>
      </w:r>
      <m:oMath>
        <m:r>
          <m:rPr>
            <m:sty m:val="p"/>
          </m:rPr>
          <m:t>Δ</m:t>
        </m:r>
      </m:oMath>
      <w:r>
        <w:rPr>
          <w:vertAlign w:val="subscript"/>
        </w:rPr>
        <w:t xml:space="preserve">o</w:t>
      </w:r>
      <w:r>
        <w:t xml:space="preserve"> </w:t>
      </w:r>
      <w:r>
        <w:t xml:space="preserve">is the observed discrimination and</w:t>
      </w:r>
      <w:r>
        <w:t xml:space="preserve"> </w:t>
      </w:r>
      <m:oMath>
        <m:r>
          <m:rPr>
            <m:sty m:val="p"/>
          </m:rPr>
          <m:t>Δ</m:t>
        </m:r>
      </m:oMath>
      <w:r>
        <w:rPr>
          <w:vertAlign w:val="subscript"/>
        </w:rPr>
        <w:t xml:space="preserve">i</w:t>
      </w:r>
      <w:r>
        <w:t xml:space="preserve">,</w:t>
      </w:r>
      <w:r>
        <w:t xml:space="preserve"> </w:t>
      </w:r>
      <m:oMath>
        <m:r>
          <m:rPr>
            <m:sty m:val="p"/>
          </m:rPr>
          <m:t>Δ</m:t>
        </m:r>
      </m:oMath>
      <w:r>
        <w:rPr>
          <w:vertAlign w:val="subscript"/>
        </w:rPr>
        <w:t xml:space="preserve">gm</w:t>
      </w:r>
      <w:r>
        <w:t xml:space="preserve"> </w:t>
      </w:r>
      <w:r>
        <w:t xml:space="preserve">,</w:t>
      </w:r>
      <w:r>
        <w:t xml:space="preserve"> </w:t>
      </w:r>
      <m:oMath>
        <m:r>
          <m:rPr>
            <m:sty m:val="p"/>
          </m:rPr>
          <m:t>Δ</m:t>
        </m:r>
      </m:oMath>
      <w:r>
        <w:rPr>
          <w:vertAlign w:val="subscript"/>
        </w:rPr>
        <w:t xml:space="preserve">e</w:t>
      </w:r>
      <w:r>
        <w:t xml:space="preserve"> </w:t>
      </w:r>
      <w:r>
        <w:t xml:space="preserve">and</w:t>
      </w:r>
      <w:r>
        <w:t xml:space="preserve"> </w:t>
      </w:r>
      <m:oMath>
        <m:r>
          <m:rPr>
            <m:sty m:val="p"/>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r>
        <w:br w:type="textWrapping"/>
      </w:r>
      <w:r>
        <w:t xml:space="preserve">(5)</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i</m:t>
                    </m:r>
                  </m:sub>
                  <m:sup/>
                </m:nary>
              </m:e>
              <m:e>
                <m:f>
                  <m:fPr>
                    <m:type m:val="bar"/>
                  </m:fPr>
                  <m:num>
                    <m:r>
                      <m:rPr>
                        <m:sty m:val="p"/>
                      </m:rPr>
                      <m:t>1</m:t>
                    </m:r>
                  </m:num>
                  <m:den>
                    <m:r>
                      <m:rPr>
                        <m:sty m:val="p"/>
                      </m:rPr>
                      <m:t>1</m:t>
                    </m:r>
                    <m:r>
                      <m:rPr>
                        <m:sty m:val="p"/>
                      </m:rPr>
                      <m:t>−</m:t>
                    </m:r>
                    <m:r>
                      <m:rPr>
                        <m:sty m:val="p"/>
                      </m:rPr>
                      <m:t>t</m:t>
                    </m:r>
                  </m:den>
                </m:f>
                <m:sSub>
                  <m:e>
                    <m:r>
                      <m:rPr>
                        <m:sty m:val="p"/>
                      </m:rPr>
                      <m:t>a</m:t>
                    </m:r>
                  </m:e>
                  <m:sub>
                    <m:r>
                      <m:rPr>
                        <m:sty m:val="p"/>
                      </m:rPr>
                      <m:t>i</m:t>
                    </m:r>
                  </m:sub>
                </m:sSub>
                <m:r>
                  <m:rPr>
                    <m:sty m:val="p"/>
                  </m:rPr>
                  <m:t>+</m:t>
                </m:r>
                <m:f>
                  <m:fPr>
                    <m:type m:val="bar"/>
                  </m:fPr>
                  <m:num>
                    <m:r>
                      <m:rPr>
                        <m:sty m:val="p"/>
                      </m:rPr>
                      <m:t>1</m:t>
                    </m:r>
                  </m:num>
                  <m:den>
                    <m:r>
                      <m:rPr>
                        <m:sty m:val="p"/>
                      </m:rPr>
                      <m:t>1</m:t>
                    </m:r>
                    <m:r>
                      <m:rPr>
                        <m:sty m:val="p"/>
                      </m:rPr>
                      <m:t>−</m:t>
                    </m:r>
                    <m:r>
                      <m:rPr>
                        <m:sty m:val="p"/>
                      </m:rPr>
                      <m:t>t</m:t>
                    </m:r>
                  </m:den>
                </m:f>
                <m:r>
                  <m:rPr>
                    <m:sty m:val="p"/>
                  </m:rPr>
                  <m:t>(</m:t>
                </m:r>
                <m:r>
                  <m:rPr>
                    <m:sty m:val="p"/>
                  </m:rPr>
                  <m:t>(</m:t>
                </m:r>
                <m:r>
                  <m:rPr>
                    <m:sty m:val="p"/>
                  </m:rPr>
                  <m:t>1</m:t>
                </m:r>
                <m:r>
                  <m:rPr>
                    <m:sty m:val="p"/>
                  </m:rPr>
                  <m:t>+</m:t>
                </m:r>
                <m:r>
                  <m:rPr>
                    <m:sty m:val="p"/>
                  </m:rPr>
                  <m:t>t</m:t>
                </m:r>
                <m:r>
                  <m:rPr>
                    <m:sty m:val="p"/>
                  </m:rPr>
                  <m:t>)</m:t>
                </m:r>
                <m:r>
                  <m:rPr>
                    <m:sty m:val="p"/>
                  </m:rPr>
                  <m:t>b</m:t>
                </m:r>
                <m:r>
                  <m:rPr>
                    <m:sty m:val="p"/>
                  </m:rPr>
                  <m:t>−</m:t>
                </m:r>
                <m:r>
                  <m:rPr>
                    <m:sty m:val="p"/>
                  </m:rPr>
                  <m:t>a</m:t>
                </m:r>
                <m:r>
                  <m:rPr>
                    <m:sty m:val="p"/>
                  </m:rPr>
                  <m:t>′</m:t>
                </m:r>
                <m:r>
                  <m:rPr>
                    <m:sty m:val="p"/>
                  </m:rPr>
                  <m:t>)</m:t>
                </m:r>
                <m:f>
                  <m:fPr>
                    <m:type m:val="bar"/>
                  </m:fPr>
                  <m:num>
                    <m:sSub>
                      <m:e>
                        <m:r>
                          <m:rPr>
                            <m:sty m:val="p"/>
                          </m:rPr>
                          <m:t>C</m:t>
                        </m:r>
                      </m:e>
                      <m:sub>
                        <m:r>
                          <m:rPr>
                            <m:sty m:val="p"/>
                          </m:rPr>
                          <m:t>i</m:t>
                        </m:r>
                      </m:sub>
                    </m:sSub>
                  </m:num>
                  <m:den>
                    <m:sSub>
                      <m:e>
                        <m:r>
                          <m:rPr>
                            <m:sty m:val="p"/>
                          </m:rPr>
                          <m:t>C</m:t>
                        </m:r>
                      </m:e>
                      <m:sub>
                        <m:r>
                          <m:rPr>
                            <m:sty m:val="p"/>
                          </m:rPr>
                          <m:t>a</m:t>
                        </m:r>
                      </m:sub>
                    </m:sSub>
                  </m:den>
                </m:f>
              </m:e>
            </m:mr>
          </m:m>
        </m:oMath>
      </m:oMathPara>
    </w:p>
    <w:p>
      <w:r>
        <w:br w:type="textWrapping"/>
      </w:r>
      <w:r>
        <w:t xml:space="preserve">(6)</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g</m:t>
                    </m:r>
                    <m:r>
                      <m:rPr>
                        <m:sty m:val="p"/>
                      </m:rPr>
                      <m:t>m</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b</m:t>
                    </m:r>
                    <m:r>
                      <m:rPr>
                        <m:sty m:val="p"/>
                      </m:rPr>
                      <m:t>−</m:t>
                    </m:r>
                    <m:r>
                      <m:rPr>
                        <m:sty m:val="p"/>
                      </m:rPr>
                      <m:t>a</m:t>
                    </m:r>
                    <m:r>
                      <m:rPr>
                        <m:sty m:val="p"/>
                      </m:rPr>
                      <m:t>′</m:t>
                    </m:r>
                    <m:r>
                      <m:rPr>
                        <m:sty m:val="p"/>
                      </m:rPr>
                      <m:t>−</m:t>
                    </m:r>
                    <m:f>
                      <m:fPr>
                        <m:type m:val="bar"/>
                      </m:fPr>
                      <m:num>
                        <m:r>
                          <m:rPr>
                            <m:sty m:val="p"/>
                          </m:rPr>
                          <m:t>e</m:t>
                        </m:r>
                        <m:sSub>
                          <m:e>
                            <m:r>
                              <m:rPr>
                                <m:sty m:val="p"/>
                              </m:rPr>
                              <m:t>R</m:t>
                            </m:r>
                          </m:e>
                          <m:sub>
                            <m:r>
                              <m:rPr>
                                <m:sty m:val="p"/>
                              </m:rPr>
                              <m:t>d</m:t>
                            </m:r>
                          </m:sub>
                        </m:sSub>
                      </m:num>
                      <m:den>
                        <m:r>
                          <m:rPr>
                            <m:sty m:val="p"/>
                          </m:rPr>
                          <m:t>A</m:t>
                        </m:r>
                        <m:r>
                          <m:rPr>
                            <m:sty m:val="p"/>
                          </m:rPr>
                          <m:t>+</m:t>
                        </m:r>
                        <m:sSub>
                          <m:e>
                            <m:r>
                              <m:rPr>
                                <m:sty m:val="p"/>
                              </m:rPr>
                              <m:t>R</m:t>
                            </m:r>
                          </m:e>
                          <m:sub>
                            <m:r>
                              <m:rPr>
                                <m:sty m:val="p"/>
                              </m:rPr>
                              <m:t>d</m:t>
                            </m:r>
                          </m:sub>
                        </m:sSub>
                      </m:den>
                    </m:f>
                  </m:e>
                </m:d>
                <m:f>
                  <m:fPr>
                    <m:type m:val="bar"/>
                  </m:fPr>
                  <m:num>
                    <m:r>
                      <m:rPr>
                        <m:sty m:val="p"/>
                      </m:rPr>
                      <m:t>A</m:t>
                    </m:r>
                  </m:num>
                  <m:den>
                    <m:sSub>
                      <m:e>
                        <m:r>
                          <m:rPr>
                            <m:sty m:val="p"/>
                          </m:rPr>
                          <m:t>g</m:t>
                        </m:r>
                      </m:e>
                      <m:sub>
                        <m:r>
                          <m:rPr>
                            <m:sty m:val="p"/>
                          </m:rPr>
                          <m:t>m</m:t>
                        </m:r>
                      </m:sub>
                    </m:sSub>
                    <m:sSub>
                      <m:e>
                        <m:r>
                          <m:rPr>
                            <m:sty m:val="p"/>
                          </m:rPr>
                          <m:t>C</m:t>
                        </m:r>
                      </m:e>
                      <m:sub>
                        <m:r>
                          <m:rPr>
                            <m:sty m:val="p"/>
                          </m:rPr>
                          <m:t>a</m:t>
                        </m:r>
                      </m:sub>
                    </m:sSub>
                  </m:den>
                </m:f>
              </m:e>
            </m:mr>
          </m:m>
        </m:oMath>
      </m:oMathPara>
    </w:p>
    <w:p>
      <w:r>
        <w:br w:type="textWrapping"/>
      </w:r>
      <w:r>
        <w:t xml:space="preserve">(7)</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e</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f>
                      <m:fPr>
                        <m:type m:val="bar"/>
                      </m:fPr>
                      <m:num>
                        <m:r>
                          <m:rPr>
                            <m:sty m:val="p"/>
                          </m:rPr>
                          <m:t>e</m:t>
                        </m:r>
                        <m:sSub>
                          <m:e>
                            <m:r>
                              <m:rPr>
                                <m:sty m:val="p"/>
                              </m:rPr>
                              <m:t>R</m:t>
                            </m:r>
                          </m:e>
                          <m:sub>
                            <m:r>
                              <m:rPr>
                                <m:sty m:val="p"/>
                              </m:rPr>
                              <m:t>d</m:t>
                            </m:r>
                          </m:sub>
                        </m:sSub>
                      </m:num>
                      <m:den>
                        <m:r>
                          <m:rPr>
                            <m:sty m:val="p"/>
                          </m:rPr>
                          <m:t>(</m:t>
                        </m:r>
                        <m:r>
                          <m:rPr>
                            <m:sty m:val="p"/>
                          </m:rPr>
                          <m:t>A</m:t>
                        </m:r>
                        <m:r>
                          <m:rPr>
                            <m:sty m:val="p"/>
                          </m:rPr>
                          <m:t>+</m:t>
                        </m:r>
                        <m:sSub>
                          <m:e>
                            <m:r>
                              <m:rPr>
                                <m:sty m:val="p"/>
                              </m:rPr>
                              <m:t>R</m:t>
                            </m:r>
                          </m:e>
                          <m:sub>
                            <m:r>
                              <m:rPr>
                                <m:sty m:val="p"/>
                              </m:rPr>
                              <m:t>d</m:t>
                            </m:r>
                          </m:sub>
                        </m:sSub>
                        <m:r>
                          <m:rPr>
                            <m:sty m:val="p"/>
                          </m:rPr>
                          <m:t>)</m:t>
                        </m:r>
                        <m:sSub>
                          <m:e>
                            <m:r>
                              <m:rPr>
                                <m:sty m:val="p"/>
                              </m:rPr>
                              <m:t>C</m:t>
                            </m:r>
                          </m:e>
                          <m:sub>
                            <m:r>
                              <m:rPr>
                                <m:sty m:val="p"/>
                              </m:rPr>
                              <m:t>a</m:t>
                            </m:r>
                          </m:sub>
                        </m:sSub>
                      </m:den>
                    </m:f>
                    <m:r>
                      <m:rPr>
                        <m:sty m:val="p"/>
                      </m:rPr>
                      <m:t>(</m:t>
                    </m:r>
                    <m:sSub>
                      <m:e>
                        <m:r>
                          <m:rPr>
                            <m:sty m:val="p"/>
                          </m:rPr>
                          <m:t>C</m:t>
                        </m:r>
                      </m:e>
                      <m:sub>
                        <m:r>
                          <m:rPr>
                            <m:sty m:val="p"/>
                          </m:rPr>
                          <m:t>i</m:t>
                        </m:r>
                      </m:sub>
                    </m:sSub>
                    <m:r>
                      <m:rPr>
                        <m:sty m:val="p"/>
                      </m:rPr>
                      <m:t>−</m:t>
                    </m:r>
                    <m:sSub>
                      <m:e>
                        <m:r>
                          <m:rPr>
                            <m:sty m:val="p"/>
                          </m:rPr>
                          <m:t>Γ</m:t>
                        </m:r>
                      </m:e>
                      <m:sub>
                        <m:r>
                          <m:rPr>
                            <m:sty m:val="p"/>
                          </m:rPr>
                          <m:t>*</m:t>
                        </m:r>
                      </m:sub>
                    </m:sSub>
                    <m:r>
                      <m:rPr>
                        <m:sty m:val="p"/>
                      </m:rPr>
                      <m:t>)</m:t>
                    </m:r>
                  </m:e>
                </m:d>
              </m:e>
            </m:mr>
          </m:m>
        </m:oMath>
      </m:oMathPara>
    </w:p>
    <w:p>
      <w:r>
        <w:br w:type="textWrapping"/>
      </w:r>
      <w:r>
        <w:t xml:space="preserve">(8)</w:t>
      </w:r>
    </w:p>
    <w:p>
      <m:oMathPara>
        <m:oMathParaPr>
          <m:jc m:val="center"/>
        </m:oMathParaPr>
        <m:oMath>
          <m:m>
            <m:mPr>
              <m:baseJc m:val="center"/>
              <m:plcHide m:val="on"/>
              <m:mcs>
                <m:mc>
                  <m:mcPr>
                    <m:mcJc m:val="right"/>
                  </m:mcPr>
                </m:mc>
              </m:mcs>
            </m:mPr>
            <m:mr>
              <m:e>
                <m:nary>
                  <m:naryPr>
                    <m:chr m:val="Δ"/>
                    <m:limLoc m:val="subSup"/>
                    <m:supHide m:val="off"/>
                    <m:supHide m:val="off"/>
                  </m:naryPr>
                  <m:e>
                    <m:r>
                      <m:rPr>
                        <m:sty m:val="p"/>
                      </m:rPr>
                      <m:t>=</m:t>
                    </m:r>
                  </m:e>
                  <m:sub>
                    <m:r>
                      <m:rPr>
                        <m:sty m:val="p"/>
                      </m:rPr>
                      <m:t>f</m:t>
                    </m:r>
                  </m:sub>
                  <m:sup/>
                </m:nary>
              </m:e>
              <m:e>
                <m:f>
                  <m:fPr>
                    <m:type m:val="bar"/>
                  </m:fPr>
                  <m:num>
                    <m:r>
                      <m:rPr>
                        <m:sty m:val="p"/>
                      </m:rPr>
                      <m:t>1</m:t>
                    </m:r>
                    <m:r>
                      <m:rPr>
                        <m:sty m:val="p"/>
                      </m:rPr>
                      <m:t>+</m:t>
                    </m:r>
                    <m:r>
                      <m:rPr>
                        <m:sty m:val="p"/>
                      </m:rPr>
                      <m:t>t</m:t>
                    </m:r>
                  </m:num>
                  <m:den>
                    <m:r>
                      <m:rPr>
                        <m:sty m:val="p"/>
                      </m:rPr>
                      <m:t>1</m:t>
                    </m:r>
                    <m:r>
                      <m:rPr>
                        <m:sty m:val="p"/>
                      </m:rPr>
                      <m:t>−</m:t>
                    </m:r>
                    <m:r>
                      <m:rPr>
                        <m:sty m:val="p"/>
                      </m:rPr>
                      <m:t>t</m:t>
                    </m:r>
                  </m:den>
                </m:f>
                <m:d>
                  <m:dPr>
                    <m:begChr m:val="("/>
                    <m:endChr m:val=")"/>
                    <m:grow/>
                  </m:dPr>
                  <m:e>
                    <m:r>
                      <m:rPr>
                        <m:sty m:val="p"/>
                      </m:rPr>
                      <m:t>f</m:t>
                    </m:r>
                    <m:f>
                      <m:fPr>
                        <m:type m:val="bar"/>
                      </m:fPr>
                      <m:num>
                        <m:sSub>
                          <m:e>
                            <m:r>
                              <m:rPr>
                                <m:sty m:val="p"/>
                              </m:rPr>
                              <m:t>Γ</m:t>
                            </m:r>
                          </m:e>
                          <m:sub>
                            <m:r>
                              <m:rPr>
                                <m:sty m:val="p"/>
                              </m:rPr>
                              <m:t>*</m:t>
                            </m:r>
                          </m:sub>
                        </m:sSub>
                      </m:num>
                      <m:den>
                        <m:sSub>
                          <m:e>
                            <m:r>
                              <m:rPr>
                                <m:sty m:val="p"/>
                              </m:rPr>
                              <m:t>C</m:t>
                            </m:r>
                          </m:e>
                          <m:sub>
                            <m:r>
                              <m:rPr>
                                <m:sty m:val="p"/>
                              </m:rPr>
                              <m:t>a</m:t>
                            </m:r>
                          </m:sub>
                        </m:sSub>
                      </m:den>
                    </m:f>
                  </m:e>
                </m:d>
              </m:e>
            </m:mr>
          </m:m>
        </m:oMath>
      </m:oMathPara>
    </w:p>
    <w:p>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r>
        <w:br w:type="textWrapping"/>
      </w:r>
      <w:r>
        <w:t xml:space="preserve">(9)</w:t>
      </w:r>
    </w:p>
    <w:p>
      <m:oMathPara>
        <m:oMathParaPr>
          <m:jc m:val="center"/>
        </m:oMathParaPr>
        <m:oMath>
          <m:r>
            <m:rPr>
              <m:sty m:val="p"/>
            </m:rPr>
            <m:t>a</m:t>
          </m:r>
          <m:r>
            <m:rPr>
              <m:sty m:val="p"/>
            </m:rPr>
            <m:t>′</m:t>
          </m:r>
          <m:r>
            <m:rPr>
              <m:sty m:val="p"/>
            </m:rPr>
            <m:t>=</m:t>
          </m:r>
          <m:f>
            <m:fPr>
              <m:type m:val="bar"/>
            </m:fPr>
            <m:num>
              <m:sSub>
                <m:e>
                  <m:r>
                    <m:rPr>
                      <m:sty m:val="p"/>
                    </m:rPr>
                    <m:t>a</m:t>
                  </m:r>
                </m:e>
                <m:sub>
                  <m:r>
                    <m:rPr>
                      <m:sty m:val="p"/>
                    </m:rPr>
                    <m:t>b</m:t>
                  </m:r>
                </m:sub>
              </m:sSub>
              <m:r>
                <m:rPr>
                  <m:sty m:val="p"/>
                </m:rPr>
                <m:t>(</m:t>
              </m:r>
              <m:sSub>
                <m:e>
                  <m:r>
                    <m:rPr>
                      <m:sty m:val="p"/>
                    </m:rPr>
                    <m:t>C</m:t>
                  </m:r>
                </m:e>
                <m:sub>
                  <m:r>
                    <m:rPr>
                      <m:sty m:val="p"/>
                    </m:rPr>
                    <m:t>a</m:t>
                  </m:r>
                </m:sub>
              </m:sSub>
              <m:r>
                <m:rPr>
                  <m:sty m:val="p"/>
                </m:rPr>
                <m:t>−</m:t>
              </m:r>
              <m:sSub>
                <m:e>
                  <m:r>
                    <m:rPr>
                      <m:sty m:val="p"/>
                    </m:rPr>
                    <m:t>C</m:t>
                  </m:r>
                </m:e>
                <m:sub>
                  <m:r>
                    <m:rPr>
                      <m:sty m:val="p"/>
                    </m:rPr>
                    <m:t>i</m:t>
                  </m:r>
                </m:sub>
              </m:sSub>
              <m:r>
                <m:rPr>
                  <m:sty m:val="p"/>
                </m:rPr>
                <m:t>)</m:t>
              </m:r>
              <m:r>
                <m:rPr>
                  <m:sty m:val="p"/>
                </m:rPr>
                <m:t>+</m:t>
              </m:r>
              <m:r>
                <m:rPr>
                  <m:sty m:val="p"/>
                </m:rPr>
                <m:t>a</m:t>
              </m:r>
              <m:r>
                <m:rPr>
                  <m:sty m:val="p"/>
                </m:rPr>
                <m:t>(</m:t>
              </m:r>
              <m:sSub>
                <m:e>
                  <m:r>
                    <m:rPr>
                      <m:sty m:val="p"/>
                    </m:rPr>
                    <m:t>C</m:t>
                  </m:r>
                </m:e>
                <m:sub>
                  <m:r>
                    <m:rPr>
                      <m:sty m:val="p"/>
                    </m:rPr>
                    <m:t>s</m:t>
                  </m:r>
                </m:sub>
              </m:sSub>
              <m:r>
                <m:rPr>
                  <m:sty m:val="p"/>
                </m:rPr>
                <m:t>−</m:t>
              </m:r>
              <m:sSub>
                <m:e>
                  <m:r>
                    <m:rPr>
                      <m:sty m:val="p"/>
                    </m:rPr>
                    <m:t>C</m:t>
                  </m:r>
                </m:e>
                <m:sub>
                  <m:r>
                    <m:rPr>
                      <m:sty m:val="p"/>
                    </m:rPr>
                    <m:t>i</m:t>
                  </m:r>
                </m:sub>
              </m:sSub>
              <m:r>
                <m:rPr>
                  <m:sty m:val="p"/>
                </m:rPr>
                <m:t>)</m:t>
              </m:r>
            </m:num>
            <m:den>
              <m:sSub>
                <m:e>
                  <m:r>
                    <m:rPr>
                      <m:sty m:val="p"/>
                    </m:rPr>
                    <m:t>C</m:t>
                  </m:r>
                </m:e>
                <m:sub>
                  <m:r>
                    <m:rPr>
                      <m:sty m:val="p"/>
                    </m:rPr>
                    <m:t>a</m:t>
                  </m:r>
                </m:sub>
              </m:sSub>
              <m:r>
                <m:rPr>
                  <m:sty m:val="p"/>
                </m:rPr>
                <m:t>−</m:t>
              </m:r>
              <m:sSub>
                <m:e>
                  <m:r>
                    <m:rPr>
                      <m:sty m:val="p"/>
                    </m:rPr>
                    <m:t>C</m:t>
                  </m:r>
                </m:e>
                <m:sub>
                  <m:r>
                    <m:rPr>
                      <m:sty m:val="p"/>
                    </m:rPr>
                    <m:t>i</m:t>
                  </m:r>
                </m:sub>
              </m:sSub>
            </m:den>
          </m:f>
        </m:oMath>
      </m:oMathPara>
    </w:p>
    <w:p>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nary>
          <m:naryPr>
            <m:chr m:val="Γ"/>
            <m:limLoc m:val="subSup"/>
            <m:supHide m:val="off"/>
            <m:supHide m:val="off"/>
          </m:naryPr>
          <m:e/>
          <m:sub>
            <m:r>
              <m:rPr>
                <m:sty m:val="p"/>
              </m:rPr>
              <m:t>*</m:t>
            </m:r>
          </m:sub>
          <m:sup/>
        </m:nary>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nary>
          <m:naryPr>
            <m:chr m:val="Γ"/>
            <m:limLoc m:val="subSup"/>
            <m:supHide m:val="off"/>
            <m:supHide m:val="off"/>
          </m:naryPr>
          <m:e/>
          <m:sub>
            <m:r>
              <m:rPr>
                <m:sty m:val="p"/>
              </m:rPr>
              <m:t>*</m:t>
            </m:r>
          </m:sub>
          <m:sup/>
        </m:nary>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w:t>
      </w:r>
      <w:r>
        <w:t xml:space="preserve"> </w:t>
      </w:r>
      <w:r>
        <w:t xml:space="preserve">(Crous</w:t>
      </w:r>
      <w:r>
        <w:t xml:space="preserve"> </w:t>
      </w:r>
      <w:r>
        <w:rPr>
          <w:i/>
        </w:rPr>
        <w:t xml:space="preserve">et al.</w:t>
      </w:r>
      <w:r>
        <w:t xml:space="preserve">, 2012)</w:t>
      </w:r>
      <w:r>
        <w:t xml:space="preserve">. The ternary effect corrections (t) are described by:</w:t>
      </w:r>
    </w:p>
    <w:p>
      <w:r>
        <w:br w:type="textWrapping"/>
      </w:r>
      <w:r>
        <w:t xml:space="preserve">(10)</w:t>
      </w:r>
    </w:p>
    <w:p>
      <m:oMathPara>
        <m:oMathParaPr>
          <m:jc m:val="center"/>
        </m:oMathParaPr>
        <m:oMath>
          <m:r>
            <m:rPr>
              <m:sty m:val="p"/>
            </m:rPr>
            <m:t>t</m:t>
          </m:r>
          <m:r>
            <m:rPr>
              <m:sty m:val="p"/>
            </m:rPr>
            <m:t>=</m:t>
          </m:r>
          <m:f>
            <m:fPr>
              <m:type m:val="bar"/>
            </m:fPr>
            <m:num>
              <m:r>
                <m:rPr>
                  <m:sty m:val="p"/>
                </m:rPr>
                <m:t>(</m:t>
              </m:r>
              <m:r>
                <m:rPr>
                  <m:sty m:val="p"/>
                </m:rPr>
                <m:t>1</m:t>
              </m:r>
              <m:r>
                <m:rPr>
                  <m:sty m:val="p"/>
                </m:rPr>
                <m:t>+</m:t>
              </m:r>
              <m:r>
                <m:rPr>
                  <m:sty m:val="p"/>
                </m:rPr>
                <m:t>a</m:t>
              </m:r>
              <m:r>
                <m:rPr>
                  <m:sty m:val="p"/>
                </m:rPr>
                <m:t>′</m:t>
              </m:r>
              <m:r>
                <m:rPr>
                  <m:sty m:val="p"/>
                </m:rPr>
                <m:t>)</m:t>
              </m:r>
              <m:r>
                <m:rPr>
                  <m:sty m:val="p"/>
                </m:rPr>
                <m:t>E</m:t>
              </m:r>
            </m:num>
            <m:den>
              <m:r>
                <m:rPr>
                  <m:sty m:val="p"/>
                </m:rPr>
                <m:t>2</m:t>
              </m:r>
              <m:sSubSup>
                <m:e>
                  <m:r>
                    <m:rPr>
                      <m:sty m:val="p"/>
                    </m:rPr>
                    <m:t>g</m:t>
                  </m:r>
                </m:e>
                <m:sub>
                  <m:r>
                    <m:rPr>
                      <m:sty m:val="p"/>
                    </m:rPr>
                    <m:t>a</m:t>
                  </m:r>
                  <m:r>
                    <m:rPr>
                      <m:sty m:val="p"/>
                    </m:rPr>
                    <m:t>c</m:t>
                  </m:r>
                </m:sub>
                <m:sup>
                  <m:r>
                    <m:rPr>
                      <m:sty m:val="p"/>
                    </m:rPr>
                    <m:t>t</m:t>
                  </m:r>
                </m:sup>
              </m:sSubSup>
            </m:den>
          </m:f>
        </m:oMath>
      </m:oMathPara>
    </w:p>
    <w:p>
      <w:r>
        <w:t xml:space="preserve">where E denotes the transpiration rate and</w:t>
      </w:r>
      <w:r>
        <w:t xml:space="preserve"> </w:t>
      </w:r>
      <m:oMath>
        <m:sSubSup>
          <m:e>
            <m:r>
              <m:rPr>
                <m:sty m:val="p"/>
              </m:rPr>
              <m:t>g</m:t>
            </m:r>
          </m:e>
          <m:sub>
            <m:r>
              <m:rPr>
                <m:sty m:val="p"/>
              </m:rPr>
              <m:t>a</m:t>
            </m:r>
            <m:r>
              <m:rPr>
                <m:sty m:val="p"/>
              </m:rPr>
              <m:t>c</m:t>
            </m:r>
          </m:sub>
          <m:sup>
            <m:r>
              <m:rPr>
                <m:sty m:val="p"/>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r>
        <w:br w:type="textWrapping"/>
      </w:r>
      <w:r>
        <w:t xml:space="preserve">The CO</w:t>
      </w:r>
      <w:r>
        <w:rPr>
          <w:vertAlign w:val="subscript"/>
        </w:rPr>
        <w:t xml:space="preserve">2</w:t>
      </w:r>
      <w:r>
        <w:t xml:space="preserve"> </w:t>
      </w:r>
      <w:r>
        <w:t xml:space="preserve">diffusion from the intercellular airspace to the chloroplast, g</w:t>
      </w:r>
      <w:r>
        <w:rPr>
          <w:vertAlign w:val="subscript"/>
        </w:rPr>
        <w:t xml:space="preserve">m</w:t>
      </w:r>
      <w:r>
        <w:t xml:space="preserve">, is given by its relationship to the leaf photosynthesis rate (</w:t>
      </w:r>
      <w:r>
        <w:rPr>
          <w:i/>
        </w:rPr>
        <w:t xml:space="preserve">A</w:t>
      </w:r>
      <w:r>
        <w:rPr>
          <w:vertAlign w:val="subscript"/>
          <w:i/>
        </w:rPr>
        <w:t xml:space="preserve">n</w:t>
      </w:r>
      <w:r>
        <w:t xml:space="preserve">) by:</w:t>
      </w:r>
    </w:p>
    <w:p>
      <w:r>
        <w:br w:type="textWrapping"/>
      </w:r>
      <w:r>
        <w:t xml:space="preserve">(11)</w:t>
      </w:r>
    </w:p>
    <w:p>
      <m:oMathPara>
        <m:oMathParaPr>
          <m:jc m:val="center"/>
        </m:oMathParaPr>
        <m:oMath>
          <m:sSub>
            <m:e>
              <m:r>
                <m:rPr>
                  <m:sty m:val="p"/>
                </m:rPr>
                <m:t>g</m:t>
              </m:r>
            </m:e>
            <m:sub>
              <m:r>
                <m:rPr>
                  <m:sty m:val="p"/>
                </m:rPr>
                <m:t>m</m:t>
              </m:r>
            </m:sub>
          </m:sSub>
          <m:r>
            <m:rPr>
              <m:sty m:val="p"/>
            </m:rPr>
            <m:t>=</m:t>
          </m:r>
          <m:f>
            <m:fPr>
              <m:type m:val="bar"/>
            </m:fPr>
            <m:num>
              <m:r>
                <m:rPr>
                  <m:sty m:val="p"/>
                </m:rPr>
                <m:t>*</m:t>
              </m:r>
              <m:r>
                <m:rPr>
                  <m:sty m:val="p"/>
                </m:rPr>
                <m:t>A</m:t>
              </m:r>
              <m:r>
                <m:rPr>
                  <m:sty m:val="p"/>
                </m:rPr>
                <m:t> </m:t>
              </m:r>
              <m:r>
                <m:rPr>
                  <m:sty m:val="p"/>
                </m:rPr>
                <m:t>n</m:t>
              </m:r>
              <m:r>
                <m:rPr>
                  <m:sty m:val="p"/>
                </m:rPr>
                <m:t> </m:t>
              </m:r>
              <m:r>
                <m:rPr>
                  <m:sty m:val="p"/>
                </m:rPr>
                <m:t>*</m:t>
              </m:r>
            </m:num>
            <m:den>
              <m:sSub>
                <m:e>
                  <m:r>
                    <m:rPr>
                      <m:sty m:val="p"/>
                    </m:rPr>
                    <m:t>C</m:t>
                  </m:r>
                </m:e>
                <m:sub>
                  <m:r>
                    <m:rPr>
                      <m:sty m:val="p"/>
                    </m:rPr>
                    <m:t>i</m:t>
                  </m:r>
                </m:sub>
              </m:sSub>
              <m:r>
                <m:rPr>
                  <m:sty m:val="p"/>
                </m:rPr>
                <m:t>−</m:t>
              </m:r>
              <m:sSub>
                <m:e>
                  <m:r>
                    <m:rPr>
                      <m:sty m:val="p"/>
                    </m:rPr>
                    <m:t>C</m:t>
                  </m:r>
                </m:e>
                <m:sub>
                  <m:r>
                    <m:rPr>
                      <m:sty m:val="p"/>
                    </m:rPr>
                    <m:t>c</m:t>
                  </m:r>
                </m:sub>
              </m:sSub>
            </m:den>
          </m:f>
        </m:oMath>
      </m:oMathPara>
    </w:p>
    <w:p>
      <w:r>
        <w:t xml:space="preserve">where C</w:t>
      </w:r>
      <w:r>
        <w:rPr>
          <w:vertAlign w:val="subscript"/>
        </w:rPr>
        <w:t xml:space="preserve">c</w:t>
      </w:r>
      <w:r>
        <w:t xml:space="preserve"> </w:t>
      </w:r>
      <w:r>
        <w:t xml:space="preserve">is the chloroplast CO</w:t>
      </w:r>
      <w:r>
        <w:rPr>
          <w:vertAlign w:val="subscript"/>
        </w:rPr>
        <w:t xml:space="preserve">2</w:t>
      </w:r>
      <w:r>
        <w:t xml:space="preserve"> </w:t>
      </w:r>
      <w:r>
        <w:t xml:space="preserve">partial pressure. Once g</w:t>
      </w:r>
      <w:r>
        <w:rPr>
          <w:vertAlign w:val="subscript"/>
        </w:rPr>
        <w:t xml:space="preserve">m</w:t>
      </w:r>
      <w:r>
        <w:t xml:space="preserve"> </w:t>
      </w:r>
      <w:r>
        <w:t xml:space="preserve">was calculated C</w:t>
      </w:r>
      <w:r>
        <w:rPr>
          <w:vertAlign w:val="subscript"/>
        </w:rPr>
        <w:t xml:space="preserve">c</w:t>
      </w:r>
      <w:r>
        <w:t xml:space="preserve"> </w:t>
      </w:r>
      <w:r>
        <w:t xml:space="preserve">and the drawdown of CO</w:t>
      </w:r>
      <w:r>
        <w:rPr>
          <w:vertAlign w:val="subscript"/>
        </w:rPr>
        <w:t xml:space="preserve">2</w:t>
      </w:r>
      <w:r>
        <w:t xml:space="preserve"> </w:t>
      </w:r>
      <w:r>
        <w:t xml:space="preserve">from the intercellular air spaces to the site of carboxylation were then estimated using Equation 11. Examples of this approach to measure gas exchange and C isotope discrimination are presented in Evans and Von Caemmerer</w:t>
      </w:r>
      <w:r>
        <w:t xml:space="preserve"> </w:t>
      </w:r>
      <w:r>
        <w:t xml:space="preserve">(2013)</w:t>
      </w:r>
      <w:r>
        <w:t xml:space="preserve">. The variation in</w:t>
      </w:r>
      <w:r>
        <w:t xml:space="preserve"> </w:t>
      </w:r>
      <m:oMath>
        <m:r>
          <m:rPr>
            <m:sty m:val="p"/>
          </m:rPr>
          <m:t>Δ</m:t>
        </m:r>
      </m:oMath>
      <w:r>
        <w:rPr>
          <w:vertAlign w:val="subscript"/>
        </w:rPr>
        <w:t xml:space="preserve">o</w:t>
      </w:r>
      <w:r>
        <w:t xml:space="preserve"> </w:t>
      </w:r>
      <w:r>
        <w:t xml:space="preserve">between sun and shade leaves and the simulated sunfleck where then compared as a function of C</w:t>
      </w:r>
      <w:r>
        <w:rPr>
          <w:vertAlign w:val="subscript"/>
        </w:rPr>
        <w:t xml:space="preserve">i</w:t>
      </w:r>
      <w:r>
        <w:t xml:space="preserve">:C</w:t>
      </w:r>
      <w:r>
        <w:rPr>
          <w:vertAlign w:val="subscript"/>
        </w:rPr>
        <w:t xml:space="preserve">a</w:t>
      </w:r>
      <w:r>
        <w:t xml:space="preserve">.</w:t>
      </w:r>
    </w:p>
    <w:p>
      <w:pPr>
        <w:pStyle w:val="Heading2"/>
      </w:pPr>
      <w:bookmarkStart w:id="28" w:name="biochemical-parameters-of-photosynthesis"/>
      <w:bookmarkEnd w:id="28"/>
      <w:r>
        <w:t xml:space="preserve">Biochemical parameters of photosynthesis</w:t>
      </w:r>
    </w:p>
    <w:p>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sty m:val="p"/>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sty m:val="p"/>
          </m:rPr>
          <m:t>μ</m:t>
        </m:r>
      </m:oMath>
      <w:r>
        <w:t xml:space="preserve">l l</w:t>
      </w:r>
      <w:r>
        <w:rPr>
          <w:vertAlign w:val="superscript"/>
        </w:rPr>
        <w:t xml:space="preserve">-1</w:t>
      </w:r>
      <w:r>
        <w:t xml:space="preserve"> </w:t>
      </w:r>
      <w:r>
        <w:t xml:space="preserve">at 25 °C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w:t>
      </w:r>
      <w:r>
        <w:t xml:space="preserve">R Development Core Team</w:t>
      </w:r>
      <w:r>
        <w:t xml:space="preserve">, 2011)</w:t>
      </w:r>
      <w:r>
        <w:t xml:space="preserve">.</w:t>
      </w:r>
    </w:p>
    <w:p>
      <w:pPr>
        <w:pStyle w:val="Heading2"/>
      </w:pPr>
      <w:bookmarkStart w:id="29" w:name="leaf-chemistry-and-hydraulic-parameters"/>
      <w:bookmarkEnd w:id="29"/>
      <w:r>
        <w:t xml:space="preserve">Leaf chemistry and hydraulic parameters</w:t>
      </w:r>
    </w:p>
    <w:p>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sty m:val="p"/>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are reported relative to the VPDP scale.</w:t>
      </w:r>
    </w:p>
    <w:p>
      <w:r>
        <w:br w:type="textWrapping"/>
      </w:r>
      <w:r>
        <w:t xml:space="preserve">Predawn (</w:t>
      </w:r>
      <m:oMath>
        <m:sSub>
          <m:e>
            <m:r>
              <m:rPr>
                <m:sty m:val="p"/>
              </m:rPr>
              <m:t>Ψ</m:t>
            </m:r>
          </m:e>
          <m:sub>
            <m:r>
              <m:rPr>
                <m:sty m:val="p"/>
              </m:rPr>
              <m:t>p</m:t>
            </m:r>
            <m:r>
              <m:rPr>
                <m:sty m:val="p"/>
              </m:rPr>
              <m:t>d</m:t>
            </m:r>
          </m:sub>
        </m:sSub>
      </m:oMath>
      <w:r>
        <w:t xml:space="preserve">) and midday (</w:t>
      </w:r>
      <m:oMath>
        <m:sSub>
          <m:e>
            <m:r>
              <m:rPr>
                <m:sty m:val="p"/>
              </m:rPr>
              <m:t>Ψ</m:t>
            </m:r>
          </m:e>
          <m:sub>
            <m:r>
              <m:rPr>
                <m:sty m:val="p"/>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sty m:val="p"/>
              </m:rPr>
              <m:t>Ψ</m:t>
            </m:r>
          </m:e>
          <m:sub>
            <m:r>
              <m:rPr>
                <m:sty m:val="p"/>
              </m:rPr>
              <m:t>p</m:t>
            </m:r>
            <m:r>
              <m:rPr>
                <m:sty m:val="p"/>
              </m:rPr>
              <m:t>d</m:t>
            </m:r>
          </m:sub>
        </m:sSub>
      </m:oMath>
      <w:r>
        <w:t xml:space="preserve">. Predawn leaf water potential was measured before sunrise on the same day as gas exchange measurements. Leaves used for gas exchange were immediately sampled for</w:t>
      </w:r>
      <w:r>
        <w:t xml:space="preserve"> </w:t>
      </w:r>
      <m:oMath>
        <m:sSub>
          <m:e>
            <m:r>
              <m:rPr>
                <m:sty m:val="p"/>
              </m:rPr>
              <m:t>Ψ</m:t>
            </m:r>
          </m:e>
          <m:sub>
            <m:r>
              <m:rPr>
                <m:sty m:val="p"/>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through the equation:</w:t>
      </w:r>
    </w:p>
    <w:p>
      <w:r>
        <w:br w:type="textWrapping"/>
      </w:r>
      <w:r>
        <w:t xml:space="preserve">(12)</w:t>
      </w:r>
    </w:p>
    <w:p>
      <m:oMathPara>
        <m:oMathParaPr>
          <m:jc m:val="center"/>
        </m:oMathParaPr>
        <m:oMath>
          <m:r>
            <m:rPr>
              <m:sty m:val="p"/>
            </m:rPr>
            <m:t>K</m:t>
          </m:r>
          <m:r>
            <m:rPr>
              <m:sty m:val="p"/>
            </m:rPr>
            <m:t>=</m:t>
          </m:r>
          <m:f>
            <m:fPr>
              <m:type m:val="bar"/>
            </m:fPr>
            <m:num>
              <m:r>
                <m:rPr>
                  <m:sty m:val="p"/>
                </m:rPr>
                <m:t>E</m:t>
              </m:r>
            </m:num>
            <m:den>
              <m:sSub>
                <m:e>
                  <m:r>
                    <m:rPr>
                      <m:sty m:val="p"/>
                    </m:rPr>
                    <m:t>Ψ</m:t>
                  </m:r>
                </m:e>
                <m:sub>
                  <m:r>
                    <m:rPr>
                      <m:sty m:val="p"/>
                    </m:rPr>
                    <m:t>p</m:t>
                  </m:r>
                  <m:r>
                    <m:rPr>
                      <m:sty m:val="p"/>
                    </m:rPr>
                    <m:t>d</m:t>
                  </m:r>
                </m:sub>
              </m:sSub>
              <m:r>
                <m:rPr>
                  <m:sty m:val="p"/>
                </m:rPr>
                <m:t> </m:t>
              </m:r>
              <m:r>
                <m:rPr>
                  <m:sty m:val="p"/>
                </m:rPr>
                <m:t>−</m:t>
              </m:r>
              <m:sSub>
                <m:e>
                  <m:r>
                    <m:rPr>
                      <m:sty m:val="p"/>
                    </m:rPr>
                    <m:t>Ψ</m:t>
                  </m:r>
                </m:e>
                <m:sub>
                  <m:r>
                    <m:rPr>
                      <m:sty m:val="p"/>
                    </m:rPr>
                    <m:t>l</m:t>
                  </m:r>
                </m:sub>
              </m:sSub>
            </m:den>
          </m:f>
        </m:oMath>
      </m:oMathPara>
    </w:p>
    <w:p>
      <w:r>
        <w:t xml:space="preserve">Leaf level instantaneous transpiration efficiency (ITE) was calculated as A 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 where k=0.5</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r>
        <w:t xml:space="preserve">Differences in experimental parameters to either the warming treatment or leaf type were analysed by mixed-effects models in R</w:t>
      </w:r>
      <w:r>
        <w:t xml:space="preserve"> </w:t>
      </w:r>
      <w:r>
        <w:t xml:space="preserve">(</w:t>
      </w:r>
      <w:r>
        <w:t xml:space="preserve">R Development Core Team</w:t>
      </w:r>
      <w:r>
        <w:t xml:space="preserve">,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2013)</w:t>
      </w:r>
      <w:r>
        <w:t xml:space="preserve">. For non-linear relationships, confidence intervals were estimated by fitting a generalized additive model to the data with the 'mgcv' package, using WTC as a random effect. All tests of statistical significance were conducted at an alpha 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r>
        <w:t xml:space="preserve">Across six measurement campaigns over the 7 month period PPFD was reduced on average by &gt;75% in the shade (Figure 3.1). Leaf-specific hydraulic conductance (K</w:t>
      </w:r>
      <w:r>
        <w:rPr>
          <w:vertAlign w:val="subscript"/>
        </w:rPr>
        <w:t xml:space="preserve">l</w:t>
      </w:r>
      <w:r>
        <w:t xml:space="preserve">) was similar across sun and shade leaves (Table 3.1). This was because</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w:t>
      </w:r>
      <w:r>
        <w:t xml:space="preserve">(Table 3.1) and E (Table 3.2) did not differ between leaf types. Leaf N</w:t>
      </w:r>
      <w:r>
        <w:rPr>
          <w:vertAlign w:val="subscript"/>
        </w:rPr>
        <w:t xml:space="preserve">a</w:t>
      </w:r>
      <w:r>
        <w:t xml:space="preserve"> </w:t>
      </w:r>
      <w:r>
        <w:t xml:space="preserve">was approximately 20% higher in sun leaves compared to shade leaves (Table1). Leaf mass per area was not different between leaf types. No effect of the warming treatment was detected with PPFD,</w:t>
      </w:r>
      <w:r>
        <w:t xml:space="preserve"> </w:t>
      </w:r>
      <m:oMath>
        <m:sSub>
          <m:e>
            <m:r>
              <m:rPr>
                <m:sty m:val="p"/>
              </m:rPr>
              <m:t>Ψ</m:t>
            </m:r>
          </m:e>
          <m:sub>
            <m:r>
              <m:rPr>
                <m:sty m:val="p"/>
              </m:rPr>
              <m:t>p</m:t>
            </m:r>
            <m:r>
              <m:rPr>
                <m:sty m:val="p"/>
              </m:rPr>
              <m:t>d</m:t>
            </m:r>
          </m:sub>
        </m:sSub>
      </m:oMath>
      <w:r>
        <w:t xml:space="preserve">,</w:t>
      </w:r>
      <w:r>
        <w:t xml:space="preserve"> </w:t>
      </w:r>
      <m:oMath>
        <m:sSub>
          <m:e>
            <m:r>
              <m:rPr>
                <m:sty m:val="p"/>
              </m:rPr>
              <m:t>Ψ</m:t>
            </m:r>
          </m:e>
          <m:sub>
            <m:r>
              <m:rPr>
                <m:sty m:val="p"/>
              </m:rPr>
              <m:t>l</m:t>
            </m:r>
          </m:sub>
        </m:sSub>
      </m:oMath>
      <w:r>
        <w:t xml:space="preserve">, K</w:t>
      </w:r>
      <w:r>
        <w:rPr>
          <w:vertAlign w:val="subscript"/>
        </w:rPr>
        <w:t xml:space="preserve">l</w:t>
      </w:r>
      <w:r>
        <w:t xml:space="preserve">, E, N</w:t>
      </w:r>
      <w:r>
        <w:rPr>
          <w:vertAlign w:val="subscript"/>
        </w:rPr>
        <w:t xml:space="preserve">area</w:t>
      </w:r>
      <w:r>
        <w:t xml:space="preserve"> </w:t>
      </w:r>
      <w:r>
        <w:t xml:space="preserve">or LMA either within or across leaf types.</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par-1.png" id="0" name="Picture"/>
                    <pic:cNvPicPr>
                      <a:picLocks noChangeArrowheads="1" noChangeAspect="1"/>
                    </pic:cNvPicPr>
                  </pic:nvPicPr>
                  <pic:blipFill>
                    <a:blip r:embed="rId3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r>
        <w:br w:type="textWrapping"/>
      </w:r>
      <w:r>
        <w:rPr>
          <w:b/>
        </w:rPr>
        <w:t xml:space="preserve">Table 3.1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sty m:val="p"/>
          </m:rPr>
          <m:t>δ</m:t>
        </m:r>
      </m:oMath>
      <w:r>
        <w:rPr>
          <w:vertAlign w:val="superscript"/>
        </w:rPr>
        <w:t xml:space="preserve">13</w:t>
      </w:r>
      <w:r>
        <w:t xml:space="preserve">C,</w:t>
      </w:r>
      <w:r>
        <w:t xml:space="preserve"> </w:t>
      </w:r>
      <m:oMath>
        <m:r>
          <m:rPr>
            <m:sty m:val="p"/>
          </m:rPr>
          <m:t>Ψ</m:t>
        </m:r>
      </m:oMath>
      <w:r>
        <w:rPr>
          <w:vertAlign w:val="subscript"/>
        </w:rPr>
        <w:t xml:space="preserve">pd</w:t>
      </w:r>
      <w:r>
        <w:t xml:space="preserve">,</w:t>
      </w:r>
      <w:r>
        <w:t xml:space="preserve"> </w:t>
      </w:r>
      <m:oMath>
        <m:r>
          <m:rPr>
            <m:sty m:val="p"/>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sty m:val="p"/>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w:r>
              <w:rPr>
                <w:b/>
              </w:rPr>
              <w:t xml:space="preserve">d</w:t>
            </w:r>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96.0 (6.7) b</w:t>
            </w:r>
          </w:p>
        </w:tc>
        <w:tc>
          <w:p>
            <w:pPr>
              <w:pStyle w:val="Compact"/>
              <w:jc w:val="left"/>
            </w:pPr>
            <w:r>
              <w:t xml:space="preserve">141.6 (7.5) b</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Pr>
              <w:pStyle w:val="Compact"/>
            </w:pPr>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95.5 (6.6) ab</w:t>
            </w:r>
          </w:p>
        </w:tc>
        <w:tc>
          <w:p>
            <w:pPr>
              <w:pStyle w:val="Compact"/>
              <w:jc w:val="left"/>
            </w:pPr>
            <w:r>
              <w:t xml:space="preserve">148.3 (11.8) b</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73.3 (6.4) a</w:t>
            </w:r>
          </w:p>
        </w:tc>
        <w:tc>
          <w:p>
            <w:pPr>
              <w:pStyle w:val="Compact"/>
              <w:jc w:val="left"/>
            </w:pPr>
            <w:r>
              <w:t xml:space="preserve">102.1 (6.9) a</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Pr>
              <w:pStyle w:val="Compact"/>
            </w:pPr>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77.6 (4.9) ab</w:t>
            </w:r>
          </w:p>
        </w:tc>
        <w:tc>
          <w:p>
            <w:pPr>
              <w:pStyle w:val="Compact"/>
              <w:jc w:val="left"/>
            </w:pPr>
            <w:r>
              <w:t xml:space="preserve">106.2 (6.5)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Pr>
              <w:pStyle w:val="Compact"/>
            </w:pPr>
          </w:p>
        </w:tc>
        <w:tc>
          <w:p>
            <w:pPr>
              <w:pStyle w:val="Compact"/>
              <w:jc w:val="left"/>
            </w:pPr>
            <w:r>
              <w:t xml:space="preserve">0.785</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0.001</w:t>
            </w:r>
          </w:p>
        </w:tc>
        <w:tc>
          <w:p>
            <w:pPr>
              <w:pStyle w:val="Compact"/>
              <w:jc w:val="left"/>
            </w:pPr>
            <w:r>
              <w:t xml:space="preserve">0.3486</w:t>
            </w:r>
          </w:p>
        </w:tc>
        <w:tc>
          <w:p>
            <w:pPr>
              <w:pStyle w:val="Compact"/>
              <w:jc w:val="left"/>
            </w:pPr>
            <w:r>
              <w:t xml:space="preserve">0.6385</w:t>
            </w:r>
          </w:p>
        </w:tc>
        <w:tc>
          <w:p>
            <w:pPr>
              <w:pStyle w:val="Compact"/>
              <w:jc w:val="left"/>
            </w:pPr>
            <w:r>
              <w:t xml:space="preserve">0.973</w:t>
            </w:r>
          </w:p>
        </w:tc>
      </w:tr>
    </w:tbl>
    <w:p>
      <w:pPr>
        <w:pStyle w:val="Heading2"/>
      </w:pPr>
      <w:bookmarkStart w:id="34" w:name="photosynthetic-capacity-and-leaf-photosynthesis-rates"/>
      <w:bookmarkEnd w:id="34"/>
      <w:r>
        <w:t xml:space="preserve">Photosynthetic capacity and leaf photosynthesis rates</w:t>
      </w:r>
    </w:p>
    <w:p>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3.1), as estimated from AC</w:t>
      </w:r>
      <w:r>
        <w:rPr>
          <w:vertAlign w:val="subscript"/>
        </w:rPr>
        <w:t xml:space="preserve">i</w:t>
      </w:r>
      <w:r>
        <w:t xml:space="preserve"> </w:t>
      </w:r>
      <w:r>
        <w:t xml:space="preserve">curves (Figure 3.2a).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3.2b).</w:t>
      </w:r>
    </w:p>
    <w:p>
      <w:r>
        <w:br w:type="textWrapping"/>
      </w:r>
      <w:r>
        <w:drawing>
          <wp:inline>
            <wp:extent cx="5440680" cy="6798493"/>
            <wp:effectExtent b="0" l="0" r="0" t="0"/>
            <wp:docPr descr="" id="1" name="Picture"/>
            <a:graphic>
              <a:graphicData uri="http://schemas.openxmlformats.org/drawingml/2006/picture">
                <pic:pic>
                  <pic:nvPicPr>
                    <pic:cNvPr descr="manuscript_wtc3_files/figure-docx/acicurves-1.png" id="0" name="Picture"/>
                    <pic:cNvPicPr>
                      <a:picLocks noChangeArrowheads="1" noChangeAspect="1"/>
                    </pic:cNvPicPr>
                  </pic:nvPicPr>
                  <pic:blipFill>
                    <a:blip r:embed="rId35"/>
                    <a:stretch>
                      <a:fillRect/>
                    </a:stretch>
                  </pic:blipFill>
                  <pic:spPr bwMode="auto">
                    <a:xfrm>
                      <a:off x="0" y="0"/>
                      <a:ext cx="5440680" cy="6798493"/>
                    </a:xfrm>
                    <a:prstGeom prst="rect">
                      <a:avLst/>
                    </a:prstGeom>
                    <a:noFill/>
                    <a:ln w="9525">
                      <a:noFill/>
                      <a:headEnd/>
                      <a:tailEnd/>
                    </a:ln>
                  </pic:spPr>
                </pic:pic>
              </a:graphicData>
            </a:graphic>
          </wp:inline>
        </w:drawing>
      </w:r>
      <w:r>
        <w:br w:type="textWrapping"/>
      </w:r>
      <w:r>
        <w:rPr>
          <w:b/>
        </w:rPr>
        <w:t xml:space="preserve">Figure 3.2</w:t>
      </w:r>
      <w:r>
        <w:t xml:space="preserve">. (a) ACi curves for sun and shade leaves at elevated (ET) and ambient (AT) temperature treatments. ACi curves were measured once on all trees, in February 2014, at 25°C and at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 A 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p>
    <w:p>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3.2).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3.2c). Following an increase in light intensity to match high-light conditions, A of shade leaves increased to values significantly greater than sun leaves at high light (P &lt; 0.001, Table 3.2).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3.S3a).</w:t>
      </w:r>
    </w:p>
    <w:p>
      <w:r>
        <w:br w:type="textWrapping"/>
      </w:r>
      <w:r>
        <w:rPr>
          <w:b/>
        </w:rPr>
        <w:t xml:space="preserve">Table 3.2</w:t>
      </w:r>
      <w:r>
        <w:t xml:space="preserve">. Responses of</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 A and E are</w:t>
      </w:r>
      <w:r>
        <w:t xml:space="preserve"> </w:t>
      </w:r>
      <m:oMath>
        <m:r>
          <m:rPr>
            <m:sty m:val="p"/>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and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and for VPD are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0.0"/>
      </w:tblPr>
      <w:tblGrid/>
      <w:t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A</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Pr>
              <w:pStyle w:val="Compact"/>
            </w:pPr>
          </w:p>
        </w:tc>
        <w:tc>
          <w:p>
            <w:pPr>
              <w:pStyle w:val="Compact"/>
            </w:pPr>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Pr>
              <w:pStyle w:val="Compact"/>
            </w:pPr>
          </w:p>
        </w:tc>
        <w:tc>
          <w:p>
            <w:pPr>
              <w:pStyle w:val="Compact"/>
            </w:pPr>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Pr>
              <w:pStyle w:val="Compact"/>
            </w:pPr>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Pr>
              <w:pStyle w:val="Compact"/>
            </w:pPr>
          </w:p>
        </w:tc>
        <w:tc>
          <w:p>
            <w:pPr>
              <w:pStyle w:val="Compact"/>
            </w:pPr>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Pr>
              <w:pStyle w:val="Compact"/>
            </w:pPr>
          </w:p>
        </w:tc>
        <w:tc>
          <w:p>
            <w:pPr>
              <w:pStyle w:val="Compact"/>
            </w:pP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2"/>
      </w:pPr>
      <w:bookmarkStart w:id="36" w:name="stomatal-conductance-and-leaf-water-use-efficiency"/>
      <w:bookmarkEnd w:id="36"/>
      <w:r>
        <w:t xml:space="preserve">Stomatal conductance and leaf water-use efficiency</w:t>
      </w:r>
    </w:p>
    <w:p>
      <w:r>
        <w:t xml:space="preserve">On average, g</w:t>
      </w:r>
      <w:r>
        <w:rPr>
          <w:vertAlign w:val="subscript"/>
        </w:rPr>
        <w:t xml:space="preserve">s</w:t>
      </w:r>
      <w:r>
        <w:t xml:space="preserve"> </w:t>
      </w:r>
      <w:r>
        <w:t xml:space="preserve">was 18% higher in shade compared to sun leaves under their local light environment (Table 3.2).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3.4a).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3.S4b).</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gmgs-1.png" id="0" name="Picture"/>
                    <pic:cNvPicPr>
                      <a:picLocks noChangeArrowheads="1" noChangeAspect="1"/>
                    </pic:cNvPicPr>
                  </pic:nvPicPr>
                  <pic:blipFill>
                    <a:blip r:embed="rId3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3.3</w:t>
      </w:r>
      <w:r>
        <w:t xml:space="preserve">. The response of A 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from the mean.</w:t>
      </w:r>
    </w:p>
    <w:p>
      <w:r>
        <w:br w:type="textWrapping"/>
      </w:r>
      <w:r>
        <w:drawing>
          <wp:inline>
            <wp:extent cx="5440680" cy="3267426"/>
            <wp:effectExtent b="0" l="0" r="0" t="0"/>
            <wp:docPr descr="" id="1" name="Picture"/>
            <a:graphic>
              <a:graphicData uri="http://schemas.openxmlformats.org/drawingml/2006/picture">
                <pic:pic>
                  <pic:nvPicPr>
                    <pic:cNvPr descr="manuscript_wtc3_files/figure-docx/barplots-1.png" id="0" name="Picture"/>
                    <pic:cNvPicPr>
                      <a:picLocks noChangeArrowheads="1" noChangeAspect="1"/>
                    </pic:cNvPicPr>
                  </pic:nvPicPr>
                  <pic:blipFill>
                    <a:blip r:embed="rId38"/>
                    <a:stretch>
                      <a:fillRect/>
                    </a:stretch>
                  </pic:blipFill>
                  <pic:spPr bwMode="auto">
                    <a:xfrm>
                      <a:off x="0" y="0"/>
                      <a:ext cx="5440680" cy="3267426"/>
                    </a:xfrm>
                    <a:prstGeom prst="rect">
                      <a:avLst/>
                    </a:prstGeom>
                    <a:noFill/>
                    <a:ln w="9525">
                      <a:noFill/>
                      <a:headEnd/>
                      <a:tailEnd/>
                    </a:ln>
                  </pic:spPr>
                </pic:pic>
              </a:graphicData>
            </a:graphic>
          </wp:inline>
        </w:drawing>
      </w:r>
      <w:r>
        <w:br w:type="textWrapping"/>
      </w:r>
      <w:r>
        <w:rPr>
          <w:b/>
        </w:rPr>
        <w:t xml:space="preserve">Figure 3.4</w:t>
      </w:r>
      <w:r>
        <w:t xml:space="preserve">. The mean ± 1 standard error of g</w:t>
      </w:r>
      <w:r>
        <w:rPr>
          <w:vertAlign w:val="subscript"/>
        </w:rPr>
        <w:t xml:space="preserve">s</w:t>
      </w:r>
      <w:r>
        <w:t xml:space="preserve"> </w:t>
      </w:r>
      <w:r>
        <w:t xml:space="preserve">(a), g</w:t>
      </w:r>
      <w:r>
        <w:rPr>
          <w:vertAlign w:val="subscript"/>
        </w:rPr>
        <w:t xml:space="preserve">m</w:t>
      </w:r>
      <w:r>
        <w:t xml:space="preserve"> </w:t>
      </w:r>
      <w:r>
        <w:t xml:space="preserve">(b) and A (c) of sun leaves and shade leaves at both low and high light pooled across six measurement dates.</w:t>
      </w:r>
    </w:p>
    <w:p>
      <w:r>
        <w:br w:type="textWrapping"/>
      </w:r>
      <w:r>
        <w:t xml:space="preserve">Measured under ambient light and temperature conditions leaf ITE was significantly greater in sun leaves than in shade leaves at low light (+21%, P = 0.001). Following an increase in PPFD to high-light conditions, ITE of shade leaves did not differ from shade leaves at low light and was still significantly lower than sun leaves (P &lt; 0.001). Instantaneous transpiration efficiency in sun leaves was reduced in the warming treatment, but no warming effect was detected in shade leaves measured at low or high light (Table 3.2).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3.5a). Within leaf types and light treatments the response of VPD to leaf temperature was similar across all measurement campaigns (Figure 3.S4a).</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wateruse-1.png" id="0" name="Picture"/>
                    <pic:cNvPicPr>
                      <a:picLocks noChangeArrowheads="1" noChangeAspect="1"/>
                    </pic:cNvPicPr>
                  </pic:nvPicPr>
                  <pic:blipFill>
                    <a:blip r:embed="rId3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3.5</w:t>
      </w:r>
      <w:r>
        <w:t xml:space="preserve">. (a) Response of instantaneous transpiration efficiency (ITE) to VPD for sun leaves and shade leaves at both low and high light with elevated and ambient temperature treatments. (b) The relationship between leaf</w:t>
      </w:r>
      <w:r>
        <w:t xml:space="preserve"> </w:t>
      </w:r>
      <m:oMath>
        <m:r>
          <m:rPr>
            <m:sty m:val="p"/>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for all leaves with a marginal and conditional R</w:t>
      </w:r>
      <w:r>
        <w:rPr>
          <w:vertAlign w:val="superscript"/>
        </w:rPr>
        <w:t xml:space="preserve">2</w:t>
      </w:r>
      <w:r>
        <w:t xml:space="preserve"> </w:t>
      </w:r>
      <w:r>
        <w:t xml:space="preserve">of 0.41 and 0.45, respectively.</w:t>
      </w:r>
    </w:p>
    <w:p>
      <w:r>
        <w:br w:type="textWrapping"/>
      </w:r>
      <w:r>
        <w:t xml:space="preserve">Bulk-leaf</w:t>
      </w:r>
      <w:r>
        <w:t xml:space="preserve"> </w:t>
      </w:r>
      <m:oMath>
        <m:r>
          <m:rPr>
            <m:sty m:val="p"/>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3.1). No effects of the warming treatment on leaf</w:t>
      </w:r>
      <w:r>
        <w:t xml:space="preserve"> </w:t>
      </w:r>
      <m:oMath>
        <m:r>
          <m:rPr>
            <m:sty m:val="p"/>
          </m:rPr>
          <m:t>δ</m:t>
        </m:r>
      </m:oMath>
      <w:r>
        <w:rPr>
          <w:vertAlign w:val="superscript"/>
        </w:rPr>
        <w:t xml:space="preserve">13</w:t>
      </w:r>
      <w:r>
        <w:t xml:space="preserve">C were detected. Leaf</w:t>
      </w:r>
      <w:r>
        <w:t xml:space="preserve"> </w:t>
      </w:r>
      <m:oMath>
        <m:r>
          <m:rPr>
            <m:sty m:val="p"/>
          </m:rPr>
          <m:t>δ</m:t>
        </m:r>
      </m:oMath>
      <w:r>
        <w:rPr>
          <w:vertAlign w:val="superscript"/>
        </w:rPr>
        <w:t xml:space="preserve">13</w:t>
      </w:r>
      <w:r>
        <w:t xml:space="preserve">C and N</w:t>
      </w:r>
      <w:r>
        <w:rPr>
          <w:vertAlign w:val="subscript"/>
        </w:rPr>
        <w:t xml:space="preserve">area</w:t>
      </w:r>
      <w:r>
        <w:t xml:space="preserve"> </w:t>
      </w:r>
      <w:r>
        <w:t xml:space="preserve">were positively correlated for all leaves (P&lt;0.001, Figure 3.5b), with less negative</w:t>
      </w:r>
      <w:r>
        <w:t xml:space="preserve"> </w:t>
      </w:r>
      <m:oMath>
        <m:r>
          <m:rPr>
            <m:sty m:val="p"/>
          </m:rPr>
          <m:t>δ</m:t>
        </m:r>
      </m:oMath>
      <w:r>
        <w:rPr>
          <w:vertAlign w:val="superscript"/>
        </w:rPr>
        <w:t xml:space="preserve">13</w:t>
      </w:r>
      <w:r>
        <w:t xml:space="preserve">C (higher water-use efficiency) and higher N investment in sun leaves.</w:t>
      </w:r>
    </w:p>
    <w:p>
      <w:pPr>
        <w:pStyle w:val="Heading2"/>
      </w:pPr>
      <w:bookmarkStart w:id="40" w:name="leaf-carbon-isotope-discrimination-and-mesophyll-conductance"/>
      <w:bookmarkEnd w:id="40"/>
      <w:r>
        <w:t xml:space="preserve">Leaf carbon isotope discrimination and mesophyll conductance</w:t>
      </w:r>
    </w:p>
    <w:p>
      <w:r>
        <w:t xml:space="preserve">The observed carbon isotope discrimination (</w:t>
      </w:r>
      <m:oMath>
        <m:nary>
          <m:naryPr>
            <m:chr m:val="Δ"/>
            <m:limLoc m:val="subSup"/>
            <m:supHide m:val="off"/>
            <m:supHide m:val="off"/>
          </m:naryPr>
          <m:e/>
          <m:sub>
            <m:r>
              <m:rPr>
                <m:sty m:val="p"/>
              </m:rPr>
              <m:t>o</m:t>
            </m:r>
          </m:sub>
          <m:sup/>
        </m:nary>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sty m:val="p"/>
          </m:rPr>
          <m:t>Δ</m:t>
        </m:r>
      </m:oMath>
      <w:r>
        <w:rPr>
          <w:vertAlign w:val="subscript"/>
        </w:rPr>
        <w:t xml:space="preserve">o</w:t>
      </w:r>
      <w:r>
        <w:t xml:space="preserve"> </w:t>
      </w:r>
      <w:r>
        <w:t xml:space="preserve">detected for sun leaves and shade leaves at high light than shade leaves at low light (Figure 3.6). Carbon isotope discrimination associated with g</w:t>
      </w:r>
      <w:r>
        <w:rPr>
          <w:vertAlign w:val="subscript"/>
        </w:rPr>
        <w:t xml:space="preserve">m</w:t>
      </w:r>
      <w:r>
        <w:t xml:space="preserve"> </w:t>
      </w:r>
      <w:r>
        <w:t xml:space="preserve">accounted for the majority of</w:t>
      </w:r>
      <w:r>
        <w:t xml:space="preserve"> </w:t>
      </w:r>
      <m:oMath>
        <m:nary>
          <m:naryPr>
            <m:chr m:val="Δ"/>
            <m:limLoc m:val="subSup"/>
            <m:supHide m:val="off"/>
            <m:supHide m:val="off"/>
          </m:naryPr>
          <m:e/>
          <m:sub>
            <m:r>
              <m:rPr>
                <m:sty m:val="p"/>
              </m:rPr>
              <m:t>o</m:t>
            </m:r>
          </m:sub>
          <m:sup/>
        </m:nary>
      </m:oMath>
      <w:r>
        <w:t xml:space="preserve"> </w:t>
      </w:r>
      <w:r>
        <w:t xml:space="preserve">(69.7±0.4%) and varied little across measurement temperatures, leaf types, or warming treatments. The remainder</w:t>
      </w:r>
      <w:r>
        <w:t xml:space="preserve"> </w:t>
      </w:r>
      <m:oMath>
        <m:nary>
          <m:naryPr>
            <m:chr m:val="Δ"/>
            <m:limLoc m:val="subSup"/>
            <m:supHide m:val="off"/>
            <m:supHide m:val="off"/>
          </m:naryPr>
          <m:e/>
          <m:sub>
            <m:r>
              <m:rPr>
                <m:sty m:val="p"/>
              </m:rPr>
              <m:t>o</m:t>
            </m:r>
          </m:sub>
          <m:sup/>
        </m:nary>
      </m:oMath>
      <w:r>
        <w:t xml:space="preserve"> </w:t>
      </w:r>
      <w:r>
        <w:t xml:space="preserve">consists of the contributions of g</w:t>
      </w:r>
      <w:r>
        <w:rPr>
          <w:vertAlign w:val="subscript"/>
        </w:rPr>
        <w:t xml:space="preserve">s</w:t>
      </w:r>
      <w:r>
        <w:t xml:space="preserve">, respiration and photorespiration to discrimination.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deltacica-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3.6</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p>
    <w:p>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a short-term increase in PPFD from low to high light, g</w:t>
      </w:r>
      <w:r>
        <w:rPr>
          <w:vertAlign w:val="subscript"/>
        </w:rPr>
        <w:t xml:space="preserve">m</w:t>
      </w:r>
      <w:r>
        <w:t xml:space="preserve"> </w:t>
      </w:r>
      <w:r>
        <w:t xml:space="preserve">of shade leaves increased to values significantly greater than sun leaves (Table 3.2).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3.4b,c).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resulted in the highest rates of</w:t>
      </w:r>
      <w:r>
        <w:t xml:space="preserve"> </w:t>
      </w:r>
      <w:r>
        <w:rPr>
          <w:i/>
        </w:rPr>
        <w:t xml:space="preserve">A</w:t>
      </w:r>
      <w:r>
        <w:rPr>
          <w:vertAlign w:val="subscript"/>
          <w:i/>
        </w:rPr>
        <w:t xml:space="preserve">n</w:t>
      </w:r>
      <w:r>
        <w:t xml:space="preserve"> </w:t>
      </w:r>
      <w:r>
        <w:t xml:space="preserve">(Figure 3.3b).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3.S3b), but a weak negative relationship with increasing leaf temperature was detected with sun and shade leaves under their local light environment (P = 0.001 &amp; 0.04, respectively). 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A-Cc curves (Figure 3.S2) and A-Ci curves revealed similar differences between sun and shade leaves.</w:t>
      </w:r>
    </w:p>
    <w:p>
      <w:pPr>
        <w:pStyle w:val="Heading2"/>
      </w:pPr>
      <w:bookmarkStart w:id="42" w:name="variation-in-intercellular-and-chloroplastic-co2-concentrations"/>
      <w:bookmarkEnd w:id="42"/>
      <w:r>
        <w:t xml:space="preserve">Variation in intercellular and chloroplastic CO</w:t>
      </w:r>
      <w:r>
        <w:rPr>
          <w:vertAlign w:val="subscript"/>
        </w:rPr>
        <w:t xml:space="preserve">2</w:t>
      </w:r>
      <w:r>
        <w:t xml:space="preserve"> </w:t>
      </w:r>
      <w:r>
        <w:t xml:space="preserve">concentrations</w:t>
      </w:r>
    </w:p>
    <w:p>
      <w:r>
        <w:t xml:space="preserve">Higher rates of g</w:t>
      </w:r>
      <w:r>
        <w:rPr>
          <w:vertAlign w:val="subscript"/>
        </w:rPr>
        <w:t xml:space="preserve">s</w:t>
      </w:r>
      <w:r>
        <w:t xml:space="preserve"> </w:t>
      </w:r>
      <w:r>
        <w:t xml:space="preserve">in shade leaves under low and high light lead to significant increases in C</w:t>
      </w:r>
      <w:r>
        <w:rPr>
          <w:vertAlign w:val="subscript"/>
        </w:rPr>
        <w:t xml:space="preserve">i</w:t>
      </w:r>
      <w:r>
        <w:t xml:space="preserve"> </w:t>
      </w:r>
      <w:r>
        <w:t xml:space="preserve">compared to sun leaves (Figure 3.7a). The chloroplast CO</w:t>
      </w:r>
      <w:r>
        <w:rPr>
          <w:vertAlign w:val="subscript"/>
        </w:rPr>
        <w:t xml:space="preserve">2</w:t>
      </w:r>
      <w:r>
        <w:t xml:space="preserve"> </w:t>
      </w:r>
      <w:r>
        <w:t xml:space="preserve">partial pressure was comparable between shade leaves when measured at both low and high light conditions (Figure 3.7c). In sun leaves C</w:t>
      </w:r>
      <w:r>
        <w:rPr>
          <w:vertAlign w:val="subscript"/>
        </w:rPr>
        <w:t xml:space="preserve">c</w:t>
      </w:r>
      <w:r>
        <w:t xml:space="preserve"> </w:t>
      </w:r>
      <w:r>
        <w:t xml:space="preserve">was significantly lower than shade leaves as a likely consequence of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w:t>
      </w:r>
      <w:r>
        <w:t xml:space="preserve">Von Caemmerer</w:t>
      </w:r>
      <w:r>
        <w:t xml:space="preserve"> </w:t>
      </w:r>
      <w:r>
        <w:t xml:space="preserve">&amp; Evans, 2014)</w:t>
      </w:r>
      <w:r>
        <w:t xml:space="preserve">. This drawdown was similar between sun and shade leaves measured at their local light environment and increased marginally in shade leaves at high light (Figure 3.7c).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3.S4c and 3.S3c, respectively).</w:t>
      </w:r>
    </w:p>
    <w:p>
      <w:r>
        <w:br w:type="textWrapping"/>
      </w:r>
      <w:r>
        <w:drawing>
          <wp:inline>
            <wp:extent cx="5440680" cy="3267426"/>
            <wp:effectExtent b="0" l="0" r="0" t="0"/>
            <wp:docPr descr="" id="1" name="Picture"/>
            <a:graphic>
              <a:graphicData uri="http://schemas.openxmlformats.org/drawingml/2006/picture">
                <pic:pic>
                  <pic:nvPicPr>
                    <pic:cNvPr descr="manuscript_wtc3_files/figure-docx/cicc-1.png" id="0" name="Picture"/>
                    <pic:cNvPicPr>
                      <a:picLocks noChangeArrowheads="1" noChangeAspect="1"/>
                    </pic:cNvPicPr>
                  </pic:nvPicPr>
                  <pic:blipFill>
                    <a:blip r:embed="rId43"/>
                    <a:stretch>
                      <a:fillRect/>
                    </a:stretch>
                  </pic:blipFill>
                  <pic:spPr bwMode="auto">
                    <a:xfrm>
                      <a:off x="0" y="0"/>
                      <a:ext cx="5440680" cy="3267426"/>
                    </a:xfrm>
                    <a:prstGeom prst="rect">
                      <a:avLst/>
                    </a:prstGeom>
                    <a:noFill/>
                    <a:ln w="9525">
                      <a:noFill/>
                      <a:headEnd/>
                      <a:tailEnd/>
                    </a:ln>
                  </pic:spPr>
                </pic:pic>
              </a:graphicData>
            </a:graphic>
          </wp:inline>
        </w:drawing>
      </w:r>
      <w:r>
        <w:br w:type="textWrapping"/>
      </w:r>
      <w:r>
        <w:rPr>
          <w:b/>
        </w:rPr>
        <w:t xml:space="preserve">Figure 3.7</w:t>
      </w:r>
      <w:r>
        <w:t xml:space="preserve">. The mean ± 1 standard error of intercellular CO</w:t>
      </w:r>
      <w:r>
        <w:rPr>
          <w:vertAlign w:val="subscript"/>
        </w:rPr>
        <w:t xml:space="preserve">2</w:t>
      </w:r>
      <w:r>
        <w:t xml:space="preserve"> </w:t>
      </w:r>
      <w:r>
        <w:t xml:space="preserve">concentration (a), CO</w:t>
      </w:r>
      <w:r>
        <w:rPr>
          <w:vertAlign w:val="subscript"/>
        </w:rPr>
        <w:t xml:space="preserve">2</w:t>
      </w:r>
      <w:r>
        <w:t xml:space="preserve"> </w:t>
      </w:r>
      <w:r>
        <w:t xml:space="preserve">concentration in the chloroplasts (b) and CO</w:t>
      </w:r>
      <w:r>
        <w:rPr>
          <w:vertAlign w:val="subscript"/>
        </w:rPr>
        <w:t xml:space="preserve">2</w:t>
      </w:r>
      <w:r>
        <w:t xml:space="preserve"> </w:t>
      </w:r>
      <w:r>
        <w:t xml:space="preserve">drawdown from substomatal cavities to sites of carboxylation of sun leaves and shade leaves at both low and high light.</w:t>
      </w:r>
    </w:p>
    <w:p>
      <w:pPr>
        <w:pStyle w:val="Heading1"/>
      </w:pPr>
      <w:bookmarkStart w:id="44" w:name="discussion"/>
      <w:bookmarkEnd w:id="44"/>
      <w:r>
        <w:t xml:space="preserve">Discussion</w:t>
      </w:r>
    </w:p>
    <w:p>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rapid increases in g</w:t>
      </w:r>
      <w:r>
        <w:rPr>
          <w:vertAlign w:val="subscript"/>
        </w:rPr>
        <w:t xml:space="preserve">m</w:t>
      </w:r>
      <w:r>
        <w:t xml:space="preserve"> </w:t>
      </w:r>
      <w:r>
        <w:t xml:space="preserve">under periods of high light availability that led to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45" w:name="resource-distribution-and-photosynthetic-capacity"/>
      <w:bookmarkEnd w:id="45"/>
      <w:r>
        <w:t xml:space="preserve">Resource distribution and photosynthetic capacity</w:t>
      </w:r>
    </w:p>
    <w:p>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 (Mooney and Gulmon 1979).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area, however, was not different between sun and shade leaves. This could be due to leaf formation under comparative light conditions or possible differences in total non-structural carbohydrates contents between leaf types.</w:t>
      </w:r>
    </w:p>
    <w:p>
      <w:r>
        <w:br w:type="textWrapping"/>
      </w:r>
      <w:r>
        <w:t xml:space="preserve">Photosynthesis is also limited by the ability to supply water to the upper canopy. Ultimately, the ability of a trees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r>
        <w:br w:type="textWrapping"/>
      </w:r>
      <w:r>
        <w:t xml:space="preserve">Unexpected higher rates of g</w:t>
      </w:r>
      <w:r>
        <w:rPr>
          <w:vertAlign w:val="subscript"/>
        </w:rPr>
        <w:t xml:space="preserve">s</w:t>
      </w:r>
      <w:r>
        <w:t xml:space="preserve"> </w:t>
      </w:r>
      <w:r>
        <w:t xml:space="preserve">in shade leaves compared to sun leaves led to decreased ITE throughout the experiment. Additionally, consistently higher leaf</w:t>
      </w:r>
      <w:r>
        <w:t xml:space="preserve"> </w:t>
      </w:r>
      <m:oMath>
        <m:r>
          <m:rPr>
            <m:sty m:val="p"/>
          </m:rPr>
          <m:t>δ</m:t>
        </m:r>
      </m:oMath>
      <w:r>
        <w:rPr>
          <w:vertAlign w:val="superscript"/>
        </w:rPr>
        <w:t xml:space="preserve">13</w:t>
      </w:r>
      <w:r>
        <w:t xml:space="preserve">C in shade leaves suggests that this pattern was likely prevalent long term.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46" w:name="physiological-behaviour-of-sun-and-shade-leaves"/>
      <w:bookmarkEnd w:id="46"/>
      <w:r>
        <w:t xml:space="preserve">Physiological behaviour of sun and shade leaves</w:t>
      </w:r>
    </w:p>
    <w:p>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explaining the observed decreases in ITE. This is significant as optimal stomatal regulation to balance C gain with water loss has been reported across a wide range of ecosystems and plant functional types; however, empirical data is often collected only on full sun leaves</w:t>
      </w:r>
      <w:r>
        <w:t xml:space="preserve"> </w:t>
      </w:r>
      <w:r>
        <w:t xml:space="preserve">(see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 A 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w:t>
      </w:r>
      <w:r>
        <w:t xml:space="preserve">ü</w:t>
      </w:r>
      <w:r>
        <w:t xml:space="preserve">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w:t>
      </w:r>
      <w:r>
        <w:t xml:space="preserve"> </w:t>
      </w:r>
      <w:r>
        <w:t xml:space="preserve">De Pury</w:t>
      </w:r>
      <w:r>
        <w:t xml:space="preserve"> </w:t>
      </w:r>
      <w:r>
        <w:t xml:space="preserve">&amp; Farquhar, 1997)</w:t>
      </w:r>
      <w:r>
        <w:t xml:space="preserve">.</w:t>
      </w:r>
    </w:p>
    <w:p>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surprisingly, increased rapidly (within minutes) and proportionately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rapid increases in g</w:t>
      </w:r>
      <w:r>
        <w:rPr>
          <w:vertAlign w:val="subscript"/>
        </w:rPr>
        <w:t xml:space="preserve">m</w:t>
      </w:r>
      <w:r>
        <w:t xml:space="preserve"> </w:t>
      </w:r>
      <w:r>
        <w:t xml:space="preserve">but the impacts of aquaporins on g</w:t>
      </w:r>
      <w:r>
        <w:rPr>
          <w:vertAlign w:val="subscript"/>
        </w:rPr>
        <w:t xml:space="preserve">m</w:t>
      </w:r>
      <w:r>
        <w:t xml:space="preserve"> </w:t>
      </w:r>
      <w:r>
        <w:t xml:space="preserve">are untested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w:t>
      </w:r>
      <w:r>
        <w:t xml:space="preserve">De Pury</w:t>
      </w:r>
      <w:r>
        <w:t xml:space="preserve"> </w:t>
      </w:r>
      <w:r>
        <w:t xml:space="preserve">&amp; Farquhar, 1997)</w:t>
      </w:r>
      <w:r>
        <w:t xml:space="preserve">.</w:t>
      </w:r>
    </w:p>
    <w:p>
      <w:pPr>
        <w:pStyle w:val="Heading2"/>
      </w:pPr>
      <w:bookmarkStart w:id="47" w:name="conclusions"/>
      <w:bookmarkEnd w:id="47"/>
      <w:r>
        <w:t xml:space="preserve">Conclusions</w:t>
      </w:r>
    </w:p>
    <w:p>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rapidly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8" w:name="supporting-information"/>
      <w:bookmarkEnd w:id="48"/>
      <w:r>
        <w:t xml:space="preserve">Supporting Information</w:t>
      </w:r>
    </w:p>
    <w:p>
      <w:r>
        <w:drawing>
          <wp:inline>
            <wp:extent cx="5440680" cy="6992082"/>
            <wp:effectExtent b="0" l="0" r="0" t="0"/>
            <wp:docPr descr="" id="1" name="Picture"/>
            <a:graphic>
              <a:graphicData uri="http://schemas.openxmlformats.org/drawingml/2006/picture">
                <pic:pic>
                  <pic:nvPicPr>
                    <pic:cNvPr descr="manuscript_wtc3_files/figure-docx/airvars-1.png" id="0" name="Picture"/>
                    <pic:cNvPicPr>
                      <a:picLocks noChangeArrowheads="1" noChangeAspect="1"/>
                    </pic:cNvPicPr>
                  </pic:nvPicPr>
                  <pic:blipFill>
                    <a:blip r:embed="rId49"/>
                    <a:stretch>
                      <a:fillRect/>
                    </a:stretch>
                  </pic:blipFill>
                  <pic:spPr bwMode="auto">
                    <a:xfrm>
                      <a:off x="0" y="0"/>
                      <a:ext cx="5440680" cy="6992082"/>
                    </a:xfrm>
                    <a:prstGeom prst="rect">
                      <a:avLst/>
                    </a:prstGeom>
                    <a:noFill/>
                    <a:ln w="9525">
                      <a:noFill/>
                      <a:headEnd/>
                      <a:tailEnd/>
                    </a:ln>
                  </pic:spPr>
                </pic:pic>
              </a:graphicData>
            </a:graphic>
          </wp:inline>
        </w:drawing>
      </w:r>
      <w:r>
        <w:br w:type="textWrapping"/>
      </w:r>
      <w:r>
        <w:rPr>
          <w:b/>
        </w:rPr>
        <w:t xml:space="preserve">Figure 3.S1</w:t>
      </w:r>
      <w:r>
        <w:t xml:space="preserve">. Daily maximum and minimum temperature (a) and total daily PPFD (b) for each chamber across the experiment duration.</w:t>
      </w:r>
    </w:p>
    <w:p>
      <w:r>
        <w:br w:type="textWrapping"/>
      </w:r>
      <w:r>
        <w:drawing>
          <wp:inline>
            <wp:extent cx="5440680" cy="5440680"/>
            <wp:effectExtent b="0" l="0" r="0" t="0"/>
            <wp:docPr descr="" id="1" name="Picture"/>
            <a:graphic>
              <a:graphicData uri="http://schemas.openxmlformats.org/drawingml/2006/picture">
                <pic:pic>
                  <pic:nvPicPr>
                    <pic:cNvPr descr="manuscript_wtc3_files/figure-docx/acc-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3.S2</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thus curves represent chloroplastic photosynthetic parameters at 25°C and saturating light (1800</w:t>
      </w:r>
      <w:r>
        <w:t xml:space="preserve"> </w:t>
      </w:r>
      <m:oMath>
        <m:r>
          <m:rPr>
            <m:sty m:val="p"/>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r>
        <w:br w:type="textWrapping"/>
      </w:r>
      <w:r>
        <w:drawing>
          <wp:inline>
            <wp:extent cx="5440680" cy="7767783"/>
            <wp:effectExtent b="0" l="0" r="0" t="0"/>
            <wp:docPr descr="" id="1" name="Picture"/>
            <a:graphic>
              <a:graphicData uri="http://schemas.openxmlformats.org/drawingml/2006/picture">
                <pic:pic>
                  <pic:nvPicPr>
                    <pic:cNvPr descr="manuscript_wtc3_files/figure-docx/gasex_temp3-1.png" id="0" name="Picture"/>
                    <pic:cNvPicPr>
                      <a:picLocks noChangeArrowheads="1" noChangeAspect="1"/>
                    </pic:cNvPicPr>
                  </pic:nvPicPr>
                  <pic:blipFill>
                    <a:blip r:embed="rId51"/>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3.S3</w:t>
      </w:r>
      <w:r>
        <w:t xml:space="preserve">. Response of A (a),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p>
    <w:p>
      <w:r>
        <w:br w:type="textWrapping"/>
      </w:r>
      <w:r>
        <w:drawing>
          <wp:inline>
            <wp:extent cx="5440680" cy="7767783"/>
            <wp:effectExtent b="0" l="0" r="0" t="0"/>
            <wp:docPr descr="" id="1" name="Picture"/>
            <a:graphic>
              <a:graphicData uri="http://schemas.openxmlformats.org/drawingml/2006/picture">
                <pic:pic>
                  <pic:nvPicPr>
                    <pic:cNvPr descr="manuscript_wtc3_files/figure-docx/gasex_temp4-1.png" id="0" name="Picture"/>
                    <pic:cNvPicPr>
                      <a:picLocks noChangeArrowheads="1" noChangeAspect="1"/>
                    </pic:cNvPicPr>
                  </pic:nvPicPr>
                  <pic:blipFill>
                    <a:blip r:embed="rId52"/>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3.S4</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1"/>
      </w:pPr>
      <w:bookmarkStart w:id="53" w:name="references"/>
      <w:bookmarkEnd w:id="53"/>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i/>
          <w:b/>
        </w:rPr>
        <w:t xml:space="preserve">et al.</w:t>
      </w:r>
      <w:r>
        <w:t xml:space="preserve"> </w:t>
      </w:r>
      <w:r>
        <w:rPr>
          <w:b/>
        </w:rPr>
        <w:t xml:space="preserve">2010</w:t>
      </w:r>
      <w:r>
        <w:t xml:space="preserve">. Whole-tree chambers for elevated atmospheric CO 2 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2013</w:t>
      </w:r>
      <w:r>
        <w:t xml:space="preserve">. lme4: Linear mixed-effects models using Eigen and S4.</w:t>
      </w:r>
      <w:r>
        <w:t xml:space="preserve"> </w:t>
      </w:r>
      <w:r>
        <w:rPr>
          <w:i/>
        </w:rPr>
        <w:t xml:space="preserve">R package version</w:t>
      </w:r>
      <w:r>
        <w:t xml:space="preserve"> </w:t>
      </w:r>
      <w:r>
        <w:rPr>
          <w:b/>
        </w:rPr>
        <w:t xml:space="preserve">1</w:t>
      </w:r>
      <w:r>
        <w:t xml:space="preserve">.</w:t>
      </w:r>
    </w:p>
    <w:p>
      <w:pPr>
        <w:pStyle w:val="Bibliography"/>
      </w:pPr>
      <w:r>
        <w:rPr>
          <w:b w:val="0"/>
          <w:b/>
        </w:rPr>
        <w:t xml:space="preserve">Boardman N</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r>
        <w:t xml:space="preserve"> </w:t>
      </w:r>
      <w:r>
        <w:rPr>
          <w:b/>
        </w:rPr>
        <w:t xml:space="preserve">2006</w:t>
      </w:r>
      <w:r>
        <w:t xml:space="preserve">. Hydraulic efficiency and safety of branch xylem increases with height in Sequoia sempervirens (D. Don) crowns.</w:t>
      </w:r>
      <w:r>
        <w:t xml:space="preserve"> </w:t>
      </w:r>
      <w:r>
        <w:rPr>
          <w:i/>
        </w:rPr>
        <w:t xml:space="preserve">Plant, Cell &amp; Environment</w:t>
      </w:r>
      <w:r>
        <w:t xml:space="preserve"> </w:t>
      </w:r>
      <w:r>
        <w:rPr>
          <w:b/>
        </w:rPr>
        <w:t xml:space="preserve">29</w:t>
      </w:r>
      <w:r>
        <w:t xml:space="preserve">: 229–239.</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 Eucalyptus saligna in whole-tree chambers under elevated atmospheric CO2 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w:t>
      </w:r>
      <w:r>
        <w:rPr>
          <w:b w:val="0"/>
          <w:b/>
        </w:rPr>
        <w:t xml:space="preserve"> </w:t>
      </w:r>
      <w:r>
        <w:rPr>
          <w:b w:val="0"/>
          <w:b/>
        </w:rPr>
        <w:t xml:space="preserve">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[CO2] in cotton (Gossypium hirsutum 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w:t>
      </w:r>
      <w:r>
        <w:rPr>
          <w:b w:val="0"/>
          <w:b/>
        </w:rPr>
        <w:t xml:space="preserve"> </w:t>
      </w:r>
      <w:r>
        <w:rPr>
          <w:b w:val="0"/>
          <w:b/>
        </w:rPr>
        <w:t xml:space="preserve">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CO2 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CO2 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evolutionary constraints on primary productivity, adaptive patterns of energy capture in plants,’ harvard forest, august 1983.</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t xml:space="preserve">.</w:t>
      </w:r>
      <w:r>
        <w:t xml:space="preserve"> </w:t>
      </w:r>
      <w:r>
        <w:rPr>
          <w:b/>
        </w:rPr>
        <w:t xml:space="preserve">2007</w:t>
      </w:r>
      <w:r>
        <w:t xml:space="preserve">. Rapid variations of mesophyll conductance in response to changes in CO2 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w:t>
      </w:r>
      <w:r>
        <w:rPr>
          <w:b w:val="0"/>
          <w:b/>
        </w:rPr>
        <w:t xml:space="preserve">ó</w:t>
      </w:r>
      <w:r>
        <w:rPr>
          <w:b w:val="0"/>
          <w:b/>
        </w:rPr>
        <w:t xml:space="preserve"> </w:t>
      </w:r>
      <w:r>
        <w:rPr>
          <w:b w:val="0"/>
          <w:b/>
        </w:rPr>
        <w:t xml:space="preserve">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CO2: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CO2 conductance and CO2 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w:t>
      </w:r>
      <w:r>
        <w:rPr>
          <w:b w:val="0"/>
          <w:b/>
        </w:rPr>
        <w:t xml:space="preserve">ü</w:t>
      </w:r>
      <w:r>
        <w:rPr>
          <w:b w:val="0"/>
          <w:b/>
        </w:rPr>
        <w:t xml:space="preserve">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(Fagus sylvatica 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CO2 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w:t>
      </w:r>
      <w:r>
        <w:t xml:space="preserve"> </w:t>
      </w:r>
      <w:r>
        <w:rPr>
          <w:i/>
        </w:rPr>
        <w:t xml:space="preserve">Stable isotopes in ecology and environmental science</w:t>
      </w:r>
      <w:r>
        <w:t xml:space="preserve">: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tps023.</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w:t>
      </w:r>
      <w:r>
        <w:rPr>
          <w:b w:val="0"/>
          <w:b/>
        </w:rPr>
        <w:t xml:space="preserve"> </w:t>
      </w:r>
      <w:r>
        <w:rPr>
          <w:b w:val="0"/>
          <w:b/>
        </w:rPr>
        <w:t xml:space="preserve">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CO2 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w:t>
      </w:r>
      <w:r>
        <w:rPr>
          <w:b w:val="0"/>
          <w:b/>
        </w:rPr>
        <w:t xml:space="preserve"> </w:t>
      </w:r>
      <w:r>
        <w:rPr>
          <w:b w:val="0"/>
          <w:b/>
        </w:rPr>
        <w:t xml:space="preserve">R</w:t>
      </w:r>
      <w:r>
        <w:t xml:space="preserve">.</w:t>
      </w:r>
      <w:r>
        <w:t xml:space="preserve"> </w:t>
      </w:r>
      <w:r>
        <w:rPr>
          <w:b/>
        </w:rPr>
        <w:t xml:space="preserve">2011</w:t>
      </w:r>
      <w:r>
        <w:t xml:space="preserve">. R: A Language and Environment for Statistical Computing (RDC Team, Ed.).</w:t>
      </w:r>
      <w:r>
        <w:t xml:space="preserve"> </w:t>
      </w:r>
      <w:r>
        <w:rPr>
          <w:i/>
        </w:rPr>
        <w:t xml:space="preserve">R foundation for statistical computing</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(Tilia cordata 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w:t>
      </w:r>
      <w:r>
        <w:rPr>
          <w:b w:val="0"/>
          <w:b/>
        </w:rPr>
        <w:t xml:space="preserve">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(Betula pendula).</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 Nothofagus cunninghamii 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CO2 do not affect the mesophyll conductance to CO2 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CO2 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r>
          <m:rPr>
            <m:sty m:val="p"/>
          </m:rPr>
          <m:t>δ</m:t>
        </m:r>
      </m:oMath>
      <w:r>
        <w:t xml:space="preserve">13C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w:t>
      </w:r>
      <w:r>
        <w:rPr>
          <w:b w:val="0"/>
          <w:b/>
        </w:rPr>
        <w:t xml:space="preserve"> </w:t>
      </w:r>
      <w:r>
        <w:rPr>
          <w:b w:val="0"/>
          <w:b/>
        </w:rPr>
        <w:t xml:space="preserve">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CO2 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w:t>
      </w:r>
      <w:r>
        <w:rPr>
          <w:b w:val="0"/>
          <w:b/>
        </w:rPr>
        <w:t xml:space="preserve">ö</w:t>
      </w:r>
      <w:r>
        <w:rPr>
          <w:b w:val="0"/>
          <w:b/>
        </w:rPr>
        <w:t xml:space="preserve">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 2 transfer of adult Fagus sylvatica: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EC1C64">
          <w:rPr>
            <w:noProof/>
          </w:rPr>
          <w:t>2</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fd4571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