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37.png" ContentType="image/png"/>
  <Override PartName="/word/media/rId40.png" ContentType="image/png"/>
  <Override PartName="/word/media/rId41.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shade</w:t>
      </w:r>
      <w:r>
        <w:t xml:space="preserve"> </w:t>
      </w:r>
      <w:r>
        <w:t xml:space="preserve">leaves</w:t>
      </w:r>
      <w:r>
        <w:t xml:space="preserve"> </w:t>
      </w:r>
      <w:r>
        <w:t xml:space="preserve">lying</w:t>
      </w:r>
      <w:r>
        <w:t xml:space="preserve"> </w:t>
      </w:r>
      <w:r>
        <w:t xml:space="preserve">in</w:t>
      </w:r>
      <w:r>
        <w:t xml:space="preserve"> </w:t>
      </w:r>
      <w:r>
        <w:t xml:space="preserve">wait?</w:t>
      </w:r>
      <w:r>
        <w:t xml:space="preserve"> </w:t>
      </w:r>
      <w:r>
        <w:t xml:space="preserve">How</w:t>
      </w:r>
      <w:r>
        <w:t xml:space="preserve"> </w:t>
      </w:r>
      <w:r>
        <w:t xml:space="preserve">instantaneous</w:t>
      </w:r>
      <w:r>
        <w:t xml:space="preserve"> </w:t>
      </w:r>
      <w:r>
        <w:t xml:space="preserve">responses</w:t>
      </w:r>
      <w:r>
        <w:t xml:space="preserve"> </w:t>
      </w:r>
      <w:r>
        <w:t xml:space="preserve">of</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availability</w:t>
      </w:r>
      <w:r>
        <w:t xml:space="preserve"> </w:t>
      </w:r>
      <w:r>
        <w:t xml:space="preserve">in</w:t>
      </w:r>
      <w:r>
        <w:t xml:space="preserve"> </w:t>
      </w:r>
      <w:r>
        <w:t xml:space="preserve">shade</w:t>
      </w:r>
      <w:r>
        <w:t xml:space="preserve"> </w:t>
      </w:r>
      <w:r>
        <w:t xml:space="preserve">leaves</w:t>
      </w:r>
      <w:r>
        <w:t xml:space="preserve"> </w:t>
      </w:r>
      <w:r>
        <w:t xml:space="preserve">affect</w:t>
      </w:r>
      <w:r>
        <w:t xml:space="preserve"> </w:t>
      </w:r>
      <w:r>
        <w:t xml:space="preserve">theories</w:t>
      </w:r>
      <w:r>
        <w:t xml:space="preserve"> </w:t>
      </w:r>
      <w:r>
        <w:t xml:space="preserve">of</w:t>
      </w:r>
      <w:r>
        <w:t xml:space="preserve"> </w:t>
      </w:r>
      <w:r>
        <w:t xml:space="preserve">optimal</w:t>
      </w:r>
      <w:r>
        <w:t xml:space="preserve"> </w:t>
      </w:r>
      <w:r>
        <w:t xml:space="preserve">canopy</w:t>
      </w:r>
      <w:r>
        <w:t xml:space="preserve"> </w:t>
      </w:r>
      <w:r>
        <w:t xml:space="preserve">carbon</w:t>
      </w:r>
      <w:r>
        <w:t xml:space="preserve"> </w:t>
      </w:r>
      <w:r>
        <w:t xml:space="preserve">gain</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Mark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Plant Science Division, Research School of Biology, The Australian National University, Canberra, ACT,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SourceCode"/>
      </w:pPr>
      <w:r>
        <w:rPr>
          <w:rStyle w:val="VerbatimChar"/>
        </w:rPr>
        <w:t xml:space="preserve">## Warning: package 'knitr' was built under R version 3.1.3</w:t>
      </w:r>
    </w:p>
    <w:p>
      <w:pPr>
        <w:pStyle w:val="Heading1"/>
      </w:pPr>
      <w:bookmarkStart w:id="22" w:name="summary"/>
      <w:bookmarkEnd w:id="22"/>
      <w:r>
        <w:t xml:space="preserve">Summary</w:t>
      </w:r>
    </w:p>
    <w:p>
      <w:pPr>
        <w:pStyle w:val="Heading1"/>
      </w:pPr>
      <w:bookmarkStart w:id="23" w:name="introduction"/>
      <w:bookmarkEnd w:id="23"/>
      <w:r>
        <w:t xml:space="preserve">Introduction</w:t>
      </w:r>
    </w:p>
    <w:p>
      <w:r>
        <w:t xml:space="preserve">The need to understand and predict carbon uptake in forest ecosystems is crucially important for assessing the impacts of a changing climate. Specifically, this involves accurate upscaling of leaf level measurements to predict whole canopy function. Due to the costs and limitations of efficient light harvesting plants cannot expose all leaves to full sun</w:t>
      </w:r>
      <w:r>
        <w:t xml:space="preserve"> </w:t>
      </w:r>
      <w:r>
        <w:t xml:space="preserve">(Niinemets, 2010)</w:t>
      </w:r>
      <w:r>
        <w:t xml:space="preserve">, making simple upscaling problematic. Incident PPFD declines exponentially with increasing leaf area index, creating a steep light gradient from the canopy top to bottom</w:t>
      </w:r>
      <w:r>
        <w:t xml:space="preserve"> </w:t>
      </w:r>
      <w:r>
        <w:t xml:space="preserve">(Monsi &amp; Saeki, 2005)</w:t>
      </w:r>
      <w:r>
        <w:t xml:space="preserve">, and photosynthesis (A) increases with irradiance from shade to sun until biochemical limitation occurs</w:t>
      </w:r>
      <w:r>
        <w:t xml:space="preserve"> </w:t>
      </w:r>
      <w:r>
        <w:t xml:space="preserve">(Evans, 1995)</w:t>
      </w:r>
      <w:r>
        <w:t xml:space="preserve">. Consequently, leaves modify structural and functional properties to efficiently intercept variable light and enhance photosynthetic capacity</w:t>
      </w:r>
      <w:r>
        <w:t xml:space="preserve"> </w:t>
      </w:r>
      <w:r>
        <w:t xml:space="preserve">(Vogelman</w:t>
      </w:r>
      <w:r>
        <w:t xml:space="preserve"> </w:t>
      </w:r>
      <w:r>
        <w:rPr>
          <w:i/>
        </w:rPr>
        <w:t xml:space="preserve">et al.</w:t>
      </w:r>
      <w:r>
        <w:t xml:space="preserve">, 1996; Niinemets &amp; Valladares, 2004)</w:t>
      </w:r>
      <w:r>
        <w:t xml:space="preserve">. To estimate whole canopy carbon gain it is thus necessary to account for the non-linear response of photosynthesis to light by distinguishing between shaded and sunlit leaves</w:t>
      </w:r>
      <w:r>
        <w:t xml:space="preserve"> </w:t>
      </w:r>
      <w:r>
        <w:t xml:space="preserve">(</w:t>
      </w:r>
      <w:r>
        <w:t xml:space="preserve">De Pury</w:t>
      </w:r>
      <w:r>
        <w:t xml:space="preserve"> </w:t>
      </w:r>
      <w:r>
        <w:t xml:space="preserve">&amp; Farquhar, 1997; Linderson</w:t>
      </w:r>
      <w:r>
        <w:t xml:space="preserve"> </w:t>
      </w:r>
      <w:r>
        <w:rPr>
          <w:i/>
        </w:rPr>
        <w:t xml:space="preserve">et al.</w:t>
      </w:r>
      <w:r>
        <w:t xml:space="preserve">, 2012)</w:t>
      </w:r>
      <w:r>
        <w:t xml:space="preserve">.</w:t>
      </w:r>
    </w:p>
    <w:p>
      <w:r>
        <w:br w:type="textWrapping"/>
      </w:r>
      <w:r>
        <w:t xml:space="preserve">The distribution of resources required for A, including nitrogen (N) and water, are also partially defined by canopy light gradients. As A has a saturating response with light and a dependence on N, leaf N should be distributed in the upper canopy to maximize canopy carbon gain</w:t>
      </w:r>
      <w:r>
        <w:t xml:space="preserve"> </w:t>
      </w:r>
      <w:r>
        <w:t xml:space="preserve">(Field, 1983; Field &amp; Mooney, 1986; Peltoniemi</w:t>
      </w:r>
      <w:r>
        <w:t xml:space="preserve"> </w:t>
      </w:r>
      <w:r>
        <w:rPr>
          <w:i/>
        </w:rPr>
        <w:t xml:space="preserve">et al.</w:t>
      </w:r>
      <w:r>
        <w:t xml:space="preserve">, 2012)</w:t>
      </w:r>
      <w:r>
        <w:t xml:space="preserve">. This can lead to changes in chlorophyll per unit N, chlorophyll a:b ratios, electron transport capacity per unit chlorophyll, and ratios of electron transport capacity to Rubisco activity across leaf types</w:t>
      </w:r>
      <w:r>
        <w:t xml:space="preserve"> </w:t>
      </w:r>
      <w:r>
        <w:t xml:space="preserve">(Evans &amp; Poorter, 2001)</w:t>
      </w:r>
      <w:r>
        <w:t xml:space="preserve">. Sun leaves also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Higher rates of A and stomatal conductance (g</w:t>
      </w:r>
      <w:r>
        <w:rPr>
          <w:vertAlign w:val="subscript"/>
        </w:rPr>
        <w:t xml:space="preserve">s</w:t>
      </w:r>
      <w:r>
        <w:t xml:space="preserve">) can only be sustained if the hydraulic conductance (K) is also large enough to avoid low leaf water potentials</w:t>
      </w:r>
      <w:r>
        <w:t xml:space="preserve"> </w:t>
      </w:r>
      <w:r>
        <w:t xml:space="preserve">(Hubbard</w:t>
      </w:r>
      <w:r>
        <w:t xml:space="preserve"> </w:t>
      </w:r>
      <w:r>
        <w:rPr>
          <w:i/>
        </w:rPr>
        <w:t xml:space="preserve">et al.</w:t>
      </w:r>
      <w:r>
        <w:t xml:space="preserve">, 2001)</w:t>
      </w:r>
      <w:r>
        <w:t xml:space="preserve">. Optimal photosynthetic N investment in the upper canopy will be wasted if photosynthetic capacity exceeds hydraulic supply</w:t>
      </w:r>
      <w:r>
        <w:t xml:space="preserve"> </w:t>
      </w:r>
      <w:r>
        <w:t xml:space="preserve">(Niinemets, 2012)</w:t>
      </w:r>
      <w:r>
        <w:t xml:space="preserve">, thus K should also be higher in the upper canopy to supply sunlit leaves with sufficient water</w:t>
      </w:r>
      <w:r>
        <w:t xml:space="preserve"> </w:t>
      </w:r>
      <w:r>
        <w:t xml:space="preserve">(Burgess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r>
        <w:br w:type="textWrapping"/>
      </w:r>
      <w:r>
        <w:t xml:space="preserve">These theoretical distributions of N and water regulate leaf physiological traits that constrain A differently for sun and shade leaves. The balance between the costs and energetic benefits of these leaf traits affecting photosynthetic capacity create trade-offs impacting canopy carbon gain</w:t>
      </w:r>
      <w:r>
        <w:t xml:space="preserve"> </w:t>
      </w:r>
      <w:r>
        <w:t xml:space="preserve">(Givnish, 1988)</w:t>
      </w:r>
      <w:r>
        <w:t xml:space="preserve">. During A, CO</w:t>
      </w:r>
      <w:r>
        <w:rPr>
          <w:vertAlign w:val="subscript"/>
        </w:rPr>
        <w:t xml:space="preserve">2</w:t>
      </w:r>
      <w:r>
        <w:t xml:space="preserve"> </w:t>
      </w:r>
      <w:r>
        <w:t xml:space="preserve">diffuses from the atmosphere through stomata (g</w:t>
      </w:r>
      <w:r>
        <w:rPr>
          <w:vertAlign w:val="subscript"/>
        </w:rPr>
        <w:t xml:space="preserve">s</w:t>
      </w:r>
      <w:r>
        <w:t xml:space="preserve">), intercellular air space and into the chloroplast for fixation by Rubisco (mesophyll conductance, g</w:t>
      </w:r>
      <w:r>
        <w:rPr>
          <w:vertAlign w:val="subscript"/>
        </w:rPr>
        <w:t xml:space="preserve">m</w:t>
      </w:r>
      <w:r>
        <w:t xml:space="preserve">)</w:t>
      </w:r>
      <w:r>
        <w:t xml:space="preserve"> </w:t>
      </w:r>
      <w:r>
        <w:t xml:space="preserve">(Tazoe</w:t>
      </w:r>
      <w:r>
        <w:t xml:space="preserve"> </w:t>
      </w:r>
      <w:r>
        <w:rPr>
          <w:i/>
        </w:rPr>
        <w:t xml:space="preserve">et al.</w:t>
      </w:r>
      <w:r>
        <w:t xml:space="preserve">, 2011)</w:t>
      </w:r>
      <w:r>
        <w:t xml:space="preserve"> </w:t>
      </w:r>
      <w:r>
        <w:t xml:space="preserve">and trade-offs exists that constrain each of these diffusion pathways. For optimal leaf carbon gain these pathways should act to minimize the resistance to CO</w:t>
      </w:r>
      <w:r>
        <w:rPr>
          <w:vertAlign w:val="subscript"/>
        </w:rPr>
        <w:t xml:space="preserve">2</w:t>
      </w:r>
      <w:r>
        <w:t xml:space="preserve"> </w:t>
      </w:r>
      <w:r>
        <w:t xml:space="preserve">diffusion while also limiting the intrinsic energy, water and construction costs which diminish the carbon return from A. As these processes should not be considered independent of each other and must be integrated with hydraulic constraints</w:t>
      </w:r>
      <w:r>
        <w:t xml:space="preserve"> </w:t>
      </w:r>
      <w:r>
        <w:t xml:space="preserve">(Griffiths</w:t>
      </w:r>
      <w:r>
        <w:t xml:space="preserve"> </w:t>
      </w:r>
      <w:r>
        <w:rPr>
          <w:i/>
        </w:rPr>
        <w:t xml:space="preserve">et al.</w:t>
      </w:r>
      <w:r>
        <w:t xml:space="preserve">, 2013)</w:t>
      </w:r>
      <w:r>
        <w:t xml:space="preserve"> </w:t>
      </w:r>
      <w:r>
        <w:t xml:space="preserve">predicting their behaviour within canopies remains difficult.</w:t>
      </w:r>
    </w:p>
    <w:p>
      <w:r>
        <w:br w:type="textWrapping"/>
      </w:r>
      <w:r>
        <w:t xml:space="preserve">First, g</w:t>
      </w:r>
      <w:r>
        <w:rPr>
          <w:vertAlign w:val="subscript"/>
        </w:rPr>
        <w:t xml:space="preserve">s</w:t>
      </w:r>
      <w:r>
        <w:t xml:space="preserve"> </w:t>
      </w:r>
      <w:r>
        <w:t xml:space="preserve">should be efficiently distributed within a canopy to utilize supplies of light, N and water to maximize A</w:t>
      </w:r>
      <w:r>
        <w:t xml:space="preserve"> </w:t>
      </w:r>
      <w:r>
        <w:t xml:space="preserve">(Peltoniemi</w:t>
      </w:r>
      <w:r>
        <w:t xml:space="preserve"> </w:t>
      </w:r>
      <w:r>
        <w:rPr>
          <w:i/>
        </w:rPr>
        <w:t xml:space="preserve">et al.</w:t>
      </w:r>
      <w:r>
        <w:t xml:space="preserve">, 2012)</w:t>
      </w:r>
      <w:r>
        <w:t xml:space="preserve">. • This is because stomata are hypothesized to exhibit an optimal behaviour to maximize carbon gain while simultaneously minimizing water loss through transpiration</w:t>
      </w:r>
      <w:r>
        <w:t xml:space="preserve"> </w:t>
      </w:r>
      <w:r>
        <w:t xml:space="preserve">(Cowan &amp; Farquhar, 1977)</w:t>
      </w:r>
      <w:r>
        <w:t xml:space="preserve">. Second, variation in photosynthetic capacity between sun and shade leaves has also been hypothesized to be due to differences in g</w:t>
      </w:r>
      <w:r>
        <w:rPr>
          <w:vertAlign w:val="subscript"/>
        </w:rPr>
        <w:t xml:space="preserve">m</w:t>
      </w:r>
      <w:r>
        <w:t xml:space="preserve"> </w:t>
      </w:r>
      <w:r>
        <w:t xml:space="preserve">(Duursma &amp; Marshall, 2006)</w:t>
      </w:r>
      <w:r>
        <w:t xml:space="preserve">. Mesophyll conductance can impose limitations on A as large as those associated with g</w:t>
      </w:r>
      <w:r>
        <w:rPr>
          <w:vertAlign w:val="subscript"/>
        </w:rPr>
        <w:t xml:space="preserve">s</w:t>
      </w:r>
      <w:r>
        <w:t xml:space="preserve"> </w:t>
      </w:r>
      <w:r>
        <w:t xml:space="preserve">(Warren, 2008; Ubierna &amp; Marshall, 2011)</w:t>
      </w:r>
      <w:r>
        <w:t xml:space="preserve">and these limitations can reduce the efficiency of N use in A</w:t>
      </w:r>
      <w:r>
        <w:t xml:space="preserve"> </w:t>
      </w:r>
      <w:r>
        <w:t xml:space="preserve">(Niinemets, 2007)</w:t>
      </w:r>
      <w:r>
        <w:t xml:space="preserve">. Interpreting the coupled responses of both g</w:t>
      </w:r>
      <w:r>
        <w:rPr>
          <w:vertAlign w:val="subscript"/>
        </w:rPr>
        <w:t xml:space="preserve">s</w:t>
      </w:r>
      <w:r>
        <w:t xml:space="preserve"> </w:t>
      </w:r>
      <w:r>
        <w:t xml:space="preserve">and g</w:t>
      </w:r>
      <w:r>
        <w:rPr>
          <w:vertAlign w:val="subscript"/>
        </w:rPr>
        <w:t xml:space="preserve">m</w:t>
      </w:r>
      <w:r>
        <w:t xml:space="preserve"> </w:t>
      </w:r>
      <w:r>
        <w:t xml:space="preserve">to A across sun and shade leaves has major implications for predicting canopy carbon gain, but empirical measurements across tree canopies are still lacking.</w:t>
      </w:r>
    </w:p>
    <w:p>
      <w:r>
        <w:br w:type="textWrapping"/>
      </w:r>
      <w:r>
        <w:t xml:space="preserve">Additionally, assessing shade leaf behaviour is made difficult with accounting of short term light fluctuations within a canopy, via sunflecks. How shade leaves utilize sunflecks for short term carbon gain depends on the combined response time of gs and gm and the underlying photosynthetic biochemistry acclimated to a low light environment</w:t>
      </w:r>
      <w:r>
        <w:t xml:space="preserve"> </w:t>
      </w:r>
      <w:r>
        <w:t xml:space="preserve">(Pearcy, 1990)</w:t>
      </w:r>
      <w:r>
        <w:t xml:space="preserve">. For example, at short timescales the utilization of sunflecks is limited by the slow response of stomatal opening, effectively limiting the maximum assimilation rate that can be achieved</w:t>
      </w:r>
      <w:r>
        <w:t xml:space="preserve"> </w:t>
      </w:r>
      <w:r>
        <w:t xml:space="preserve">(Way &amp; Pearcy, 2012)</w:t>
      </w:r>
      <w:r>
        <w:t xml:space="preserve">. Mesophyll conductance has been shown to respond to environmental factors across both long and rapid time scales, possibly faster than gs</w:t>
      </w:r>
      <w:r>
        <w:t xml:space="preserve"> </w:t>
      </w:r>
      <w:r>
        <w:t xml:space="preserve">(Flexas</w:t>
      </w:r>
      <w:r>
        <w:t xml:space="preserve"> </w:t>
      </w:r>
      <w:r>
        <w:rPr>
          <w:i/>
        </w:rPr>
        <w:t xml:space="preserve">et al.</w:t>
      </w:r>
      <w:r>
        <w:t xml:space="preserve">, 2008)</w:t>
      </w:r>
      <w:r>
        <w:t xml:space="preserve">. However, anatomical parameters which regulate gm with changing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w:t>
      </w:r>
      <w:r>
        <w:t xml:space="preserve"> </w:t>
      </w:r>
      <w:r>
        <w:t xml:space="preserve">are not likely adaptable during short light fluctuations. The physiological behaviour of shade leaves to maximize carbon gain must be assessed as both a degree of acclimation to local irradiance and as a potential response to transitory light availability.</w:t>
      </w:r>
    </w:p>
    <w:p>
      <w:r>
        <w:br w:type="textWrapping"/>
      </w:r>
      <w:r>
        <w:t xml:space="preserve">Climate warming may also potentially affect the physiological behaviour of leaves within a canopy. This is because leaves can be exposed to different heat, water and high light stresses as temperature and vapour pressure deficit (VPD) scale positively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t>
      </w:r>
      <w:r>
        <w:t xml:space="preserve">will have implications for upscaling A 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for evaluating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(+3°C) treatments, to empirically evaluate the distribution of resources and leaf physiological behaviour of sun and shade leaves. 1. If whole tree canopies are optimized for carbon gain, then leaf N, K and photosynthetic capacity were predicted to be higher in full sun leaves. 2. Under comparable leaf VPD, g</w:t>
      </w:r>
      <w:r>
        <w:rPr>
          <w:vertAlign w:val="subscript"/>
        </w:rPr>
        <w:t xml:space="preserve">s</w:t>
      </w:r>
      <w:r>
        <w:t xml:space="preserve"> </w:t>
      </w:r>
      <w:r>
        <w:t xml:space="preserve">and A should exhibit theoretical optimal behaviour across both sun and shade leaves, while g</w:t>
      </w:r>
      <w:r>
        <w:rPr>
          <w:vertAlign w:val="subscript"/>
        </w:rPr>
        <w:t xml:space="preserve">m</w:t>
      </w:r>
      <w:r>
        <w:t xml:space="preserve"> </w:t>
      </w:r>
      <w:r>
        <w:t xml:space="preserve">was predicted to scale positively with photosynthetic capacity. 3. As shade leaves are constrained by their underlying biochemistry and slow physiological responses, increases in A following sunfleck simulations were not expected to reach levels of full sun leaves. 4. The effects of climate warming was predicted to be greater in sun than shade leaves, seen as increases in stomatal closure and reductions in leaf carbon gain during summer months.</w:t>
      </w:r>
    </w:p>
    <w:p>
      <w:pPr>
        <w:pStyle w:val="Heading1"/>
      </w:pPr>
      <w:bookmarkStart w:id="24" w:name="materials-and-methods"/>
      <w:bookmarkEnd w:id="24"/>
      <w:r>
        <w:t xml:space="preserve">Materials and Methods</w:t>
      </w:r>
    </w:p>
    <w:p>
      <w:pPr>
        <w:pStyle w:val="Heading2"/>
      </w:pPr>
      <w:bookmarkStart w:id="25" w:name="whole-tree-chamber-experimental-design"/>
      <w:bookmarkEnd w:id="25"/>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maximum height of 10 m and seedlings were grown for 15 months. A detailed description of the WTC operation and design is available in</w:t>
      </w:r>
      <w:r>
        <w:t xml:space="preserve"> </w:t>
      </w:r>
      <w:r>
        <w:t xml:space="preserve">(Barton</w:t>
      </w:r>
      <w:r>
        <w:t xml:space="preserve"> </w:t>
      </w:r>
      <w:r>
        <w:rPr>
          <w:i/>
        </w:rPr>
        <w:t xml:space="preserve">et al.</w:t>
      </w:r>
      <w:r>
        <w:t xml:space="preserve">, 2010)</w:t>
      </w:r>
      <w:r>
        <w:t xml:space="preserve">. Six chambers were set to match outside ambient air temperatures (AT) while the remaining 6 experienced a constant elevated air temperature treatment (ET, 3°C). The CO</w:t>
      </w:r>
      <w:r>
        <w:rPr>
          <w:vertAlign w:val="subscript"/>
        </w:rPr>
        <w:t xml:space="preserve">2</w:t>
      </w:r>
      <w:r>
        <w:t xml:space="preserve"> </w:t>
      </w:r>
      <w:r>
        <w:t xml:space="preserve">concentration inside the chamber was set to match outside air, tracking diurnal changes. Due to the temperature treatment air humidity was not explicitly controlled. Trees were watered with 70 l weekly from March 2013 to November 2013. From December 2013 to final harvest trees were watered fortnightly with mean monthly (100 yr) rainfall amount. In February 2013 half of the chambers (3 each of AT and ET) were subjected to a drought treatment by withholding watering. Due to a limited range of data for the drought treatment only well-watered trees are reported here.</w:t>
      </w:r>
    </w:p>
    <w:p>
      <w:r>
        <w:br w:type="textWrapping"/>
      </w:r>
      <w:r>
        <w:t xml:space="preserve">Before seedlings were planted into each chamber they were maintained under well watered conditions in 35 l pots and kept inside each chamber. This allowed for seedlings to gain sufficient biomass before planting while also allowing them to acclimate to chamber temperature treatments. Seedlings were planted into each chamber after mean seedling height reached 100 cm. After 2 months, floors were installed 45 cm from the soil surface. This enabled chamber fluxes of CO</w:t>
      </w:r>
      <w:r>
        <w:rPr>
          <w:vertAlign w:val="subscript"/>
        </w:rPr>
        <w:t xml:space="preserve">2</w:t>
      </w:r>
      <w:r>
        <w:t xml:space="preserve"> </w:t>
      </w:r>
      <w:r>
        <w:t xml:space="preserve">and H</w:t>
      </w:r>
      <w:r>
        <w:rPr>
          <w:vertAlign w:val="subscript"/>
        </w:rPr>
        <w:t xml:space="preserve">2</w:t>
      </w:r>
      <w:r>
        <w:t xml:space="preserve">O from the whole tree canopy to be monitored. Gas exchange measurements were initiated in October 2013 when trees had both ample height growth and canopy development for realistic canopy light gradients to be measured. At this point, trees had a mean height of 34±15.1 and 418±323.1 cm and an estimated leaf area of 3.9±0.1 and 6.2±0.2 m</w:t>
      </w:r>
      <w:r>
        <w:rPr>
          <w:vertAlign w:val="superscript"/>
        </w:rPr>
        <w:t xml:space="preserve">2</w:t>
      </w:r>
      <w:r>
        <w:t xml:space="preserve"> </w:t>
      </w:r>
      <w:r>
        <w:t xml:space="preserve">for ambient and elevated temperature treatments, respectively.</w:t>
      </w:r>
    </w:p>
    <w:p>
      <w:pPr>
        <w:pStyle w:val="Heading2"/>
      </w:pPr>
      <w:bookmarkStart w:id="26" w:name="leaf-gas-exchange-online-carbon-isotope-discrimination-and-mesophyll-conductance"/>
      <w:bookmarkEnd w:id="26"/>
      <w:r>
        <w:t xml:space="preserve">Leaf gas exchange, online carbon isotope discrimination and mesophyll conductance</w:t>
      </w:r>
    </w:p>
    <w:p>
      <w:r>
        <w:t xml:space="preserve">Leaf gas exchange measurements were performed monthly through to the final harvest. Measurements were taken on a representative sun and shade leaf for each tree during each measurement campaign. The youngest fully expanded leaf from the stem apex was chosen for gas exchange measurements and sun leaves were measured in the upper third of the canopy. In order to minimize any confounding effects of leaf age, shade leaves were measured first in the lower canopy then gradually higher during each campaign. As shade leaves most likely developed slower this assured that older leaves that exist in the lower canopy were avoided. The nearest leaf on each branch was sampled for measurement of predawn leaf water potential. All leaves were selected and flagged 24 hours prior to initiation of measurements.</w:t>
      </w:r>
    </w:p>
    <w:p>
      <w:r>
        <w:br w:type="textWrapping"/>
      </w:r>
      <w:r>
        <w:t xml:space="preserve">Prior to gas exchange measurements photosynthetic photon flux density (PPFD) was recorded at the individual leaf level and at the canopy position for each selected leaf. A hand-held photosynthetically available radiation meter was used to record leaf level PPFD to ensure that chosen leaves were positioned in the desired light environment, either full sun or full shade. A ceptometer (AccuPAR LP-80, Decagon Devices, Pullman, USA) was then used to measure 1 m integrated PPFD at the canopy height of each chosen leaf type. Five ceptometer readings were recorded within the canopy at random locations of the height of each selected leaf. The mean of these readings was assumed to represent the overall leaf light environment of representative full sun and shade leaves for each tree. All measurements of PPFD and gas exchange were performed on full sun days between 10:00-14:30 h.</w:t>
      </w:r>
    </w:p>
    <w:p>
      <w:r>
        <w:br w:type="textWrapping"/>
      </w:r>
      <w:r>
        <w:t xml:space="preserve">Leaf level gas exchange was measured with a standard 6 cm</w:t>
      </w:r>
      <w:r>
        <w:rPr>
          <w:vertAlign w:val="superscript"/>
        </w:rPr>
        <w:t xml:space="preserve">2</w:t>
      </w:r>
      <w:r>
        <w:t xml:space="preserve"> </w:t>
      </w:r>
      <w:r>
        <w:t xml:space="preserve">leaf chamber using a portable gas exchange system (LI-6400, LI-COR, Lincoln, NE, USA). This system was coupled with a tunable diode laser (TDL;TGA100,Campbell Scientific, Inc., Logan, UT, USA) for concurrent measurements of online carbon isotope discrimination. The CO</w:t>
      </w:r>
      <w:r>
        <w:rPr>
          <w:vertAlign w:val="subscript"/>
        </w:rPr>
        <w:t xml:space="preserve">2</w:t>
      </w:r>
      <w:r>
        <w:t xml:space="preserve"> </w:t>
      </w:r>
      <w:r>
        <w:t xml:space="preserve">in the leaf chamber was set at ambient atmospheric [CO</w:t>
      </w:r>
      <w:r>
        <w:rPr>
          <w:vertAlign w:val="subscript"/>
        </w:rPr>
        <w:t xml:space="preserve">2</w:t>
      </w:r>
      <w:r>
        <w:t xml:space="preserve">] (400 ppm) with a flow rate of 200</w:t>
      </w:r>
      <w:r>
        <w:t xml:space="preserve"> </w:t>
      </w:r>
      <m:oMath>
        <m:r>
          <m:rPr>
            <m:sty m:val="p"/>
          </m:rPr>
          <m:t>μ</m:t>
        </m:r>
      </m:oMath>
      <w:r>
        <w:t xml:space="preserve">mols s</w:t>
      </w:r>
      <w:r>
        <w:rPr>
          <w:vertAlign w:val="superscript"/>
        </w:rPr>
        <w:t xml:space="preserve">-1</w:t>
      </w:r>
      <w:r>
        <w:t xml:space="preserve">. Two identical gas exchanges systems were run simultaneously, one in each of a randomly chosen WTC for each temperature treatment. This paired design allowed for direct leaf comparisons to be made with simultaneous measurements of similar leaf types. Leaf temperatures were controlled at the current ambient or +3°C chamber air temperature. PPFD in the chamber was set to match the individual light environment of each leaf type (explained above). Sun flecks were then simulated for shade leaves by increasing the chamber PPFD to the light environment of the full sun leaf in the same tree. When shade leaves were exposed to high light they were allowed enough time to equilibrate with chamber conditions until stable (ca. 25 min).</w:t>
      </w:r>
    </w:p>
    <w:p>
      <w:r>
        <w:br w:type="textWrapping"/>
      </w:r>
      <w:r>
        <w:t xml:space="preserve">Once the chamber environment for leaves was stable the sample and reference gas lines were diverted to the TDL via T-junctions inserted into the reference gas tube and match valve outlet. These gases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by the TDL. Reference, sample and 2 calibration gases were run on alternating 80 s loops (20 s each), one for each paired leaf, for a total of 12 min. This allowed for 4-5 measurements per leaf and data were averaged over the last 10 s of reference and samples gases for calculations. The two calibration gases were drawn from compressed air tanks (330 and 740 ppm CO</w:t>
      </w:r>
      <w:r>
        <w:rPr>
          <w:vertAlign w:val="subscript"/>
        </w:rPr>
        <w:t xml:space="preserve">2</w:t>
      </w:r>
      <w:r>
        <w:t xml:space="preserve">) in order to correct for gain drift of the TDLAS on each measurement cycle. Net CO</w:t>
      </w:r>
      <w:r>
        <w:rPr>
          <w:vertAlign w:val="subscript"/>
        </w:rPr>
        <w:t xml:space="preserve">2</w:t>
      </w:r>
      <w:r>
        <w:t xml:space="preserve"> </w:t>
      </w:r>
      <w:r>
        <w:t xml:space="preserve">assimilation rate, g</w:t>
      </w:r>
      <w:r>
        <w:rPr>
          <w:vertAlign w:val="subscript"/>
        </w:rPr>
        <w:t xml:space="preserve">s</w:t>
      </w:r>
      <w:r>
        <w:t xml:space="preserve">, transpiration, and intercellular [CO</w:t>
      </w:r>
      <w:r>
        <w:rPr>
          <w:vertAlign w:val="subscript"/>
        </w:rPr>
        <w:t xml:space="preserve">2</w:t>
      </w:r>
      <w:r>
        <w:t xml:space="preserve">] were auto 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&amp; Helliker, 2013)</w:t>
      </w:r>
      <w:r>
        <w:t xml:space="preserve">. First, leaf discrimination was calculated by comparing the isotopic composition of the reference gas entering the chamber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m:oMathPara>
        <m:oMathParaPr>
          <m:jc m:val="center"/>
        </m:oMathParaPr>
        <m:oMath>
          <m:r>
            <m:rPr>
              <m:sty m:val="p"/>
            </m:rPr>
            <m:t>δ</m:t>
          </m:r>
          <m:r>
            <m:rPr>
              <m:sty m:val="p"/>
            </m:rPr>
            <m:t>=</m:t>
          </m:r>
          <m:d>
            <m:dPr>
              <m:begChr m:val="("/>
              <m:endChr m:val=")"/>
              <m:grow/>
            </m:dPr>
            <m:e>
              <m:f>
                <m:fPr>
                  <m:type m:val="bar"/>
                </m:fPr>
                <m:num>
                  <m:sSub>
                    <m:e>
                      <m:r>
                        <m:rPr>
                          <m:sty m:val="p"/>
                        </m:rPr>
                        <m:t>R</m:t>
                      </m:r>
                    </m:e>
                    <m:sub>
                      <m:r>
                        <m:rPr>
                          <m:sty m:val="p"/>
                        </m:rPr>
                        <m:t>s</m:t>
                      </m:r>
                    </m:sub>
                  </m:sSub>
                </m:num>
                <m:den>
                  <m:sSub>
                    <m:e>
                      <m:r>
                        <m:rPr>
                          <m:sty m:val="p"/>
                        </m:rPr>
                        <m:t>R</m:t>
                      </m:r>
                    </m:e>
                    <m:sub>
                      <m:r>
                        <m:rPr>
                          <m:sty m:val="p"/>
                        </m:rPr>
                        <m:t>s</m:t>
                      </m:r>
                      <m:r>
                        <m:rPr>
                          <m:sty m:val="p"/>
                        </m:rPr>
                        <m:t>t</m:t>
                      </m:r>
                      <m:r>
                        <m:rPr>
                          <m:sty m:val="p"/>
                        </m:rPr>
                        <m:t>n</m:t>
                      </m:r>
                      <m:r>
                        <m:rPr>
                          <m:sty m:val="p"/>
                        </m:rPr>
                        <m:t>d</m:t>
                      </m:r>
                    </m:sub>
                  </m:sSub>
                </m:den>
              </m:f>
              <m:r>
                <m:rPr>
                  <m:sty m:val="p"/>
                </m:rPr>
                <m:t>−</m:t>
              </m:r>
              <m:r>
                <m:rPr>
                  <m:sty m:val="p"/>
                </m:rPr>
                <m:t>1</m:t>
              </m:r>
            </m:e>
          </m:d>
          <m:r>
            <m:rPr>
              <m:sty m:val="p"/>
            </m:rPr>
            <m:t>1000</m:t>
          </m:r>
        </m:oMath>
      </m:oMathPara>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Next, the observed discrimination (</w:t>
      </w:r>
      <m:oMath>
        <m:r>
          <m:rPr>
            <m:sty m:val="p"/>
          </m:rPr>
          <m:t>Δ</m:t>
        </m:r>
      </m:oMath>
      <w:r>
        <w:rPr>
          <w:vertAlign w:val="subscript"/>
        </w:rPr>
        <w:t xml:space="preserve">obs</w:t>
      </w:r>
      <w:r>
        <w:t xml:space="preserve">) is calculated from</w:t>
      </w:r>
      <w:r>
        <w:t xml:space="preserve"> </w:t>
      </w:r>
      <w:r>
        <w:t xml:space="preserve">(Evans</w:t>
      </w:r>
      <w:r>
        <w:t xml:space="preserve"> </w:t>
      </w:r>
      <w:r>
        <w:rPr>
          <w:i/>
        </w:rPr>
        <w:t xml:space="preserve">et al.</w:t>
      </w:r>
      <w:r>
        <w:t xml:space="preserve">, 1986)</w:t>
      </w:r>
      <w:r>
        <w:t xml:space="preserve">:</w:t>
      </w:r>
    </w:p>
    <w:p>
      <m:oMathPara>
        <m:oMathParaPr>
          <m:jc m:val="center"/>
        </m:oMathParaPr>
        <m:oMath>
          <m:nary>
            <m:naryPr>
              <m:chr m:val="Δ"/>
              <m:limLoc m:val="subSup"/>
              <m:supHide m:val="off"/>
              <m:supHide m:val="off"/>
            </m:naryPr>
            <m:e>
              <m:r>
                <m:rPr>
                  <m:sty m:val="p"/>
                </m:rPr>
                <m:t>=</m:t>
              </m:r>
            </m:e>
            <m:sub>
              <m:r>
                <m:rPr>
                  <m:sty m:val="p"/>
                </m:rPr>
                <m:t>o</m:t>
              </m:r>
              <m:r>
                <m:rPr>
                  <m:sty m:val="p"/>
                </m:rPr>
                <m:t>b</m:t>
              </m:r>
              <m:r>
                <m:rPr>
                  <m:sty m:val="p"/>
                </m:rPr>
                <m:t>s</m:t>
              </m:r>
            </m:sub>
            <m:sup/>
          </m:nary>
          <m:f>
            <m:fPr>
              <m:type m:val="bar"/>
            </m:fPr>
            <m:num>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num>
            <m:den>
              <m:r>
                <m:rPr>
                  <m:sty m:val="p"/>
                </m:rPr>
                <m:t>1000</m:t>
              </m:r>
              <m:r>
                <m:rPr>
                  <m:sty m:val="p"/>
                </m:rPr>
                <m:t>+</m:t>
              </m:r>
              <m:sSup>
                <m:e>
                  <m:r>
                    <m:rPr>
                      <m:sty m:val="p"/>
                    </m:rPr>
                    <m:t>δ</m:t>
                  </m:r>
                </m:e>
                <m:sup>
                  <m:r>
                    <m:rPr>
                      <m:sty m:val="p"/>
                    </m:rPr>
                    <m:t>13</m:t>
                  </m:r>
                </m:sup>
              </m:sSup>
              <m:sSub>
                <m:e>
                  <m:r>
                    <m:rPr>
                      <m:sty m:val="p"/>
                    </m:rPr>
                    <m:t>C</m:t>
                  </m:r>
                </m:e>
                <m:sub>
                  <m:r>
                    <m:rPr>
                      <m:sty m:val="p"/>
                    </m:rPr>
                    <m:t>e</m:t>
                  </m:r>
                </m:sub>
              </m:sSub>
              <m:r>
                <m:rPr>
                  <m:sty m:val="p"/>
                </m:rPr>
                <m:t>−</m:t>
              </m:r>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den>
          </m:f>
        </m:oMath>
      </m:oMathPara>
    </w:p>
    <w:p>
      <w:r>
        <w:t xml:space="preserve">where:</w:t>
      </w:r>
    </w:p>
    <w:p>
      <m:oMathPara>
        <m:oMathParaPr>
          <m:jc m:val="center"/>
        </m:oMathParaPr>
        <m:oMath>
          <m:r>
            <m:rPr>
              <m:sty m:val="p"/>
            </m:rPr>
            <m:t>ξ</m:t>
          </m:r>
          <m:r>
            <m:rPr>
              <m:sty m:val="p"/>
            </m:rPr>
            <m:t>=</m:t>
          </m:r>
          <m:f>
            <m:fPr>
              <m:type m:val="bar"/>
            </m:fPr>
            <m:num>
              <m:sSub>
                <m:e>
                  <m:r>
                    <m:rPr>
                      <m:sty m:val="p"/>
                    </m:rPr>
                    <m:t>C</m:t>
                  </m:r>
                </m:e>
                <m:sub>
                  <m:r>
                    <m:rPr>
                      <m:sty m:val="p"/>
                    </m:rPr>
                    <m:t>e</m:t>
                  </m:r>
                </m:sub>
              </m:sSub>
            </m:num>
            <m:den>
              <m:sSub>
                <m:e>
                  <m:r>
                    <m:rPr>
                      <m:sty m:val="p"/>
                    </m:rPr>
                    <m:t>C</m:t>
                  </m:r>
                </m:e>
                <m:sub>
                  <m:r>
                    <m:rPr>
                      <m:sty m:val="p"/>
                    </m:rPr>
                    <m:t>e</m:t>
                  </m:r>
                </m:sub>
              </m:sSub>
              <m:r>
                <m:rPr>
                  <m:sty m:val="p"/>
                </m:rPr>
                <m:t>−</m:t>
              </m:r>
              <m:sSub>
                <m:e>
                  <m:r>
                    <m:rPr>
                      <m:sty m:val="p"/>
                    </m:rPr>
                    <m:t>C</m:t>
                  </m:r>
                </m:e>
                <m:sub>
                  <m:r>
                    <m:rPr>
                      <m:sty m:val="p"/>
                    </m:rPr>
                    <m:t>o</m:t>
                  </m:r>
                </m:sub>
              </m:sSub>
            </m:den>
          </m:f>
        </m:oMath>
      </m:oMathPara>
    </w:p>
    <w:p>
      <m:oMath>
        <m:r>
          <m:rPr>
            <m:sty m:val="p"/>
          </m:rPr>
          <m:t>ξ</m:t>
        </m:r>
      </m:oMath>
      <w:r>
        <w:t xml:space="preserve"> </w:t>
      </w:r>
      <w:r>
        <w:t xml:space="preserve">is the ratio of the CO</w:t>
      </w:r>
      <w:r>
        <w:rPr>
          <w:vertAlign w:val="subscript"/>
        </w:rPr>
        <w:t xml:space="preserve">2</w:t>
      </w:r>
      <w:r>
        <w:t xml:space="preserve"> </w:t>
      </w:r>
      <w:r>
        <w:t xml:space="preserve">entering the well mixed leaf chamber to the CO</w:t>
      </w:r>
      <w:r>
        <w:rPr>
          <w:vertAlign w:val="subscript"/>
        </w:rPr>
        <w:t xml:space="preserve">2</w:t>
      </w:r>
      <w:r>
        <w:t xml:space="preserve"> </w:t>
      </w:r>
      <w:r>
        <w:t xml:space="preserve">draw down by the leaf.</w:t>
      </w:r>
    </w:p>
    <w:p>
      <w:r>
        <w:br w:type="textWrapping"/>
      </w:r>
      <w:r>
        <w:t xml:space="preserve">Second, leaf</w:t>
      </w:r>
      <w:r>
        <w:t xml:space="preserve"> </w:t>
      </w:r>
      <w:r>
        <w:rPr>
          <w:vertAlign w:val="superscript"/>
        </w:rPr>
        <w:t xml:space="preserve">13</w:t>
      </w:r>
      <w:r>
        <w:t xml:space="preserve">CO</w:t>
      </w:r>
      <w:r>
        <w:rPr>
          <w:vertAlign w:val="subscript"/>
        </w:rPr>
        <w:t xml:space="preserve">2</w:t>
      </w:r>
      <w:r>
        <w:t xml:space="preserve"> </w:t>
      </w:r>
      <w:r>
        <w:t xml:space="preserve">during C</w:t>
      </w:r>
      <w:r>
        <w:rPr>
          <w:vertAlign w:val="subscript"/>
        </w:rPr>
        <w:t xml:space="preserve">3</w:t>
      </w:r>
      <w:r>
        <w:t xml:space="preserve"> </w:t>
      </w:r>
      <w:r>
        <w:t xml:space="preserve">photosynthesis (</w:t>
      </w:r>
      <m:oMath>
        <m:r>
          <m:rPr>
            <m:sty m:val="p"/>
          </m:rPr>
          <m:t>δ</m:t>
        </m:r>
      </m:oMath>
      <w:r>
        <w:rPr>
          <w:vertAlign w:val="superscript"/>
        </w:rPr>
        <w:t xml:space="preserve">13</w:t>
      </w:r>
      <w:r>
        <w:t xml:space="preserve">C) is the resultant discrimination from CO</w:t>
      </w:r>
      <w:r>
        <w:rPr>
          <w:vertAlign w:val="subscript"/>
        </w:rPr>
        <w:t xml:space="preserve">2</w:t>
      </w:r>
      <w:r>
        <w:t xml:space="preserve"> </w:t>
      </w:r>
      <w:r>
        <w:t xml:space="preserve">diffusion from the atmosphere to the site of carboxylation, consisting or a series of fractionation steps described in</w:t>
      </w:r>
      <w:r>
        <w:t xml:space="preserve"> </w:t>
      </w:r>
      <w:r>
        <w:t xml:space="preserve">(Evans</w:t>
      </w:r>
      <w:r>
        <w:t xml:space="preserve"> </w:t>
      </w:r>
      <w:r>
        <w:rPr>
          <w:i/>
        </w:rPr>
        <w:t xml:space="preserve">et al.</w:t>
      </w:r>
      <w:r>
        <w:t xml:space="preserve">, 1986)</w:t>
      </w:r>
      <w:r>
        <w:t xml:space="preserve">. In this experiment, a modified form of this equation presented in</w:t>
      </w:r>
      <w:r>
        <w:t xml:space="preserve"> </w:t>
      </w:r>
      <w:r>
        <w:t xml:space="preserve">(Tazoe</w:t>
      </w:r>
      <w:r>
        <w:t xml:space="preserve"> </w:t>
      </w:r>
      <w:r>
        <w:rPr>
          <w:i/>
        </w:rPr>
        <w:t xml:space="preserve">et al.</w:t>
      </w:r>
      <w:r>
        <w:t xml:space="preserve">, 2011)</w:t>
      </w:r>
      <w:r>
        <w:t xml:space="preserve"> </w:t>
      </w:r>
      <w:r>
        <w:t xml:space="preserve">with ternary effect corrections by</w:t>
      </w:r>
      <w:r>
        <w:t xml:space="preserve"> </w:t>
      </w:r>
      <w:r>
        <w:t xml:space="preserve">(Farquhar &amp; Cernusak, 2012)</w:t>
      </w:r>
      <w:r>
        <w:t xml:space="preserve"> </w:t>
      </w:r>
      <w:r>
        <w:t xml:space="preserve">was used such that:</w:t>
      </w:r>
    </w:p>
    <w:p>
      <m:oMathPara>
        <m:oMathParaPr>
          <m:jc m:val="center"/>
        </m:oMathParaPr>
        <m:oMath>
          <m:m>
            <m:mPr>
              <m:baseJc m:val="center"/>
              <m:plcHide m:val="on"/>
              <m:mcs>
                <m:mc>
                  <m:mcPr>
                    <m:mcJc m:val="right"/>
                  </m:mcPr>
                </m:mc>
                <m:mc>
                  <m:mcPr>
                    <m:mcJc m:val="left"/>
                  </m:mcPr>
                </m:mc>
                <m:mc>
                  <m:mcPr>
                    <m:mcJc m:val="left"/>
                  </m:mcPr>
                </m:mc>
              </m:mcs>
            </m:mPr>
            <m:mr>
              <m:e>
                <m:nary>
                  <m:naryPr>
                    <m:chr m:val="Δ"/>
                    <m:limLoc m:val="subSup"/>
                    <m:supHide m:val="on"/>
                    <m:supHide m:val="on"/>
                  </m:naryPr>
                  <m:e>
                    <m:r>
                      <m:rPr>
                        <m:sty m:val="p"/>
                      </m:rPr>
                      <m:t>=</m:t>
                    </m:r>
                  </m:e>
                  <m:sub/>
                  <m:sup>
                    <m:r>
                      <m:rPr>
                        <m:sty m:val="p"/>
                      </m:rPr>
                      <m:t>13</m:t>
                    </m:r>
                  </m:sup>
                </m:nary>
              </m:e>
              <m:e>
                <m:f>
                  <m:fPr>
                    <m:type m:val="bar"/>
                  </m:fPr>
                  <m:num>
                    <m:r>
                      <m:rPr>
                        <m:sty m:val="p"/>
                      </m:rPr>
                      <m:t>1</m:t>
                    </m:r>
                  </m:num>
                  <m:den>
                    <m:r>
                      <m:rPr>
                        <m:sty m:val="p"/>
                      </m:rPr>
                      <m:t>1</m:t>
                    </m:r>
                    <m:r>
                      <m:rPr>
                        <m:sty m:val="p"/>
                      </m:rPr>
                      <m:t>−</m:t>
                    </m:r>
                    <m:r>
                      <m:rPr>
                        <m:sty m:val="p"/>
                      </m:rPr>
                      <m:t>t</m:t>
                    </m:r>
                  </m:den>
                </m:f>
                <m:r>
                  <m:rPr>
                    <m:sty m:val="p"/>
                  </m:rPr>
                  <m:t>a</m:t>
                </m:r>
                <m:r>
                  <m:rPr>
                    <m:sty m:val="p"/>
                  </m:rPr>
                  <m:t>′</m:t>
                </m:r>
                <m:r>
                  <m:rPr>
                    <m:sty m:val="p"/>
                  </m:rPr>
                  <m:t>+</m:t>
                </m:r>
                <m:f>
                  <m:fPr>
                    <m:type m:val="bar"/>
                  </m:fPr>
                  <m:num>
                    <m:r>
                      <m:rPr>
                        <m:sty m:val="p"/>
                      </m:rPr>
                      <m:t>1</m:t>
                    </m:r>
                  </m:num>
                  <m:den>
                    <m:r>
                      <m:rPr>
                        <m:sty m:val="p"/>
                      </m:rPr>
                      <m:t>1</m:t>
                    </m:r>
                    <m:r>
                      <m:rPr>
                        <m:sty m:val="p"/>
                      </m:rPr>
                      <m:t>−</m:t>
                    </m:r>
                    <m:r>
                      <m:rPr>
                        <m:sty m:val="p"/>
                      </m:rPr>
                      <m:t>t</m:t>
                    </m:r>
                  </m:den>
                </m:f>
                <m:r>
                  <m:rPr>
                    <m:sty m:val="p"/>
                  </m:rPr>
                  <m:t>(</m:t>
                </m:r>
                <m:r>
                  <m:rPr>
                    <m:sty m:val="p"/>
                  </m:rPr>
                  <m:t>(</m:t>
                </m:r>
                <m:r>
                  <m:rPr>
                    <m:sty m:val="p"/>
                  </m:rPr>
                  <m:t>1</m:t>
                </m:r>
                <m:r>
                  <m:rPr>
                    <m:sty m:val="p"/>
                  </m:rPr>
                  <m:t>+</m:t>
                </m:r>
                <m:r>
                  <m:rPr>
                    <m:sty m:val="p"/>
                  </m:rPr>
                  <m:t>t</m:t>
                </m:r>
                <m:r>
                  <m:rPr>
                    <m:sty m:val="p"/>
                  </m:rPr>
                  <m:t>)</m:t>
                </m:r>
                <m:r>
                  <m:rPr>
                    <m:sty m:val="p"/>
                  </m:rPr>
                  <m:t>b</m:t>
                </m:r>
                <m:r>
                  <m:rPr>
                    <m:sty m:val="p"/>
                  </m:rPr>
                  <m:t>−</m:t>
                </m:r>
                <m:r>
                  <m:rPr>
                    <m:sty m:val="p"/>
                  </m:rPr>
                  <m:t>a</m:t>
                </m:r>
                <m:r>
                  <m:rPr>
                    <m:sty m:val="p"/>
                  </m:rPr>
                  <m:t>′</m:t>
                </m:r>
                <m:r>
                  <m:rPr>
                    <m:sty m:val="p"/>
                  </m:rPr>
                  <m:t>)</m:t>
                </m:r>
                <m:f>
                  <m:fPr>
                    <m:type m:val="bar"/>
                  </m:fPr>
                  <m:num>
                    <m:sSub>
                      <m:e>
                        <m:r>
                          <m:rPr>
                            <m:sty m:val="p"/>
                          </m:rPr>
                          <m:t>C</m:t>
                        </m:r>
                      </m:e>
                      <m:sub>
                        <m:r>
                          <m:rPr>
                            <m:sty m:val="p"/>
                          </m:rPr>
                          <m:t>i</m:t>
                        </m:r>
                      </m:sub>
                    </m:sSub>
                  </m:num>
                  <m:den>
                    <m:sSub>
                      <m:e>
                        <m:r>
                          <m:rPr>
                            <m:sty m:val="p"/>
                          </m:rPr>
                          <m:t>C</m:t>
                        </m:r>
                      </m:e>
                      <m:sub>
                        <m:r>
                          <m:rPr>
                            <m:sty m:val="p"/>
                          </m:rPr>
                          <m:t>a</m:t>
                        </m:r>
                      </m:sub>
                    </m:sSub>
                  </m:den>
                </m:f>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b</m:t>
                    </m:r>
                    <m:r>
                      <m:rPr>
                        <m:sty m:val="p"/>
                      </m:rPr>
                      <m:t>−</m:t>
                    </m:r>
                    <m:r>
                      <m:rPr>
                        <m:sty m:val="p"/>
                      </m:rPr>
                      <m:t>a</m:t>
                    </m:r>
                    <m:r>
                      <m:rPr>
                        <m:sty m:val="p"/>
                      </m:rPr>
                      <m:t>′</m:t>
                    </m:r>
                    <m:r>
                      <m:rPr>
                        <m:sty m:val="p"/>
                      </m:rPr>
                      <m:t>−</m:t>
                    </m:r>
                    <m:f>
                      <m:fPr>
                        <m:type m:val="bar"/>
                      </m:fPr>
                      <m:num>
                        <m:r>
                          <m:rPr>
                            <m:sty m:val="p"/>
                          </m:rPr>
                          <m:t>e</m:t>
                        </m:r>
                        <m:sSub>
                          <m:e>
                            <m:r>
                              <m:rPr>
                                <m:sty m:val="p"/>
                              </m:rPr>
                              <m:t>R</m:t>
                            </m:r>
                          </m:e>
                          <m:sub>
                            <m:r>
                              <m:rPr>
                                <m:sty m:val="p"/>
                              </m:rPr>
                              <m:t>d</m:t>
                            </m:r>
                          </m:sub>
                        </m:sSub>
                      </m:num>
                      <m:den>
                        <m:r>
                          <m:rPr>
                            <m:sty m:val="p"/>
                          </m:rPr>
                          <m:t>A</m:t>
                        </m:r>
                        <m:r>
                          <m:rPr>
                            <m:sty m:val="p"/>
                          </m:rPr>
                          <m:t>+</m:t>
                        </m:r>
                        <m:sSub>
                          <m:e>
                            <m:r>
                              <m:rPr>
                                <m:sty m:val="p"/>
                              </m:rPr>
                              <m:t>R</m:t>
                            </m:r>
                          </m:e>
                          <m:sub>
                            <m:r>
                              <m:rPr>
                                <m:sty m:val="p"/>
                              </m:rPr>
                              <m:t>d</m:t>
                            </m:r>
                          </m:sub>
                        </m:sSub>
                      </m:den>
                    </m:f>
                  </m:e>
                </m:d>
                <m:f>
                  <m:fPr>
                    <m:type m:val="bar"/>
                  </m:fPr>
                  <m:num>
                    <m:r>
                      <m:rPr>
                        <m:sty m:val="p"/>
                      </m:rPr>
                      <m:t>A</m:t>
                    </m:r>
                  </m:num>
                  <m:den>
                    <m:sSub>
                      <m:e>
                        <m:r>
                          <m:rPr>
                            <m:sty m:val="p"/>
                          </m:rPr>
                          <m:t>g</m:t>
                        </m:r>
                      </m:e>
                      <m:sub>
                        <m:r>
                          <m:rPr>
                            <m:sty m:val="p"/>
                          </m:rPr>
                          <m:t>m</m:t>
                        </m:r>
                      </m:sub>
                    </m:sSub>
                    <m:sSub>
                      <m:e>
                        <m:r>
                          <m:rPr>
                            <m:sty m:val="p"/>
                          </m:rPr>
                          <m:t>C</m:t>
                        </m:r>
                      </m:e>
                      <m:sub>
                        <m:r>
                          <m:rPr>
                            <m:sty m:val="p"/>
                          </m:rPr>
                          <m:t>a</m:t>
                        </m:r>
                      </m:sub>
                    </m:sSub>
                  </m:den>
                </m:f>
                <m:r>
                  <m:rPr>
                    <m:sty m:val="p"/>
                  </m:rPr>
                  <m:t>−</m:t>
                </m:r>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f>
                      <m:fPr>
                        <m:type m:val="bar"/>
                      </m:fPr>
                      <m:num>
                        <m:r>
                          <m:rPr>
                            <m:sty m:val="p"/>
                          </m:rPr>
                          <m:t>e</m:t>
                        </m:r>
                        <m:sSub>
                          <m:e>
                            <m:r>
                              <m:rPr>
                                <m:sty m:val="p"/>
                              </m:rPr>
                              <m:t>R</m:t>
                            </m:r>
                          </m:e>
                          <m:sub>
                            <m:r>
                              <m:rPr>
                                <m:sty m:val="p"/>
                              </m:rPr>
                              <m:t>D</m:t>
                            </m:r>
                          </m:sub>
                        </m:sSub>
                      </m:num>
                      <m:den>
                        <m:r>
                          <m:rPr>
                            <m:sty m:val="p"/>
                          </m:rPr>
                          <m:t>(</m:t>
                        </m:r>
                        <m:r>
                          <m:rPr>
                            <m:sty m:val="p"/>
                          </m:rPr>
                          <m:t>A</m:t>
                        </m:r>
                        <m:r>
                          <m:rPr>
                            <m:sty m:val="p"/>
                          </m:rPr>
                          <m:t>+</m:t>
                        </m:r>
                        <m:sSub>
                          <m:e>
                            <m:r>
                              <m:rPr>
                                <m:sty m:val="p"/>
                              </m:rPr>
                              <m:t>R</m:t>
                            </m:r>
                          </m:e>
                          <m:sub>
                            <m:r>
                              <m:rPr>
                                <m:sty m:val="p"/>
                              </m:rPr>
                              <m:t>d</m:t>
                            </m:r>
                          </m:sub>
                        </m:sSub>
                        <m:r>
                          <m:rPr>
                            <m:sty m:val="p"/>
                          </m:rPr>
                          <m:t>)</m:t>
                        </m:r>
                        <m:sSub>
                          <m:e>
                            <m:r>
                              <m:rPr>
                                <m:sty m:val="p"/>
                              </m:rPr>
                              <m:t>C</m:t>
                            </m:r>
                          </m:e>
                          <m:sub>
                            <m:r>
                              <m:rPr>
                                <m:sty m:val="p"/>
                              </m:rPr>
                              <m:t>a</m:t>
                            </m:r>
                          </m:sub>
                        </m:sSub>
                      </m:den>
                    </m:f>
                    <m:r>
                      <m:rPr>
                        <m:sty m:val="p"/>
                      </m:rPr>
                      <m:t>(</m:t>
                    </m:r>
                    <m:sSub>
                      <m:e>
                        <m:r>
                          <m:rPr>
                            <m:sty m:val="p"/>
                          </m:rPr>
                          <m:t>C</m:t>
                        </m:r>
                      </m:e>
                      <m:sub>
                        <m:r>
                          <m:rPr>
                            <m:sty m:val="p"/>
                          </m:rPr>
                          <m:t>i</m:t>
                        </m:r>
                      </m:sub>
                    </m:sSub>
                    <m:r>
                      <m:rPr>
                        <m:sty m:val="p"/>
                      </m:rPr>
                      <m:t>−</m:t>
                    </m:r>
                    <m:sSub>
                      <m:e>
                        <m:r>
                          <m:rPr>
                            <m:sty m:val="p"/>
                          </m:rPr>
                          <m:t>Γ</m:t>
                        </m:r>
                      </m:e>
                      <m:sub>
                        <m:r>
                          <m:rPr>
                            <m:sty m:val="p"/>
                          </m:rPr>
                          <m:t>*</m:t>
                        </m:r>
                      </m:sub>
                    </m:sSub>
                    <m:r>
                      <m:rPr>
                        <m:sty m:val="p"/>
                      </m:rPr>
                      <m:t>)</m:t>
                    </m:r>
                  </m:e>
                </m:d>
                <m:r>
                  <m:rPr>
                    <m:sty m:val="p"/>
                  </m:rPr>
                  <m:t>−</m:t>
                </m:r>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f</m:t>
                    </m:r>
                    <m:f>
                      <m:fPr>
                        <m:type m:val="bar"/>
                      </m:fPr>
                      <m:num>
                        <m:sSub>
                          <m:e>
                            <m:r>
                              <m:rPr>
                                <m:sty m:val="p"/>
                              </m:rPr>
                              <m:t>Γ</m:t>
                            </m:r>
                          </m:e>
                          <m:sub>
                            <m:r>
                              <m:rPr>
                                <m:sty m:val="p"/>
                              </m:rPr>
                              <m:t>*</m:t>
                            </m:r>
                          </m:sub>
                        </m:sSub>
                      </m:num>
                      <m:den>
                        <m:sSub>
                          <m:e>
                            <m:r>
                              <m:rPr>
                                <m:sty m:val="p"/>
                              </m:rPr>
                              <m:t>C</m:t>
                            </m:r>
                          </m:e>
                          <m:sub>
                            <m:r>
                              <m:rPr>
                                <m:sty m:val="p"/>
                              </m:rPr>
                              <m:t>a</m:t>
                            </m:r>
                          </m:sub>
                        </m:sSub>
                      </m:den>
                    </m:f>
                  </m:e>
                </m:d>
              </m:e>
            </m:mr>
          </m:m>
        </m:oMath>
      </m:oMathPara>
    </w:p>
    <w:p>
      <w:r>
        <w:t xml:space="preserve">where:</w:t>
      </w:r>
    </w:p>
    <w:p>
      <m:oMathPara>
        <m:oMathParaPr>
          <m:jc m:val="center"/>
        </m:oMathParaPr>
        <m:oMath>
          <m:r>
            <m:rPr>
              <m:sty m:val="p"/>
            </m:rPr>
            <m:t>t</m:t>
          </m:r>
          <m:r>
            <m:rPr>
              <m:sty m:val="p"/>
            </m:rPr>
            <m:t>=</m:t>
          </m:r>
          <m:f>
            <m:fPr>
              <m:type m:val="bar"/>
            </m:fPr>
            <m:num>
              <m:r>
                <m:rPr>
                  <m:sty m:val="p"/>
                </m:rPr>
                <m:t>(</m:t>
              </m:r>
              <m:r>
                <m:rPr>
                  <m:sty m:val="p"/>
                </m:rPr>
                <m:t>1</m:t>
              </m:r>
              <m:r>
                <m:rPr>
                  <m:sty m:val="p"/>
                </m:rPr>
                <m:t>+</m:t>
              </m:r>
              <m:r>
                <m:rPr>
                  <m:sty m:val="p"/>
                </m:rPr>
                <m:t>a</m:t>
              </m:r>
              <m:r>
                <m:rPr>
                  <m:sty m:val="p"/>
                </m:rPr>
                <m:t>′</m:t>
              </m:r>
              <m:r>
                <m:rPr>
                  <m:sty m:val="p"/>
                </m:rPr>
                <m:t>)</m:t>
              </m:r>
              <m:r>
                <m:rPr>
                  <m:sty m:val="p"/>
                </m:rPr>
                <m:t>E</m:t>
              </m:r>
            </m:num>
            <m:den>
              <m:r>
                <m:rPr>
                  <m:sty m:val="p"/>
                </m:rPr>
                <m:t>2</m:t>
              </m:r>
              <m:sSubSup>
                <m:e>
                  <m:r>
                    <m:rPr>
                      <m:sty m:val="p"/>
                    </m:rPr>
                    <m:t>g</m:t>
                  </m:r>
                </m:e>
                <m:sub>
                  <m:r>
                    <m:rPr>
                      <m:sty m:val="p"/>
                    </m:rPr>
                    <m:t>a</m:t>
                  </m:r>
                  <m:r>
                    <m:rPr>
                      <m:sty m:val="p"/>
                    </m:rPr>
                    <m:t>c</m:t>
                  </m:r>
                </m:sub>
                <m:sup>
                  <m:r>
                    <m:rPr>
                      <m:sty m:val="p"/>
                    </m:rPr>
                    <m:t>t</m:t>
                  </m:r>
                </m:sup>
              </m:sSubSup>
            </m:den>
          </m:f>
        </m:oMath>
      </m:oMathPara>
    </w:p>
    <w:p>
      <w:r>
        <w:t xml:space="preserve">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 (von Caemmerer 1981).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globulis</w:t>
      </w:r>
      <w:r>
        <w:t xml:space="preserve"> </w:t>
      </w:r>
      <w:r>
        <w:t xml:space="preserve">from</w:t>
      </w:r>
      <w:r>
        <w:t xml:space="preserve"> </w:t>
      </w:r>
      <w:r>
        <w:t xml:space="preserve">(Crous</w:t>
      </w:r>
      <w:r>
        <w:t xml:space="preserve"> </w:t>
      </w:r>
      <w:r>
        <w:rPr>
          <w:i/>
        </w:rPr>
        <w:t xml:space="preserve">et al.</w:t>
      </w:r>
      <w:r>
        <w:t xml:space="preserve">, 2012)</w:t>
      </w:r>
      <w:r>
        <w:t xml:space="preserv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m:oMathPara>
        <m:oMathParaPr>
          <m:jc m:val="center"/>
        </m:oMathParaPr>
        <m:oMath>
          <m:r>
            <m:rPr>
              <m:sty m:val="p"/>
            </m:rPr>
            <m:t>a</m:t>
          </m:r>
          <m:r>
            <m:rPr>
              <m:sty m:val="p"/>
            </m:rPr>
            <m:t>′</m:t>
          </m:r>
          <m:r>
            <m:rPr>
              <m:sty m:val="p"/>
            </m:rPr>
            <m:t>=</m:t>
          </m:r>
          <m:f>
            <m:fPr>
              <m:type m:val="bar"/>
            </m:fPr>
            <m:num>
              <m:sSub>
                <m:e>
                  <m:r>
                    <m:rPr>
                      <m:sty m:val="p"/>
                    </m:rPr>
                    <m:t>a</m:t>
                  </m:r>
                </m:e>
                <m:sub>
                  <m:r>
                    <m:rPr>
                      <m:sty m:val="p"/>
                    </m:rPr>
                    <m:t>b</m:t>
                  </m:r>
                </m:sub>
              </m:sSub>
              <m:r>
                <m:rPr>
                  <m:sty m:val="p"/>
                </m:rPr>
                <m:t>(</m:t>
              </m:r>
              <m:sSub>
                <m:e>
                  <m:r>
                    <m:rPr>
                      <m:sty m:val="p"/>
                    </m:rPr>
                    <m:t>C</m:t>
                  </m:r>
                </m:e>
                <m:sub>
                  <m:r>
                    <m:rPr>
                      <m:sty m:val="p"/>
                    </m:rPr>
                    <m:t>a</m:t>
                  </m:r>
                </m:sub>
              </m:sSub>
              <m:r>
                <m:rPr>
                  <m:sty m:val="p"/>
                </m:rPr>
                <m:t>−</m:t>
              </m:r>
              <m:sSub>
                <m:e>
                  <m:r>
                    <m:rPr>
                      <m:sty m:val="p"/>
                    </m:rPr>
                    <m:t>C</m:t>
                  </m:r>
                </m:e>
                <m:sub>
                  <m:r>
                    <m:rPr>
                      <m:sty m:val="p"/>
                    </m:rPr>
                    <m:t>i</m:t>
                  </m:r>
                </m:sub>
              </m:sSub>
              <m:r>
                <m:rPr>
                  <m:sty m:val="p"/>
                </m:rPr>
                <m:t>)</m:t>
              </m:r>
              <m:r>
                <m:rPr>
                  <m:sty m:val="p"/>
                </m:rPr>
                <m:t>+</m:t>
              </m:r>
              <m:r>
                <m:rPr>
                  <m:sty m:val="p"/>
                </m:rPr>
                <m:t>a</m:t>
              </m:r>
              <m:r>
                <m:rPr>
                  <m:sty m:val="p"/>
                </m:rPr>
                <m:t>(</m:t>
              </m:r>
              <m:sSub>
                <m:e>
                  <m:r>
                    <m:rPr>
                      <m:sty m:val="p"/>
                    </m:rPr>
                    <m:t>C</m:t>
                  </m:r>
                </m:e>
                <m:sub>
                  <m:r>
                    <m:rPr>
                      <m:sty m:val="p"/>
                    </m:rPr>
                    <m:t>s</m:t>
                  </m:r>
                </m:sub>
              </m:sSub>
              <m:r>
                <m:rPr>
                  <m:sty m:val="p"/>
                </m:rPr>
                <m:t>−</m:t>
              </m:r>
              <m:sSub>
                <m:e>
                  <m:r>
                    <m:rPr>
                      <m:sty m:val="p"/>
                    </m:rPr>
                    <m:t>C</m:t>
                  </m:r>
                </m:e>
                <m:sub>
                  <m:r>
                    <m:rPr>
                      <m:sty m:val="p"/>
                    </m:rPr>
                    <m:t>i</m:t>
                  </m:r>
                </m:sub>
              </m:sSub>
              <m:r>
                <m:rPr>
                  <m:sty m:val="p"/>
                </m:rPr>
                <m:t>)</m:t>
              </m:r>
            </m:num>
            <m:den>
              <m:sSub>
                <m:e>
                  <m:r>
                    <m:rPr>
                      <m:sty m:val="p"/>
                    </m:rPr>
                    <m:t>C</m:t>
                  </m:r>
                </m:e>
                <m:sub>
                  <m:r>
                    <m:rPr>
                      <m:sty m:val="p"/>
                    </m:rPr>
                    <m:t>a</m:t>
                  </m:r>
                </m:sub>
              </m:sSub>
              <m:r>
                <m:rPr>
                  <m:sty m:val="p"/>
                </m:rPr>
                <m:t>−</m:t>
              </m:r>
              <m:sSub>
                <m:e>
                  <m:r>
                    <m:rPr>
                      <m:sty m:val="p"/>
                    </m:rPr>
                    <m:t>C</m:t>
                  </m:r>
                </m:e>
                <m:sub>
                  <m:r>
                    <m:rPr>
                      <m:sty m:val="p"/>
                    </m:rPr>
                    <m:t>i</m:t>
                  </m:r>
                </m:sub>
              </m:sSub>
            </m:den>
          </m:f>
        </m:oMath>
      </m:oMathPara>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a~b (2.9‰) is the fractionation from boundary layer diffusion and a is the fractionation due to diffusion in air~(4.4‰)</w:t>
      </w:r>
      <w:r>
        <w:t xml:space="preserve"> </w:t>
      </w:r>
      <w:r>
        <w:t xml:space="preserve">(Evans</w:t>
      </w:r>
      <w:r>
        <w:t xml:space="preserve"> </w:t>
      </w:r>
      <w:r>
        <w:rPr>
          <w:i/>
        </w:rPr>
        <w:t xml:space="preserve">et al.</w:t>
      </w:r>
      <w:r>
        <w:t xml:space="preserve">, 1986)</w:t>
      </w:r>
      <w:r>
        <w:t xml:space="preserve">. 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CO</w:t>
      </w:r>
      <w:r>
        <w:rPr>
          <w:vertAlign w:val="subscript"/>
        </w:rPr>
        <w:t xml:space="preserve">2</w:t>
      </w:r>
      <w:r>
        <w:t xml:space="preserve"> </w:t>
      </w:r>
      <w:r>
        <w:t xml:space="preserve">assimilation rate (A) by:</w:t>
      </w:r>
    </w:p>
    <w:p>
      <m:oMathPara>
        <m:oMathParaPr>
          <m:jc m:val="center"/>
        </m:oMathParaPr>
        <m:oMath>
          <m:sSub>
            <m:e>
              <m:r>
                <m:rPr>
                  <m:sty m:val="p"/>
                </m:rPr>
                <m:t>g</m:t>
              </m:r>
            </m:e>
            <m:sub>
              <m:r>
                <m:rPr>
                  <m:sty m:val="p"/>
                </m:rPr>
                <m:t>m</m:t>
              </m:r>
            </m:sub>
          </m:sSub>
          <m:r>
            <m:rPr>
              <m:sty m:val="p"/>
            </m:rPr>
            <m:t>=</m:t>
          </m:r>
          <m:f>
            <m:fPr>
              <m:type m:val="bar"/>
            </m:fPr>
            <m:num>
              <m:r>
                <m:rPr>
                  <m:sty m:val="p"/>
                </m:rPr>
                <m:t>A</m:t>
              </m:r>
            </m:num>
            <m:den>
              <m:sSub>
                <m:e>
                  <m:r>
                    <m:rPr>
                      <m:sty m:val="p"/>
                    </m:rPr>
                    <m:t>C</m:t>
                  </m:r>
                </m:e>
                <m:sub>
                  <m:r>
                    <m:rPr>
                      <m:sty m:val="p"/>
                    </m:rPr>
                    <m:t>i</m:t>
                  </m:r>
                </m:sub>
              </m:sSub>
              <m:r>
                <m:rPr>
                  <m:sty m:val="p"/>
                </m:rPr>
                <m:t>−</m:t>
              </m:r>
              <m:sSub>
                <m:e>
                  <m:r>
                    <m:rPr>
                      <m:sty m:val="p"/>
                    </m:rPr>
                    <m:t>C</m:t>
                  </m:r>
                </m:e>
                <m:sub>
                  <m:r>
                    <m:rPr>
                      <m:sty m:val="p"/>
                    </m:rPr>
                    <m:t>c</m:t>
                  </m:r>
                </m:sub>
              </m:sSub>
            </m:den>
          </m:f>
        </m:oMath>
      </m:oMathPara>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Examples of this approach to measure gas exchange and carbon isotope discrimination are presented in</w:t>
      </w:r>
      <w:r>
        <w:t xml:space="preserve"> </w:t>
      </w:r>
      <w:r>
        <w:t xml:space="preserve">(Evans &amp;</w:t>
      </w:r>
      <w:r>
        <w:t xml:space="preserve"> </w:t>
      </w:r>
      <w:r>
        <w:t xml:space="preserve">Von Caemmerer</w:t>
      </w:r>
      <w:r>
        <w:t xml:space="preserve">, 2013)</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developed at 25°C for one sun and shade leaf for each chamber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w:t>
      </w:r>
      <w:r>
        <w:t xml:space="preserve"> </w:t>
      </w:r>
      <w:r>
        <w:rPr>
          <w:i/>
        </w:rPr>
        <w:t xml:space="preserve">et al.</w:t>
      </w:r>
      <w:r>
        <w:t xml:space="preserve">, 1980)</w:t>
      </w:r>
      <w:r>
        <w:t xml:space="preserve">.</w:t>
      </w:r>
    </w:p>
    <w:p>
      <w:pPr>
        <w:pStyle w:val="Heading2"/>
      </w:pPr>
      <w:bookmarkStart w:id="27" w:name="leaf-chemistry-and-hydraulic-parameters"/>
      <w:bookmarkEnd w:id="27"/>
      <w:r>
        <w:t xml:space="preserve">Leaf chemistry and hydraulic parameters</w:t>
      </w:r>
    </w:p>
    <w:p>
      <w:r>
        <w:t xml:space="preserve">Following gas exchange measurements each leaf was collected, measured for leaf water potential (explained below), scanned for leaf area, dried to constant mass and then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were measured for sun and shade leaves during each gas exchange campaign using a PMS 1505D pressure chamber (PMS Instruments, Albany, OR, USA). Predawn leaf water potential on selected leaves for each chamber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from gas exchange were then used to calculate leaf specific hydraulic conductance (K) through the equation:</w:t>
      </w:r>
    </w:p>
    <w:p>
      <m:oMathPara>
        <m:oMathParaPr>
          <m:jc m:val="center"/>
        </m:oMathParaPr>
        <m:oMath>
          <m:r>
            <m:rPr>
              <m:sty m:val="p"/>
            </m:rPr>
            <m:t>K</m:t>
          </m:r>
          <m:r>
            <m:rPr>
              <m:sty m:val="p"/>
            </m:rPr>
            <m:t>=</m:t>
          </m:r>
          <m:f>
            <m:fPr>
              <m:type m:val="bar"/>
            </m:fPr>
            <m:num>
              <m:r>
                <m:rPr>
                  <m:sty m:val="p"/>
                </m:rPr>
                <m:t>E</m:t>
              </m:r>
            </m:num>
            <m:den>
              <m:sSub>
                <m:e>
                  <m:r>
                    <m:rPr>
                      <m:sty m:val="p"/>
                    </m:rPr>
                    <m:t>Ψ</m:t>
                  </m:r>
                </m:e>
                <m:sub>
                  <m:r>
                    <m:rPr>
                      <m:sty m:val="p"/>
                    </m:rPr>
                    <m:t>p</m:t>
                  </m:r>
                  <m:r>
                    <m:rPr>
                      <m:sty m:val="p"/>
                    </m:rPr>
                    <m:t>d</m:t>
                  </m:r>
                </m:sub>
              </m:sSub>
              <m:r>
                <m:rPr>
                  <m:sty m:val="p"/>
                </m:rPr>
                <m:t> </m:t>
              </m:r>
              <m:r>
                <m:rPr>
                  <m:sty m:val="p"/>
                </m:rPr>
                <m:t>−</m:t>
              </m:r>
              <m:sSub>
                <m:e>
                  <m:r>
                    <m:rPr>
                      <m:sty m:val="p"/>
                    </m:rPr>
                    <m:t>Ψ</m:t>
                  </m:r>
                </m:e>
                <m:sub>
                  <m:r>
                    <m:rPr>
                      <m:sty m:val="p"/>
                    </m:rPr>
                    <m:t>l</m:t>
                  </m:r>
                </m:sub>
              </m:sSub>
              <m:r>
                <m:rPr>
                  <m:sty m:val="p"/>
                </m:rPr>
                <m:t>−</m:t>
              </m:r>
              <m:r>
                <m:rPr>
                  <m:sty m:val="p"/>
                </m:rPr>
                <m:t>h</m:t>
              </m:r>
              <m:sSub>
                <m:e>
                  <m:r>
                    <m:rPr>
                      <m:sty m:val="p"/>
                    </m:rPr>
                    <m:t>p</m:t>
                  </m:r>
                </m:e>
                <m:sub>
                  <m:r>
                    <m:rPr>
                      <m:sty m:val="p"/>
                    </m:rPr>
                    <m:t>w</m:t>
                  </m:r>
                </m:sub>
              </m:sSub>
              <m:r>
                <m:rPr>
                  <m:sty m:val="p"/>
                </m:rPr>
                <m:t>g</m:t>
              </m:r>
            </m:den>
          </m:f>
        </m:oMath>
      </m:oMathPara>
    </w:p>
    <w:p>
      <w:r>
        <w:t xml:space="preserve">where the term Hp</w:t>
      </w:r>
      <w:r>
        <w:rPr>
          <w:vertAlign w:val="subscript"/>
        </w:rPr>
        <w:t xml:space="preserve">w</w:t>
      </w:r>
      <w:r>
        <w:t xml:space="preserve">g represents the gravitational potential assumed to be minimal in this experiment due to small tree size</w:t>
      </w:r>
      <w:r>
        <w:t xml:space="preserve"> </w:t>
      </w:r>
      <w:r>
        <w:t xml:space="preserve">(Whitehead, 1998)</w:t>
      </w:r>
      <w:r>
        <w:t xml:space="preserve">. Leaf level instantaneous transpiration efficiency (ITE) was calculated as leaf photosynthesis divided by leaf transpiration. The g</w:t>
      </w:r>
      <w:r>
        <w:rPr>
          <w:vertAlign w:val="subscript"/>
        </w:rPr>
        <w:t xml:space="preserve">1</w:t>
      </w:r>
      <w:r>
        <w:t xml:space="preserve"> </w:t>
      </w:r>
      <w:r>
        <w:t xml:space="preserve">parameter, an index of water cost of carbon assimilation, was generated by fitting observed values of g</w:t>
      </w:r>
      <w:r>
        <w:rPr>
          <w:vertAlign w:val="subscript"/>
        </w:rPr>
        <w:t xml:space="preserve">s</w:t>
      </w:r>
      <w:r>
        <w:t xml:space="preserve"> </w:t>
      </w:r>
      <w:r>
        <w:t xml:space="preserve">into the optimal stomatal conductance model from</w:t>
      </w:r>
      <w:r>
        <w:t xml:space="preserve"> </w:t>
      </w:r>
      <w:r>
        <w:t xml:space="preserve">(Medlyn</w:t>
      </w:r>
      <w:r>
        <w:t xml:space="preserve"> </w:t>
      </w:r>
      <w:r>
        <w:rPr>
          <w:i/>
        </w:rPr>
        <w:t xml:space="preserve">et al.</w:t>
      </w:r>
      <w:r>
        <w:t xml:space="preserve">, 2012)</w:t>
      </w:r>
      <w:r>
        <w:t xml:space="preserve">.</w:t>
      </w:r>
    </w:p>
    <w:p>
      <w:pPr>
        <w:pStyle w:val="Heading2"/>
      </w:pPr>
      <w:bookmarkStart w:id="28" w:name="data-analysis"/>
      <w:bookmarkEnd w:id="28"/>
      <w:r>
        <w:t xml:space="preserve">Data analysis</w:t>
      </w:r>
    </w:p>
    <w:p>
      <w:r>
        <w:t xml:space="preserve">Differences in experimental parameters to either the warming treatment or leaf type were analysed by one-way analysis of variance in R</w:t>
      </w:r>
      <w:r>
        <w:t xml:space="preserve"> </w:t>
      </w:r>
      <w:r>
        <w:t xml:space="preserve">(</w:t>
      </w:r>
      <w:r>
        <w:t xml:space="preserve">R Development Core Team</w:t>
      </w:r>
      <w:r>
        <w:t xml:space="preserve">, 2011)</w:t>
      </w:r>
      <w:r>
        <w:t xml:space="preserve"> </w:t>
      </w:r>
      <w:r>
        <w:t xml:space="preserve">with chambers as random effects. Mixed model ANOVAs of A max and leaf chemistry were performed using the nlme package</w:t>
      </w:r>
      <w:r>
        <w:t xml:space="preserve"> </w:t>
      </w:r>
      <w:r>
        <w:t xml:space="preserve">(Pinheiro</w:t>
      </w:r>
      <w:r>
        <w:t xml:space="preserve"> </w:t>
      </w:r>
      <w:r>
        <w:rPr>
          <w:i/>
        </w:rPr>
        <w:t xml:space="preserve">et al.</w:t>
      </w:r>
      <w:r>
        <w:t xml:space="preserve">, 2015)</w:t>
      </w:r>
      <w:r>
        <w:t xml:space="preserve"> </w:t>
      </w:r>
      <w:r>
        <w:t xml:space="preserve">in R and r</w:t>
      </w:r>
      <w:r>
        <w:rPr>
          <w:vertAlign w:val="subscript"/>
        </w:rPr>
        <w:t xml:space="preserve">2</w:t>
      </w:r>
      <w:r>
        <w:t xml:space="preserve"> </w:t>
      </w:r>
      <w:r>
        <w:t xml:space="preserve">values of mixed models were computed as in</w:t>
      </w:r>
      <w:r>
        <w:t xml:space="preserve"> </w:t>
      </w:r>
      <w:r>
        <w:t xml:space="preserve">(Nakagawa &amp; Schielzeth, 2013)</w:t>
      </w:r>
      <w:r>
        <w:t xml:space="preserve">. Confidence intervals (95 %) of mixed effect linear models of leaf photosynthesis as a functions of different physiological parameters were generated using bootstrapping methods with 999 simulations in the lme4 package</w:t>
      </w:r>
      <w:r>
        <w:t xml:space="preserve"> </w:t>
      </w:r>
      <w:r>
        <w:t xml:space="preserve">(Bates</w:t>
      </w:r>
      <w:r>
        <w:t xml:space="preserve"> </w:t>
      </w:r>
      <w:r>
        <w:rPr>
          <w:i/>
        </w:rPr>
        <w:t xml:space="preserve">et al.</w:t>
      </w:r>
      <w:r>
        <w:t xml:space="preserve">, 2013)</w:t>
      </w:r>
      <w:r>
        <w:t xml:space="preserve"> </w:t>
      </w:r>
      <w:r>
        <w:t xml:space="preserve">in R. For non-linear mixed models models confidence intervals were estimated by fitting a generalized additive model to the data with the mgcv package in R. Results were considered significant at P≤0.05.</w:t>
      </w:r>
    </w:p>
    <w:p>
      <w:pPr>
        <w:pStyle w:val="Heading1"/>
      </w:pPr>
      <w:bookmarkStart w:id="29" w:name="results"/>
      <w:bookmarkEnd w:id="29"/>
      <w:r>
        <w:t xml:space="preserve">Results</w:t>
      </w:r>
    </w:p>
    <w:p>
      <w:pPr>
        <w:pStyle w:val="Heading2"/>
      </w:pPr>
      <w:bookmarkStart w:id="30" w:name="sun-and-shade-leaf-resource-distribution"/>
      <w:bookmarkEnd w:id="30"/>
      <w:r>
        <w:t xml:space="preserve">Sun and Shade leaf resource distribution</w:t>
      </w:r>
    </w:p>
    <w:p>
      <w:r>
        <w:t xml:space="preserve">Across all measurement campaigns 1m canopy integrated PPFD was significantly different between sun and shade leaves (P&lt;0.001). PPFD was reduced by 78% in the shade (Figure 1). The distribution of H</w:t>
      </w:r>
      <w:r>
        <w:rPr>
          <w:vertAlign w:val="subscript"/>
        </w:rPr>
        <w:t xml:space="preserve">2</w:t>
      </w:r>
      <w:r>
        <w:t xml:space="preserve">O, via K, was not different across sun and shade leaves (Table 1). This was a result of neither</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nor E (Table 2) differing between leaf types. Leaf nitrogen, on an area basis, was significantly higher in sun leaves than in shade leaves (p&lt;0.001) by ca. 20% (Table1).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 E or leaf N either within or across leaf types.</w:t>
      </w:r>
    </w:p>
    <w:p>
      <w:pPr>
        <w:pStyle w:val="Heading2"/>
      </w:pPr>
      <w:bookmarkStart w:id="31" w:name="leaf-photosynthesis-rates-and-photosynthetic-capacity"/>
      <w:bookmarkEnd w:id="31"/>
      <w:r>
        <w:t xml:space="preserve">Leaf photosynthesis rates and photosynthetic capacity</w:t>
      </w:r>
    </w:p>
    <w:p>
      <w:r>
        <w:t xml:space="preserve">Leaf photosynthesis across time, leaf types, lightson and temp treatment Leaf photosynthesis rates were significantly higher in sun compared to shade leaves (+23%), under their local light environoment, across the wide range of leaf temperatures measured.</w:t>
      </w:r>
    </w:p>
    <w:p>
      <w:r>
        <w:t xml:space="preserve">classic aci (acc later after gmes) vcmax and jmax realtionship of vcmax and photosynthesis with N</w:t>
      </w:r>
    </w:p>
    <w:p>
      <w:pPr>
        <w:pStyle w:val="Heading2"/>
      </w:pPr>
      <w:bookmarkStart w:id="32" w:name="water-use"/>
      <w:bookmarkEnd w:id="32"/>
      <w:r>
        <w:t xml:space="preserve">water use</w:t>
      </w:r>
    </w:p>
    <w:p>
      <w:r>
        <w:t xml:space="preserve">ITE with VPD for all leaf types and temp treatments leaf 13C with leaf N and what this stands for</w:t>
      </w:r>
    </w:p>
    <w:p>
      <w:pPr>
        <w:pStyle w:val="Heading2"/>
      </w:pPr>
      <w:bookmarkStart w:id="33" w:name="stomatal-and-mesophyll-conductance"/>
      <w:bookmarkEnd w:id="33"/>
      <w:r>
        <w:t xml:space="preserve">stomatal and mesophyll conductance</w:t>
      </w:r>
    </w:p>
    <w:p>
      <w:pPr>
        <w:pStyle w:val="Heading1"/>
      </w:pPr>
      <w:bookmarkStart w:id="34" w:name="discussion"/>
      <w:bookmarkEnd w:id="34"/>
      <w:r>
        <w:t xml:space="preserve">Discussion</w:t>
      </w:r>
    </w:p>
    <w:p>
      <w:pPr>
        <w:pStyle w:val="Heading1"/>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manuscript_wtc3_files/figure-docx/par-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Local light environment for sun and shade leaves for each gas exchange campaign. Means with standard errors represent 1 m integrated PPFD (n=5), measured with a ceptometer, at the canopy height of each selected leaf.</w:t>
      </w:r>
    </w:p>
    <w:p>
      <w:pPr>
        <w:pStyle w:val="SourceCode"/>
      </w:pPr>
      <w:r>
        <w:rPr>
          <w:rStyle w:val="KeywordTok"/>
        </w:rPr>
        <w:t xml:space="preserve">source</w:t>
      </w:r>
      <w:r>
        <w:rPr>
          <w:rStyle w:val="NormalTok"/>
        </w:rPr>
        <w:t xml:space="preserve">(</w:t>
      </w:r>
      <w:r>
        <w:rPr>
          <w:rStyle w:val="StringTok"/>
        </w:rPr>
        <w:t xml:space="preserve">"master_scripts/aci_vcmaxnitro.R"</w:t>
      </w:r>
      <w:r>
        <w:rPr>
          <w:rStyle w:val="NormalTok"/>
        </w:rPr>
        <w:t xml:space="preserve">)</w:t>
      </w:r>
    </w:p>
    <w:p>
      <w:r>
        <w:drawing>
          <wp:inline>
            <wp:extent cx="5440680" cy="7262559"/>
            <wp:effectExtent b="0" l="0" r="0" t="0"/>
            <wp:docPr descr="" id="1" name="Picture"/>
            <a:graphic>
              <a:graphicData uri="http://schemas.openxmlformats.org/drawingml/2006/picture">
                <pic:pic>
                  <pic:nvPicPr>
                    <pic:cNvPr descr="manuscript_wtc3_files/figure-docx/acicurves-1.png" id="0" name="Picture"/>
                    <pic:cNvPicPr>
                      <a:picLocks noChangeArrowheads="1" noChangeAspect="1"/>
                    </pic:cNvPicPr>
                  </pic:nvPicPr>
                  <pic:blipFill>
                    <a:blip r:embed="rId37"/>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Figure2</w:t>
      </w:r>
      <w:r>
        <w:t xml:space="preserve">. (a) Photosynthetic CO</w:t>
      </w:r>
      <w:r>
        <w:rPr>
          <w:vertAlign w:val="subscript"/>
        </w:rPr>
        <w:t xml:space="preserve">2</w:t>
      </w:r>
      <w:r>
        <w:t xml:space="preserve"> </w:t>
      </w:r>
      <w:r>
        <w:t xml:space="preserve">response (ACi) curves for sun and shade leaves at elevated (ET) and ambient (AT) temperature treatments. ACi curves were developed once for all trees, before the initiation of the drought treatment,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nitrogen</w:t>
      </w:r>
      <w:r>
        <w:rPr>
          <w:vertAlign w:val="subscript"/>
        </w:rPr>
        <w:t xml:space="preserve">area</w:t>
      </w:r>
      <w:r>
        <w:t xml:space="preserve"> </w:t>
      </w:r>
      <w:r>
        <w:t xml:space="preserve">for each chamber, including sun leaves and shade leaves at low light. For (b) the dashed line represents the significant linear model fit for all leaves with a marginal and conditional r</w:t>
      </w:r>
      <w:r>
        <w:rPr>
          <w:vertAlign w:val="superscript"/>
        </w:rPr>
        <w:t xml:space="preserve">2</w:t>
      </w:r>
      <w:r>
        <w:t xml:space="preserve"> </w:t>
      </w:r>
      <w:r>
        <w:t xml:space="preserve">of 0.28 and 0.35, respectively.</w:t>
      </w:r>
    </w:p>
    <w:p>
      <w:pPr>
        <w:pStyle w:val="SourceCode"/>
      </w:pPr>
      <w:r>
        <w:rPr>
          <w:rStyle w:val="KeywordTok"/>
        </w:rPr>
        <w:t xml:space="preserve">source</w:t>
      </w:r>
      <w:r>
        <w:rPr>
          <w:rStyle w:val="NormalTok"/>
        </w:rPr>
        <w:t xml:space="preserve">(</w:t>
      </w:r>
      <w:r>
        <w:rPr>
          <w:rStyle w:val="StringTok"/>
        </w:rPr>
        <w:t xml:space="preserve">"master_scripts/wateruse.R"</w:t>
      </w:r>
      <w:r>
        <w:rPr>
          <w:rStyle w:val="NormalTok"/>
        </w:rPr>
        <w:t xml:space="preserve">)</w:t>
      </w:r>
    </w:p>
    <w:p>
      <w:pPr>
        <w:pStyle w:val="SourceCode"/>
      </w:pPr>
      <w:r>
        <w:rPr>
          <w:rStyle w:val="VerbatimChar"/>
        </w:rPr>
        <w:t xml:space="preserve">## Warning: package 'mgcv' was built under R version 3.1.3</w:t>
      </w:r>
    </w:p>
    <w:p>
      <w:pPr>
        <w:pStyle w:val="SourceCode"/>
      </w:pPr>
      <w:r>
        <w:rPr>
          <w:rStyle w:val="VerbatimChar"/>
        </w:rPr>
        <w:t xml:space="preserve">## Loading required package: nlme</w:t>
      </w:r>
    </w:p>
    <w:p>
      <w:pPr>
        <w:pStyle w:val="SourceCode"/>
      </w:pPr>
      <w:r>
        <w:rPr>
          <w:rStyle w:val="VerbatimChar"/>
        </w:rPr>
        <w:t xml:space="preserve">## Warning: package 'nlme' was built under R version 3.1.3</w:t>
      </w:r>
    </w:p>
    <w:p>
      <w:pPr>
        <w:pStyle w:val="SourceCode"/>
      </w:pPr>
      <w:r>
        <w:rPr>
          <w:rStyle w:val="VerbatimChar"/>
        </w:rPr>
        <w:t xml:space="preserve">## This is mgcv 1.8-6. For overview type 'help("mgcv-package")'.</w:t>
      </w:r>
    </w:p>
    <w:p>
      <w:pPr>
        <w:pStyle w:val="SourceCode"/>
      </w:pPr>
      <w:r>
        <w:rPr>
          <w:rStyle w:val="VerbatimChar"/>
        </w:rPr>
        <w:t xml:space="preserve">## Warning: package 'lme4' was built under R version 3.1.3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3.1.3</w:t>
      </w:r>
    </w:p>
    <w:p>
      <w:pPr>
        <w:pStyle w:val="SourceCode"/>
      </w:pPr>
      <w:r>
        <w:rPr>
          <w:rStyle w:val="VerbatimChar"/>
        </w:rPr>
        <w:t xml:space="preserve">## </w:t>
      </w:r>
      <w:r>
        <w:br w:type="textWrapping"/>
      </w:r>
      <w:r>
        <w:rPr>
          <w:rStyle w:val="VerbatimChar"/>
        </w:rPr>
        <w:t xml:space="preserve">## Attaching package: 'Matrix'</w:t>
      </w:r>
      <w:r>
        <w:br w:type="textWrapping"/>
      </w:r>
      <w:r>
        <w:rPr>
          <w:rStyle w:val="VerbatimChar"/>
        </w:rPr>
        <w:t xml:space="preserve">## </w:t>
      </w:r>
      <w:r>
        <w:br w:type="textWrapping"/>
      </w: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expand</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crossprod, tcrossprod</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'lme4'</w:t>
      </w:r>
      <w:r>
        <w:br w:type="textWrapping"/>
      </w:r>
      <w:r>
        <w:rPr>
          <w:rStyle w:val="VerbatimChar"/>
        </w:rPr>
        <w:t xml:space="preserve">## </w:t>
      </w:r>
      <w:r>
        <w:br w:type="textWrapping"/>
      </w: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r>
        <w:drawing>
          <wp:inline>
            <wp:extent cx="5440680" cy="7262559"/>
            <wp:effectExtent b="0" l="0" r="0" t="0"/>
            <wp:docPr descr="" id="1" name="Picture"/>
            <a:graphic>
              <a:graphicData uri="http://schemas.openxmlformats.org/drawingml/2006/picture">
                <pic:pic>
                  <pic:nvPicPr>
                    <pic:cNvPr descr="manuscript_wtc3_files/figure-docx/wateruse-1.png" id="0" name="Picture"/>
                    <pic:cNvPicPr>
                      <a:picLocks noChangeArrowheads="1" noChangeAspect="1"/>
                    </pic:cNvPicPr>
                  </pic:nvPicPr>
                  <pic:blipFill>
                    <a:blip r:embed="rId38"/>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3</w:t>
      </w:r>
      <w:r>
        <w:t xml:space="preserve">. (a) Response of instantaneous water use efficiency (ITE) to leaf vapor pressure deficit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nitrogen</w:t>
      </w:r>
      <w:r>
        <w:rPr>
          <w:vertAlign w:val="subscript"/>
        </w:rPr>
        <w:t xml:space="preserve">area</w:t>
      </w:r>
      <w:r>
        <w:t xml:space="preserve"> </w:t>
      </w:r>
      <w:r>
        <w:t xml:space="preserve">for sun leaves and shade leaves at low light. For (a) VPD is the leaf to air pressure difference inside the gas exchange cuvette and lines represent predictions from the optimal ITE model with a g1 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SourceCode"/>
      </w:pPr>
      <w:r>
        <w:rPr>
          <w:rStyle w:val="KeywordTok"/>
        </w:rPr>
        <w:t xml:space="preserve">source</w:t>
      </w:r>
      <w:r>
        <w:rPr>
          <w:rStyle w:val="NormalTok"/>
        </w:rPr>
        <w:t xml:space="preserve">(</w:t>
      </w:r>
      <w:r>
        <w:rPr>
          <w:rStyle w:val="StringTok"/>
        </w:rPr>
        <w:t xml:space="preserve">"master_scripts/Agmgs.R"</w:t>
      </w:r>
      <w:r>
        <w:rPr>
          <w:rStyle w:val="NormalTok"/>
        </w:rPr>
        <w:t xml:space="preserve">)</w:t>
      </w:r>
    </w:p>
    <w:p>
      <w:r>
        <w:drawing>
          <wp:inline>
            <wp:extent cx="5440680" cy="7262559"/>
            <wp:effectExtent b="0" l="0" r="0" t="0"/>
            <wp:docPr descr="" id="1" name="Picture"/>
            <a:graphic>
              <a:graphicData uri="http://schemas.openxmlformats.org/drawingml/2006/picture">
                <pic:pic>
                  <pic:nvPicPr>
                    <pic:cNvPr descr="manuscript_wtc3_files/figure-docx/Agmgs-1.png" id="0" name="Picture"/>
                    <pic:cNvPicPr>
                      <a:picLocks noChangeArrowheads="1" noChangeAspect="1"/>
                    </pic:cNvPicPr>
                  </pic:nvPicPr>
                  <pic:blipFill>
                    <a:blip r:embed="rId3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4</w:t>
      </w:r>
      <w:r>
        <w:t xml:space="preserve">. The response of leaf photosynthesis rates to stomatal conductance (a) and mesophyll conductance (b) for sun leaves and shade leaves at both low and high light with elevated and ambient temperature treatments. The response of shade leaf physiology to high light was recorded once both photosynthesis and stomatal conductance were stable in the gas exchange leaf cuvette (ca. 25min). Lines represent either smoothed regressions from a generalized additive model fit (a) or linear model fits (b). Grey areas are approximately 95% confidence intervals from the mean.</w:t>
      </w:r>
    </w:p>
    <w:p>
      <w:pPr>
        <w:pStyle w:val="SourceCode"/>
      </w:pPr>
      <w:r>
        <w:rPr>
          <w:rStyle w:val="KeywordTok"/>
        </w:rPr>
        <w:t xml:space="preserve">source</w:t>
      </w:r>
      <w:r>
        <w:rPr>
          <w:rStyle w:val="NormalTok"/>
        </w:rPr>
        <w:t xml:space="preserve">(</w:t>
      </w:r>
      <w:r>
        <w:rPr>
          <w:rStyle w:val="StringTok"/>
        </w:rPr>
        <w:t xml:space="preserve">"master_scripts/physiology_barplots.R"</w:t>
      </w:r>
      <w:r>
        <w:rPr>
          <w:rStyle w:val="NormalTok"/>
        </w:rPr>
        <w:t xml:space="preserve">)</w:t>
      </w:r>
    </w:p>
    <w:p>
      <w:r>
        <w:drawing>
          <wp:inline>
            <wp:extent cx="5440680" cy="2716598"/>
            <wp:effectExtent b="0" l="0" r="0" t="0"/>
            <wp:docPr descr="" id="1" name="Picture"/>
            <a:graphic>
              <a:graphicData uri="http://schemas.openxmlformats.org/drawingml/2006/picture">
                <pic:pic>
                  <pic:nvPicPr>
                    <pic:cNvPr descr="manuscript_wtc3_files/figure-docx/barplots-1.png" id="0" name="Picture"/>
                    <pic:cNvPicPr>
                      <a:picLocks noChangeArrowheads="1" noChangeAspect="1"/>
                    </pic:cNvPicPr>
                  </pic:nvPicPr>
                  <pic:blipFill>
                    <a:blip r:embed="rId40"/>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5</w:t>
      </w:r>
      <w:r>
        <w:t xml:space="preserve">. The mean stomatal conductance (a), mesophyll conductance (b) and photosynthesis rate (c) of sun leaves and shade leaves at both low and high light with standard errors.</w:t>
      </w:r>
    </w:p>
    <w:p>
      <w:pPr>
        <w:pStyle w:val="SourceCode"/>
      </w:pPr>
      <w:r>
        <w:rPr>
          <w:rStyle w:val="KeywordTok"/>
        </w:rPr>
        <w:t xml:space="preserve">source</w:t>
      </w:r>
      <w:r>
        <w:rPr>
          <w:rStyle w:val="NormalTok"/>
        </w:rPr>
        <w:t xml:space="preserve">(</w:t>
      </w:r>
      <w:r>
        <w:rPr>
          <w:rStyle w:val="StringTok"/>
        </w:rPr>
        <w:t xml:space="preserve">"master_scripts/cicc_bar.R"</w:t>
      </w:r>
      <w:r>
        <w:rPr>
          <w:rStyle w:val="NormalTok"/>
        </w:rPr>
        <w:t xml:space="preserve">)</w:t>
      </w:r>
    </w:p>
    <w:p>
      <w:r>
        <w:drawing>
          <wp:inline>
            <wp:extent cx="5440680" cy="2716598"/>
            <wp:effectExtent b="0" l="0" r="0" t="0"/>
            <wp:docPr descr="" id="1" name="Picture"/>
            <a:graphic>
              <a:graphicData uri="http://schemas.openxmlformats.org/drawingml/2006/picture">
                <pic:pic>
                  <pic:nvPicPr>
                    <pic:cNvPr descr="manuscript_wtc3_files/figure-docx/cicc-1.png" id="0" name="Picture"/>
                    <pic:cNvPicPr>
                      <a:picLocks noChangeArrowheads="1" noChangeAspect="1"/>
                    </pic:cNvPicPr>
                  </pic:nvPicPr>
                  <pic:blipFill>
                    <a:blip r:embed="rId41"/>
                    <a:stretch>
                      <a:fillRect/>
                    </a:stretch>
                  </pic:blipFill>
                  <pic:spPr bwMode="auto">
                    <a:xfrm>
                      <a:off x="0" y="0"/>
                      <a:ext cx="5440680" cy="2716598"/>
                    </a:xfrm>
                    <a:prstGeom prst="rect">
                      <a:avLst/>
                    </a:prstGeom>
                    <a:noFill/>
                    <a:ln w="9525">
                      <a:noFill/>
                      <a:headEnd/>
                      <a:tailEnd/>
                    </a:ln>
                  </pic:spPr>
                </pic:pic>
              </a:graphicData>
            </a:graphic>
          </wp:inline>
        </w:drawing>
      </w:r>
      <w:r>
        <w:t xml:space="preserve"> </w:t>
      </w:r>
      <w:r>
        <w:rPr>
          <w:b/>
        </w:rPr>
        <w:t xml:space="preserve">Figure 5</w:t>
      </w:r>
      <w:r>
        <w:t xml:space="preserve">. The mean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 with standard errors.</w:t>
      </w:r>
    </w:p>
    <w:p>
      <w:pPr>
        <w:pStyle w:val="Heading1"/>
      </w:pPr>
      <w:bookmarkStart w:id="42" w:name="references"/>
      <w:bookmarkEnd w:id="42"/>
      <w:r>
        <w:t xml:space="preserve">References</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i/>
          <w:b/>
        </w:rPr>
        <w:t xml:space="preserve">et al.</w:t>
      </w:r>
      <w:r>
        <w:t xml:space="preserve"> </w:t>
      </w:r>
      <w:r>
        <w:rPr>
          <w:b/>
        </w:rPr>
        <w:t xml:space="preserve">2010</w:t>
      </w:r>
      <w:r>
        <w:t xml:space="preserve">. Whole-tree chambers for elevated atmospheric CO 2 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2013</w:t>
      </w:r>
      <w:r>
        <w:t xml:space="preserve">. lme4: Linear mixed-effects models using Eigen and S4.</w:t>
      </w:r>
      <w:r>
        <w:t xml:space="preserve"> </w:t>
      </w:r>
      <w:r>
        <w:rPr>
          <w:i/>
        </w:rPr>
        <w:t xml:space="preserve">R package version</w:t>
      </w:r>
      <w:r>
        <w:t xml:space="preserve"> </w:t>
      </w:r>
      <w:r>
        <w:rPr>
          <w:b/>
        </w:rPr>
        <w:t xml:space="preserve">1</w:t>
      </w:r>
      <w:r>
        <w:t xml:space="preserve">.</w:t>
      </w:r>
    </w:p>
    <w:p>
      <w:pPr>
        <w:pStyle w:val="Bibliography"/>
      </w:pPr>
      <w:r>
        <w:rPr>
          <w:b w:val="0"/>
          <w:b/>
        </w:rPr>
        <w:t xml:space="preserve">Boardman N</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 Sequoia sempervirens (D.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 Eucalyptus saligna in whole-tree chambers under elevated atmospheric CO2 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w:t>
      </w:r>
      <w:r>
        <w:rPr>
          <w:b w:val="0"/>
          <w:b/>
        </w:rPr>
        <w:t xml:space="preserve"> </w:t>
      </w:r>
      <w:r>
        <w:rPr>
          <w:b w:val="0"/>
          <w:b/>
        </w:rPr>
        <w:t xml:space="preserve">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Duursma RA</w:t>
      </w:r>
      <w:r>
        <w:rPr>
          <w:b/>
        </w:rPr>
        <w:t xml:space="preserve">,</w:t>
      </w:r>
      <w:r>
        <w:rPr>
          <w:b/>
        </w:rPr>
        <w:t xml:space="preserve"> </w:t>
      </w:r>
      <w:r>
        <w:rPr>
          <w:b w:val="0"/>
          <w:b/>
        </w:rPr>
        <w:t xml:space="preserve">Marshall JD</w:t>
      </w:r>
      <w:r>
        <w:t xml:space="preserve">.</w:t>
      </w:r>
      <w:r>
        <w:t xml:space="preserve"> </w:t>
      </w:r>
      <w:r>
        <w:rPr>
          <w:b/>
        </w:rPr>
        <w:t xml:space="preserve">2006</w:t>
      </w:r>
      <w:r>
        <w:t xml:space="preserve">. Vertical canopy gradients in</w:t>
      </w:r>
      <w:r>
        <w:t xml:space="preserve"> </w:t>
      </w:r>
      <m:oMath>
        <m:r>
          <m:rPr>
            <m:sty m:val="p"/>
          </m:rPr>
          <m:t>δ</m:t>
        </m:r>
      </m:oMath>
      <w:r>
        <w:t xml:space="preserve">13C correspond with leaf nitrogen content in a mixed-species conifer forest.</w:t>
      </w:r>
      <w:r>
        <w:t xml:space="preserve"> </w:t>
      </w:r>
      <w:r>
        <w:rPr>
          <w:i/>
        </w:rPr>
        <w:t xml:space="preserve">Trees</w:t>
      </w:r>
      <w:r>
        <w:t xml:space="preserve"> </w:t>
      </w:r>
      <w:r>
        <w:rPr>
          <w:b/>
        </w:rPr>
        <w:t xml:space="preserve">20</w:t>
      </w:r>
      <w:r>
        <w:t xml:space="preserve">: 496–506.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Evans JR</w:t>
      </w:r>
      <w:r>
        <w:rPr>
          <w:b/>
        </w:rPr>
        <w:t xml:space="preserve">,</w:t>
      </w:r>
      <w:r>
        <w:rPr>
          <w:b/>
        </w:rPr>
        <w:t xml:space="preserve"> </w:t>
      </w:r>
      <w:r>
        <w:rPr>
          <w:b w:val="0"/>
          <w:b/>
        </w:rPr>
        <w:t xml:space="preserve">Sharkey TD</w:t>
      </w:r>
      <w:r>
        <w:rPr>
          <w:b/>
        </w:rPr>
        <w:t xml:space="preserve">,</w:t>
      </w:r>
      <w:r>
        <w:rPr>
          <w:b/>
        </w:rPr>
        <w:t xml:space="preserve"> </w:t>
      </w:r>
      <w:r>
        <w:rPr>
          <w:b w:val="0"/>
          <w:b/>
        </w:rPr>
        <w:t xml:space="preserve">Berry JA</w:t>
      </w:r>
      <w:r>
        <w:rPr>
          <w:b/>
        </w:rPr>
        <w:t xml:space="preserve">,</w:t>
      </w:r>
      <w:r>
        <w:rPr>
          <w:b/>
        </w:rPr>
        <w:t xml:space="preserve"> </w:t>
      </w:r>
      <w:r>
        <w:rPr>
          <w:b w:val="0"/>
          <w:b/>
        </w:rPr>
        <w:t xml:space="preserve">Farquhar GD</w:t>
      </w:r>
      <w:r>
        <w:t xml:space="preserve">.</w:t>
      </w:r>
      <w:r>
        <w:t xml:space="preserve"> </w:t>
      </w:r>
      <w:r>
        <w:rPr>
          <w:b/>
        </w:rPr>
        <w:t xml:space="preserve">1986</w:t>
      </w:r>
      <w:r>
        <w:t xml:space="preserve">. Carbon isotope discrimination measured concurrently with gas exchange to investigate CO2 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CO2 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evolutionary constraints on primary productivity, adaptive patterns of energy capture in plants,’ harvard forest, august 1983.</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CO2: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Givnish TJ</w:t>
      </w:r>
      <w:r>
        <w:t xml:space="preserve">.</w:t>
      </w:r>
      <w:r>
        <w:t xml:space="preserve"> </w:t>
      </w:r>
      <w:r>
        <w:rPr>
          <w:b/>
        </w:rPr>
        <w:t xml:space="preserve">1988</w:t>
      </w:r>
      <w:r>
        <w:t xml:space="preserve">. Adaptation to sun and shade: a whole-plant perspective.</w:t>
      </w:r>
      <w:r>
        <w:t xml:space="preserve"> </w:t>
      </w:r>
      <w:r>
        <w:rPr>
          <w:i/>
        </w:rPr>
        <w:t xml:space="preserve">Functional Plant Biology</w:t>
      </w:r>
      <w:r>
        <w:t xml:space="preserve"> </w:t>
      </w:r>
      <w:r>
        <w:rPr>
          <w:b/>
        </w:rPr>
        <w:t xml:space="preserve">15</w:t>
      </w:r>
      <w:r>
        <w:t xml:space="preserve">: 63–92.</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Griffiths H</w:t>
      </w:r>
      <w:r>
        <w:rPr>
          <w:b/>
        </w:rPr>
        <w:t xml:space="preserve">,</w:t>
      </w:r>
      <w:r>
        <w:rPr>
          <w:b/>
        </w:rPr>
        <w:t xml:space="preserve"> </w:t>
      </w:r>
      <w:r>
        <w:rPr>
          <w:b w:val="0"/>
          <w:b/>
        </w:rPr>
        <w:t xml:space="preserve">Weller G</w:t>
      </w:r>
      <w:r>
        <w:rPr>
          <w:b/>
        </w:rPr>
        <w:t xml:space="preserve">,</w:t>
      </w:r>
      <w:r>
        <w:rPr>
          <w:b/>
        </w:rPr>
        <w:t xml:space="preserve"> </w:t>
      </w:r>
      <w:r>
        <w:rPr>
          <w:b w:val="0"/>
          <w:b/>
        </w:rPr>
        <w:t xml:space="preserve">Toy LFM</w:t>
      </w:r>
      <w:r>
        <w:rPr>
          <w:b/>
        </w:rPr>
        <w:t xml:space="preserve">,</w:t>
      </w:r>
      <w:r>
        <w:rPr>
          <w:b/>
        </w:rPr>
        <w:t xml:space="preserve"> </w:t>
      </w:r>
      <w:r>
        <w:rPr>
          <w:b w:val="0"/>
          <w:b/>
        </w:rPr>
        <w:t xml:space="preserve">Dennis RJ</w:t>
      </w:r>
      <w:r>
        <w:t xml:space="preserve">.</w:t>
      </w:r>
      <w:r>
        <w:t xml:space="preserve"> </w:t>
      </w:r>
      <w:r>
        <w:rPr>
          <w:b/>
        </w:rPr>
        <w:t xml:space="preserve">2013</w:t>
      </w:r>
      <w:r>
        <w:t xml:space="preserve">. You’re so vein: bundle sheath physiology, phylogeny and evolution in C3 and C4 plants.</w:t>
      </w:r>
      <w:r>
        <w:t xml:space="preserve"> </w:t>
      </w:r>
      <w:r>
        <w:rPr>
          <w:i/>
        </w:rPr>
        <w:t xml:space="preserve">Plant, Cell &amp; Environment</w:t>
      </w:r>
      <w:r>
        <w:t xml:space="preserve"> </w:t>
      </w:r>
      <w:r>
        <w:rPr>
          <w:b/>
        </w:rPr>
        <w:t xml:space="preserve">36</w:t>
      </w:r>
      <w:r>
        <w:t xml:space="preserve">: 249–261.</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w:t>
      </w:r>
      <w:r>
        <w:rPr>
          <w:b w:val="0"/>
          <w:b/>
        </w:rPr>
        <w:t xml:space="preserve"> </w:t>
      </w:r>
      <w:r>
        <w:rPr>
          <w:b w:val="0"/>
          <w:b/>
        </w:rPr>
        <w:t xml:space="preserve">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Colin Prentice</w:t>
      </w:r>
      <w:r>
        <w:rPr>
          <w:b w:val="0"/>
          <w:b/>
        </w:rPr>
        <w:t xml:space="preserve"> </w:t>
      </w:r>
      <w:r>
        <w:rPr>
          <w:b w:val="0"/>
          <w:b/>
        </w:rPr>
        <w:t xml:space="preserve">I</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2012</w:t>
      </w:r>
      <w:r>
        <w:t xml:space="preserve">. Reconciling the optimal and empirical approaches to modelling stomatal conductance.</w:t>
      </w:r>
      <w:r>
        <w:t xml:space="preserve"> </w:t>
      </w:r>
      <w:r>
        <w:rPr>
          <w:i/>
        </w:rPr>
        <w:t xml:space="preserve">Global Change Biology</w:t>
      </w:r>
      <w:r>
        <w:t xml:space="preserve"> </w:t>
      </w:r>
      <w:r>
        <w:rPr>
          <w:b/>
        </w:rPr>
        <w:t xml:space="preserve">18</w:t>
      </w:r>
      <w:r>
        <w:t xml:space="preserve">: 3476.</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U</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tps023.</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w:t>
      </w:r>
      <w:r>
        <w:t xml:space="preserve"> </w:t>
      </w:r>
      <w:r>
        <w:rPr>
          <w:i/>
        </w:rPr>
        <w:t xml:space="preserve">{nlme}: Linear and Nonlinear Mixed Effects Models</w:t>
      </w:r>
      <w:r>
        <w:t xml:space="preserve">.</w:t>
      </w:r>
    </w:p>
    <w:p>
      <w:pPr>
        <w:pStyle w:val="Bibliography"/>
      </w:pPr>
      <w:r>
        <w:rPr>
          <w:b w:val="0"/>
          <w:b/>
        </w:rPr>
        <w:t xml:space="preserve">R Development Core Team</w:t>
      </w:r>
      <w:r>
        <w:rPr>
          <w:b w:val="0"/>
          <w:b/>
        </w:rPr>
        <w:t xml:space="preserve"> </w:t>
      </w:r>
      <w:r>
        <w:rPr>
          <w:b w:val="0"/>
          <w:b/>
        </w:rPr>
        <w:t xml:space="preserve">R</w:t>
      </w:r>
      <w:r>
        <w:t xml:space="preserve">.</w:t>
      </w:r>
      <w:r>
        <w:t xml:space="preserve"> </w:t>
      </w:r>
      <w:r>
        <w:rPr>
          <w:b/>
        </w:rPr>
        <w:t xml:space="preserve">2011</w:t>
      </w:r>
      <w:r>
        <w:t xml:space="preserve">. R: A Language and Environment for Statistical Computing (RDC Team, Ed.).</w:t>
      </w:r>
      <w:r>
        <w:t xml:space="preserve"> </w:t>
      </w:r>
      <w:r>
        <w:rPr>
          <w:i/>
        </w:rPr>
        <w:t xml:space="preserve">R foundation for statistical computing</w:t>
      </w:r>
      <w:r>
        <w:t xml:space="preserve"> </w:t>
      </w:r>
      <w:r>
        <w:rPr>
          <w:b/>
        </w:rPr>
        <w:t xml:space="preserve">1</w:t>
      </w:r>
      <w:r>
        <w:t xml:space="preserve">: 409.</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(Tilia cordata 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(Betula pendula).</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CO2 diffusion dynamically at different CO2 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CO2 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r>
          <m:rPr>
            <m:sty m:val="p"/>
          </m:rPr>
          <m:t>δ</m:t>
        </m:r>
      </m:oMath>
      <w:r>
        <w:t xml:space="preserve">13C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CO2 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Whitehead D</w:t>
      </w:r>
      <w:r>
        <w:t xml:space="preserve">.</w:t>
      </w:r>
      <w:r>
        <w:t xml:space="preserve"> </w:t>
      </w:r>
      <w:r>
        <w:rPr>
          <w:b/>
        </w:rPr>
        <w:t xml:space="preserve">1998</w:t>
      </w:r>
      <w:r>
        <w:t xml:space="preserve">. Regulation of stomatal conductance and transpiration in forest canopies.</w:t>
      </w:r>
      <w:r>
        <w:t xml:space="preserve"> </w:t>
      </w:r>
      <w:r>
        <w:rPr>
          <w:i/>
        </w:rPr>
        <w:t xml:space="preserve">Tree Physiology</w:t>
      </w:r>
      <w:r>
        <w:t xml:space="preserve"> </w:t>
      </w:r>
      <w:r>
        <w:rPr>
          <w:b/>
        </w:rPr>
        <w:t xml:space="preserve">18</w:t>
      </w:r>
      <w:r>
        <w:t xml:space="preserve">: 633–644.</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e07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shade leaves lying in wait? How instantaneous responses of mesophyll conductance to light availability in shade leaves affect theories of optimal canopy carbon gain</dc:title>
  <dc:creator/>
</cp:coreProperties>
</file>