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49.png" ContentType="image/png"/>
  <Override PartName="/word/media/rId34.png" ContentType="image/png"/>
  <Override PartName="/word/media/rId48.png" ContentType="image/png"/>
  <Override PartName="/word/media/rId37.png" ContentType="image/png"/>
  <Override PartName="/word/media/rId42.png" ContentType="image/png"/>
  <Override PartName="/word/media/rId40.png" ContentType="image/png"/>
  <Override PartName="/word/media/rId50.png" ContentType="image/png"/>
  <Override PartName="/word/media/rId51.png" ContentType="image/png"/>
  <Override PartName="/word/media/rId32.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p>
    <w:p>
      <w:pPr>
        <w:pStyle w:val="BodyText"/>
      </w:pPr>
      <w:r>
        <w:br w:type="textWrapping"/>
      </w:r>
      <w:r>
        <w:rPr>
          <w:vertAlign w:val="superscript"/>
        </w:rPr>
        <w:t xml:space="preserve">2</w:t>
      </w:r>
      <w:r>
        <w:t xml:space="preserve"> </w:t>
      </w:r>
      <w:r>
        <w:t xml:space="preserve">Plant Science Division, Research School of Biology, The Australian National University, Canberra, ACT, Australia</w:t>
      </w:r>
    </w:p>
    <w:p>
      <w:pPr>
        <w:pStyle w:val="BodyText"/>
      </w:pPr>
      <w:r>
        <w:br w:type="textWrapping"/>
      </w:r>
      <w:r>
        <w:rPr>
          <w:i/>
        </w:rPr>
        <w:t xml:space="preserve">Corresponding author</w:t>
      </w:r>
      <w:r>
        <w:t xml:space="preserve">: Courtney Campany E:</w:t>
      </w:r>
      <w:r>
        <w:t xml:space="preserve"> </w:t>
      </w:r>
      <w:hyperlink r:id="rId21">
        <w:r>
          <w:rPr>
            <w:rStyle w:val="Hyperlink"/>
          </w:rPr>
          <w:t xml:space="preserve">courtneycampany@gmail.com</w:t>
        </w:r>
      </w:hyperlink>
    </w:p>
    <w:p>
      <w:pPr>
        <w:pStyle w:val="Heading1"/>
      </w:pPr>
      <w:bookmarkStart w:id="22" w:name="abstract"/>
      <w:bookmarkEnd w:id="22"/>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3" w:name="introduction"/>
      <w:bookmarkEnd w:id="23"/>
      <w:r>
        <w:t xml:space="preserve">3.2 Introduction</w:t>
      </w:r>
    </w:p>
    <w:p>
      <w:pPr>
        <w:pStyle w:val="FirstParagraph"/>
      </w:pPr>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4" w:name="materials-and-methods"/>
      <w:bookmarkEnd w:id="24"/>
      <w:r>
        <w:t xml:space="preserve">3.3 Materials and Methods</w:t>
      </w:r>
    </w:p>
    <w:p>
      <w:pPr>
        <w:pStyle w:val="Heading2"/>
      </w:pPr>
      <w:bookmarkStart w:id="25" w:name="whole-tree-chamber-experimental-design"/>
      <w:bookmarkEnd w:id="25"/>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6" w:name="leaf-gas-exchange-online-carbon-isotope-discrimination-and-mesophyll-conductance"/>
      <w:bookmarkEnd w:id="26"/>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obs</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r>
                <m:rPr/>
                <m:t>b</m:t>
              </m:r>
              <m:r>
                <m:rPr/>
                <m:t>s</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sSub>
                  <m:e>
                    <m:r>
                      <m:rPr/>
                      <m:t>a</m:t>
                    </m:r>
                  </m:e>
                  <m:sub>
                    <m:r>
                      <m:rPr/>
                      <m:t>i</m:t>
                    </m:r>
                  </m:sub>
                </m:sSub>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r>
                      <m:rPr/>
                      <m:t>a</m:t>
                    </m:r>
                    <m:r>
                      <m:rPr/>
                      <m:t>′</m:t>
                    </m:r>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(11)</w:t>
      </w:r>
    </w:p>
    <w:p>
      <w:pPr>
        <w:pStyle w:val="BodyText"/>
      </w:pPr>
      <m:oMathPara>
        <m:oMathParaPr>
          <m:jc m:val="center"/>
        </m:oMathParaPr>
        <m:oMath>
          <m:sSub>
            <m:e>
              <m:r>
                <m:rPr/>
                <m:t>g</m:t>
              </m:r>
            </m:e>
            <m:sub>
              <m:r>
                <m:rPr/>
                <m:t>m</m:t>
              </m:r>
            </m:sub>
          </m:sSub>
          <m:r>
            <m:rPr/>
            <m:t>=</m:t>
          </m:r>
          <m:f>
            <m:fPr>
              <m:type m:val="bar"/>
            </m:fPr>
            <m:num>
              <m:r>
                <m:rPr/>
                <m:t>*</m:t>
              </m:r>
              <m:r>
                <m:rPr/>
                <m:t>A</m:t>
              </m:r>
              <m:r>
                <m:rPr/>
                <m:t> </m:t>
              </m:r>
              <m:r>
                <m:rPr/>
                <m:t>n</m:t>
              </m:r>
              <m:r>
                <m:rPr/>
                <m:t> </m:t>
              </m:r>
              <m:r>
                <m:rPr/>
                <m:t>*</m:t>
              </m:r>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7" w:name="biochemical-parameters-of-photosynthesis"/>
      <w:bookmarkEnd w:id="27"/>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Heading2"/>
      </w:pPr>
      <w:bookmarkStart w:id="28" w:name="leaf-chemistry-and-hydraulic-parameters"/>
      <w:bookmarkEnd w:id="28"/>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pPr>
        <w:pStyle w:val="BodyText"/>
      </w:pPr>
      <w:r>
        <w:br w:type="textWrapping"/>
      </w:r>
      <w:r>
        <w:t xml:space="preserve">(12)</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29" w:name="data-analysis"/>
      <w:bookmarkEnd w:id="29"/>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0" w:name="results"/>
      <w:bookmarkEnd w:id="30"/>
      <w:r>
        <w:t xml:space="preserve">3.4 Results</w:t>
      </w:r>
    </w:p>
    <w:p>
      <w:pPr>
        <w:pStyle w:val="Heading2"/>
      </w:pPr>
      <w:bookmarkStart w:id="31" w:name="leaf-resource-distribution"/>
      <w:bookmarkEnd w:id="31"/>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2"/>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486.111111111111"/>
        <w:tblLook w:firstRow="1"/>
      </w:tblPr>
      <w:tblGrid>
        <w:gridCol w:w="1100"/>
        <w:gridCol w:w="1870"/>
        <w:gridCol w:w="1650"/>
        <w:gridCol w:w="1650"/>
        <w:gridCol w:w="1650"/>
        <w:gridCol w:w="1760"/>
        <w:gridCol w:w="1650"/>
        <w:gridCol w:w="1760"/>
        <w:gridCol w:w="1760"/>
        <w:gridCol w:w="176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pPr>
        <w:pStyle w:val="Heading2"/>
      </w:pPr>
      <w:bookmarkStart w:id="33" w:name="photosynthetic-capacity-and-leaf-photosynthesis-rates"/>
      <w:bookmarkEnd w:id="33"/>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4"/>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 A 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BodyText"/>
      </w:pPr>
      <w:r>
        <w:br w:type="textWrapping"/>
      </w:r>
      <w:r>
        <w:rPr>
          <w:b/>
        </w:rPr>
        <w:t xml:space="preserve">Table 3.2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5" w:name="stomatal-conductance-and-leaf-water-use-efficiency"/>
      <w:bookmarkEnd w:id="35"/>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6"/>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7"/>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pPr>
        <w:pStyle w:val="BodyText"/>
      </w:pPr>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9" w:name="leaf-carbon-isotope-discrimination-and-mesophyll-conductance"/>
      <w:bookmarkEnd w:id="39"/>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3.S2) and A-Ci curves revealed similar differences between sun and shade leaves.</w:t>
      </w:r>
    </w:p>
    <w:p>
      <w:pPr>
        <w:pStyle w:val="Heading2"/>
      </w:pPr>
      <w:bookmarkStart w:id="41" w:name="variation-in-intercellular-and-chloroplastic-co2-concentrations"/>
      <w:bookmarkEnd w:id="41"/>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2"/>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pPr>
        <w:pStyle w:val="Heading1"/>
      </w:pPr>
      <w:bookmarkStart w:id="43" w:name="discussion"/>
      <w:bookmarkEnd w:id="43"/>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4" w:name="resource-distribution-and-photosynthetic-capacity"/>
      <w:bookmarkEnd w:id="44"/>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5" w:name="physiological-behaviour-of-sun-and-shade-leaves"/>
      <w:bookmarkEnd w:id="45"/>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6" w:name="conclusions"/>
      <w:bookmarkEnd w:id="46"/>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7" w:name="supporting-information"/>
      <w:bookmarkEnd w:id="47"/>
      <w:r>
        <w:t xml:space="preserve">3.6 Supporting Information</w:t>
      </w:r>
    </w:p>
    <w:p>
      <w:pPr>
        <w:pStyle w:val="FirstParagraph"/>
      </w:pPr>
      <w:r>
        <w:drawing>
          <wp:inline>
            <wp:extent cx="5422900" cy="6983060"/>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8"/>
                    <a:stretch>
                      <a:fillRect/>
                    </a:stretch>
                  </pic:blipFill>
                  <pic:spPr bwMode="auto">
                    <a:xfrm>
                      <a:off x="0" y="0"/>
                      <a:ext cx="5422900" cy="6983060"/>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and total daily PPFD (b) for each chamber across the experiment duration.</w:t>
      </w:r>
      <w:r>
        <w:br w:type="textWrapping"/>
      </w: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1"/>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2" w:name="references"/>
      <w:bookmarkEnd w:id="52"/>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CO_2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w:t>
      </w:r>
      <w:r>
        <w:t xml:space="preserve"> </w:t>
      </w:r>
      <w:r>
        <w:rPr>
          <w:i/>
        </w:rPr>
        <w:t xml:space="preserve">Sequoia sempervirens</w:t>
      </w:r>
      <w:r>
        <w:t xml:space="preserve"> </w:t>
      </w:r>
      <w:r>
        <w:t xml:space="preserve">(D.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CO_2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[CO_2]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CO_2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CO_2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CO_2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CO_2: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CO_2 conductance and CO_2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CO_2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CO_2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CO_2 do not affect the mesophyll conductance to CO_2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CO_2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CO_2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CO_2 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c165e2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6" Target="media/rId36.png" /><Relationship Type="http://schemas.openxmlformats.org/officeDocument/2006/relationships/image" Id="rId49" Target="media/rId49.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