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8.png" ContentType="image/png"/>
  <Override PartName="/word/media/rId33.png" ContentType="image/png"/>
  <Override PartName="/word/media/rId47.png" ContentType="image/png"/>
  <Override PartName="/word/media/rId36.png" ContentType="image/png"/>
  <Override PartName="/word/media/rId41.png" ContentType="image/png"/>
  <Override PartName="/word/media/rId39.png" ContentType="image/png"/>
  <Override PartName="/word/media/rId49.png" ContentType="image/png"/>
  <Override PartName="/word/media/rId50.png" ContentType="image/png"/>
  <Override PartName="/word/media/rId3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Heading1"/>
      </w:pPr>
      <w:bookmarkStart w:id="21" w:name="abstract"/>
      <w:bookmarkEnd w:id="21"/>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2" w:name="introduction"/>
      <w:bookmarkEnd w:id="22"/>
      <w:r>
        <w:t xml:space="preserve">3.2 Introduction</w:t>
      </w:r>
    </w:p>
    <w:p>
      <w:pPr>
        <w:pStyle w:val="FirstParagraph"/>
      </w:pPr>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3" w:name="materials-and-methods"/>
      <w:bookmarkEnd w:id="23"/>
      <w:r>
        <w:t xml:space="preserve">3.3 Materials and Methods</w:t>
      </w:r>
    </w:p>
    <w:p>
      <w:pPr>
        <w:pStyle w:val="Heading2"/>
      </w:pPr>
      <w:bookmarkStart w:id="24" w:name="whole-tree-chamber-experimental-design"/>
      <w:bookmarkEnd w:id="24"/>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5" w:name="leaf-gas-exchange-online-carbon-isotope-discrimination-and-mesophyll-conductance"/>
      <w:bookmarkEnd w:id="25"/>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obs</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r>
                <m:rPr/>
                <m:t>b</m:t>
              </m:r>
              <m:r>
                <m:rPr/>
                <m:t>s</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6" w:name="biochemical-parameters-of-photosynthesis"/>
      <w:bookmarkEnd w:id="26"/>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Heading2"/>
      </w:pPr>
      <w:bookmarkStart w:id="27" w:name="leaf-chemistry-and-hydraulic-parameters"/>
      <w:bookmarkEnd w:id="27"/>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28" w:name="data-analysis"/>
      <w:bookmarkEnd w:id="28"/>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29" w:name="results"/>
      <w:bookmarkEnd w:id="29"/>
      <w:r>
        <w:t xml:space="preserve">3.4 Results</w:t>
      </w:r>
    </w:p>
    <w:p>
      <w:pPr>
        <w:pStyle w:val="Heading2"/>
      </w:pPr>
      <w:bookmarkStart w:id="30" w:name="leaf-resource-distribution"/>
      <w:bookmarkEnd w:id="30"/>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486.111111111111"/>
        <w:tblLook w:firstRow="1"/>
      </w:tblPr>
      <w:tblGrid>
        <w:gridCol w:w="1100"/>
        <w:gridCol w:w="1870"/>
        <w:gridCol w:w="1650"/>
        <w:gridCol w:w="1650"/>
        <w:gridCol w:w="1650"/>
        <w:gridCol w:w="1760"/>
        <w:gridCol w:w="1650"/>
        <w:gridCol w:w="1760"/>
        <w:gridCol w:w="1760"/>
        <w:gridCol w:w="176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Heading2"/>
      </w:pPr>
      <w:bookmarkStart w:id="32" w:name="photosynthetic-capacity-and-leaf-photosynthesis-rates"/>
      <w:bookmarkEnd w:id="32"/>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3"/>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4" w:name="stomatal-conductance-and-leaf-water-use-efficiency"/>
      <w:bookmarkEnd w:id="34"/>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6"/>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pPr>
        <w:pStyle w:val="BodyText"/>
      </w:pPr>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8" w:name="leaf-carbon-isotope-discrimination-and-mesophyll-conductance"/>
      <w:bookmarkEnd w:id="38"/>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0" w:name="variation-in-intercellular-and-chloroplastic-co2-concentrations"/>
      <w:bookmarkEnd w:id="40"/>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1"/>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2" w:name="discussion"/>
      <w:bookmarkEnd w:id="42"/>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3" w:name="resource-distribution-and-photosynthetic-capacity"/>
      <w:bookmarkEnd w:id="43"/>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4" w:name="physiological-behaviour-of-sun-and-shade-leaves"/>
      <w:bookmarkEnd w:id="44"/>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5" w:name="conclusions"/>
      <w:bookmarkEnd w:id="45"/>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6" w:name="supporting-information"/>
      <w:bookmarkEnd w:id="46"/>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7"/>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49"/>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1" w:name="references"/>
      <w:bookmarkEnd w:id="51"/>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CO_2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CO_2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[CO_2]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CO_2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CO_2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CO_2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CO_2: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CO_2 conductance and CO_2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CO_2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CO_2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CO_2 do not affect the mesophyll conductance to CO_2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CO_2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CO_2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CO_2 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f2651c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