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50.png" ContentType="image/png"/>
  <Override PartName="/word/media/rId41.png" ContentType="image/png"/>
  <Override PartName="/word/media/rId39.png" ContentType="image/png"/>
  <Override PartName="/word/media/rId43.png" ContentType="image/png"/>
  <Override PartName="/word/media/rId46.png" ContentType="image/png"/>
  <Override PartName="/word/media/rId45.png" ContentType="image/png"/>
  <Override PartName="/word/media/rId48.png" ContentType="image/png"/>
  <Override PartName="/word/media/rId49.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a changing climate.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photosynthesis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not likely adaptable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for evaluating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hypothesese are as follows:</w:t>
      </w:r>
    </w:p>
    <w:p>
      <w:r>
        <w:br w:type="textWrapping"/>
      </w:r>
      <w:r>
        <w:t xml:space="preserve">1. If whole tree canopies are optimized for C gain, then leaf N, K and photosynthetic capacity were predicted to be higher in full sun leaves. 2. Under comparable leaf VPD, g</w:t>
      </w:r>
      <w:r>
        <w:rPr>
          <w:vertAlign w:val="subscript"/>
        </w:rPr>
        <w:t xml:space="preserve">s</w:t>
      </w:r>
      <w:r>
        <w:t xml:space="preserve"> </w:t>
      </w:r>
      <w:r>
        <w:t xml:space="preserve">and A should exhibit theoretical optimal behaviour across both sun and shade leaves, while g</w:t>
      </w:r>
      <w:r>
        <w:rPr>
          <w:vertAlign w:val="subscript"/>
        </w:rPr>
        <w:t xml:space="preserve">m</w:t>
      </w:r>
      <w:r>
        <w:t xml:space="preserve"> </w:t>
      </w:r>
      <w:r>
        <w:t xml:space="preserve">was predicted to scale positively with photosynthetic capacity. 3. As shade leaves are constrained by their underlying biochemistry and slow physiological responses, increases in A following sunfleck simulations were not expected to reach levels of full sun leaves. 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w:t>
      </w:r>
      <w:r>
        <w:rPr>
          <w:b/>
        </w:rPr>
        <w:t xml:space="preserve">???</w:t>
      </w:r>
      <w:r>
        <w:t xml:space="preserve">)</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showed optimal behavior</w:t>
      </w:r>
      <w:r>
        <w:t xml:space="preserve"> </w:t>
      </w:r>
      <w:r>
        <w:rPr>
          <w:i/>
        </w:rPr>
        <w:t xml:space="preserve">as in (cite)</w:t>
      </w:r>
      <w:r>
        <w:t xml:space="preserve"> </w:t>
      </w:r>
      <w:r>
        <w:t xml:space="preserve">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gm 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photosynthetic capacity: Mesophyll conductance asymmetrically affects key photosynthetic parameters and an assumption of infinite mesophyll conductance leads to underestimation of the maximum carboxylation rate Vcmax, maximum electron transport rate Jmax</w:t>
      </w:r>
      <w:r>
        <w:t xml:space="preserve"> </w:t>
      </w:r>
      <w:r>
        <w:t xml:space="preserve">(Sun</w:t>
      </w:r>
      <w:r>
        <w:t xml:space="preserve"> </w:t>
      </w:r>
      <w:r>
        <w:rPr>
          <w:i/>
        </w:rPr>
        <w:t xml:space="preserve">et al.</w:t>
      </w:r>
      <w:r>
        <w:t xml:space="preserve">, 2014)</w:t>
      </w:r>
      <w:r>
        <w:t xml:space="preserve">.</w:t>
      </w:r>
    </w:p>
    <w:p>
      <w:pPr>
        <w:pStyle w:val="Heading1"/>
      </w:pPr>
      <w:bookmarkStart w:id="35" w:name="list-of-tables"/>
      <w:bookmarkEnd w:id="35"/>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6" w:name="list-of-figures"/>
      <w:bookmarkEnd w:id="36"/>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7" w:name="tables"/>
      <w:bookmarkEnd w:id="37"/>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8" w:name="figures"/>
      <w:bookmarkEnd w:id="38"/>
      <w:r>
        <w:t xml:space="preserve">Figures</w:t>
      </w:r>
    </w:p>
    <w:p>
      <w:r>
        <w:rPr>
          <w:b/>
        </w:rPr>
        <w:t xml:space="preserve">airvars goes here</w:t>
      </w:r>
      <w:r>
        <w:t xml:space="preserve"> </w:t>
      </w:r>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3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1"/>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3"/>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6"/>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7" w:name="supporting-information"/>
      <w:bookmarkEnd w:id="47"/>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8"/>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49"/>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1" w:name="references"/>
      <w:bookmarkEnd w:id="51"/>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Sun Y</w:t>
      </w:r>
      <w:r>
        <w:rPr>
          <w:b/>
        </w:rPr>
        <w:t xml:space="preserve">,</w:t>
      </w:r>
      <w:r>
        <w:rPr>
          <w:b/>
        </w:rPr>
        <w:t xml:space="preserve"> </w:t>
      </w:r>
      <w:r>
        <w:rPr>
          <w:b w:val="0"/>
          <w:b/>
        </w:rPr>
        <w:t xml:space="preserve">Gu L</w:t>
      </w:r>
      <w:r>
        <w:rPr>
          <w:b/>
        </w:rPr>
        <w:t xml:space="preserve">,</w:t>
      </w:r>
      <w:r>
        <w:rPr>
          <w:b/>
        </w:rPr>
        <w:t xml:space="preserve"> </w:t>
      </w:r>
      <w:r>
        <w:rPr>
          <w:b w:val="0"/>
          <w:b/>
        </w:rPr>
        <w:t xml:space="preserve">Dickinson RE</w:t>
      </w:r>
      <w:r>
        <w:rPr>
          <w:b/>
        </w:rPr>
        <w:t xml:space="preserve">,</w:t>
      </w:r>
      <w:r>
        <w:rPr>
          <w:b/>
        </w:rPr>
        <w:t xml:space="preserve"> </w:t>
      </w:r>
      <w:r>
        <w:rPr>
          <w:b w:val="0"/>
          <w:b/>
        </w:rPr>
        <w:t xml:space="preserve">Pallardy SG</w:t>
      </w:r>
      <w:r>
        <w:rPr>
          <w:b/>
        </w:rPr>
        <w:t xml:space="preserve">,</w:t>
      </w:r>
      <w:r>
        <w:rPr>
          <w:b/>
        </w:rPr>
        <w:t xml:space="preserve"> </w:t>
      </w:r>
      <w:r>
        <w:rPr>
          <w:b w:val="0"/>
          <w:b/>
        </w:rPr>
        <w:t xml:space="preserve">Baker J</w:t>
      </w:r>
      <w:r>
        <w:rPr>
          <w:b/>
        </w:rPr>
        <w:t xml:space="preserve">,</w:t>
      </w:r>
      <w:r>
        <w:rPr>
          <w:b/>
        </w:rPr>
        <w:t xml:space="preserve"> </w:t>
      </w:r>
      <w:r>
        <w:rPr>
          <w:b w:val="0"/>
          <w:b/>
        </w:rPr>
        <w:t xml:space="preserve">Cao Y</w:t>
      </w:r>
      <w:r>
        <w:rPr>
          <w:b/>
        </w:rPr>
        <w:t xml:space="preserve">,</w:t>
      </w:r>
      <w:r>
        <w:rPr>
          <w:b/>
        </w:rPr>
        <w:t xml:space="preserve"> </w:t>
      </w:r>
      <w:r>
        <w:rPr>
          <w:b w:val="0"/>
          <w:b/>
        </w:rPr>
        <w:t xml:space="preserve">DaMatta FM</w:t>
      </w:r>
      <w:r>
        <w:rPr>
          <w:b/>
        </w:rPr>
        <w:t xml:space="preserve">,</w:t>
      </w:r>
      <w:r>
        <w:rPr>
          <w:b/>
        </w:rPr>
        <w:t xml:space="preserve"> </w:t>
      </w:r>
      <w:r>
        <w:rPr>
          <w:b w:val="0"/>
          <w:b/>
        </w:rPr>
        <w:t xml:space="preserve">Dong X</w:t>
      </w:r>
      <w:r>
        <w:rPr>
          <w:b/>
        </w:rPr>
        <w:t xml:space="preserve">,</w:t>
      </w:r>
      <w:r>
        <w:rPr>
          <w:b/>
        </w:rPr>
        <w:t xml:space="preserve"> </w:t>
      </w:r>
      <w:r>
        <w:rPr>
          <w:b w:val="0"/>
          <w:b/>
        </w:rPr>
        <w:t xml:space="preserve">Ellsworth D</w:t>
      </w:r>
      <w:r>
        <w:rPr>
          <w:b/>
        </w:rPr>
        <w:t xml:space="preserve">,</w:t>
      </w:r>
      <w:r>
        <w:rPr>
          <w:b/>
        </w:rPr>
        <w:t xml:space="preserve"> </w:t>
      </w:r>
      <w:r>
        <w:rPr>
          <w:b w:val="0"/>
          <w:b/>
        </w:rPr>
        <w:t xml:space="preserve">Van Goethem</w:t>
      </w:r>
      <w:r>
        <w:rPr>
          <w:b w:val="0"/>
          <w:b/>
        </w:rPr>
        <w:t xml:space="preserve"> </w:t>
      </w:r>
      <w:r>
        <w:rPr>
          <w:b w:val="0"/>
          <w:b/>
        </w:rPr>
        <w:t xml:space="preserve">D</w:t>
      </w:r>
      <w:r>
        <w:rPr>
          <w:i/>
          <w:b/>
        </w:rPr>
        <w:t xml:space="preserve">et al.</w:t>
      </w:r>
      <w:r>
        <w:t xml:space="preserve"> </w:t>
      </w:r>
      <w:r>
        <w:rPr>
          <w:b/>
        </w:rPr>
        <w:t xml:space="preserve">2014</w:t>
      </w:r>
      <w:r>
        <w:t xml:space="preserve">. Asymmetrical effects of mesophyll conductance on fundamental photosynthetic parameters and their relationships estimated from leaf gas exchange measurements.</w:t>
      </w:r>
      <w:r>
        <w:t xml:space="preserve"> </w:t>
      </w:r>
      <w:r>
        <w:rPr>
          <w:i/>
        </w:rPr>
        <w:t xml:space="preserve">Plant, cell &amp; environment</w:t>
      </w:r>
      <w:r>
        <w:t xml:space="preserve"> </w:t>
      </w:r>
      <w:r>
        <w:rPr>
          <w:b/>
        </w:rPr>
        <w:t xml:space="preserve">37</w:t>
      </w:r>
      <w:r>
        <w:t xml:space="preserve">: 978–994.</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a3fb4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83ad18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