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48.png" ContentType="image/png"/>
  <Override PartName="/word/media/rId33.png" ContentType="image/png"/>
  <Override PartName="/word/media/rId47.png" ContentType="image/png"/>
  <Override PartName="/word/media/rId36.png" ContentType="image/png"/>
  <Override PartName="/word/media/rId41.png" ContentType="image/png"/>
  <Override PartName="/word/media/rId39.png" ContentType="image/png"/>
  <Override PartName="/word/media/rId49.png" ContentType="image/png"/>
  <Override PartName="/word/media/rId50.png" ContentType="image/png"/>
  <Override PartName="/word/media/rId3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Heading1"/>
      </w:pPr>
      <w:bookmarkStart w:id="21" w:name="abstract"/>
      <w:bookmarkEnd w:id="21"/>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2" w:name="introduction"/>
      <w:bookmarkEnd w:id="22"/>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3" w:name="materials-and-methods"/>
      <w:bookmarkEnd w:id="23"/>
      <w:r>
        <w:t xml:space="preserve">3.3 Materials and Methods</w:t>
      </w:r>
    </w:p>
    <w:p>
      <w:pPr>
        <w:pStyle w:val="Heading2"/>
      </w:pPr>
      <w:bookmarkStart w:id="24" w:name="whole-tree-chamber-experimental-design"/>
      <w:bookmarkEnd w:id="24"/>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5" w:name="leaf-gas-exchange-online-carbon-isotope-discrimination-and-mesophyll-conductance"/>
      <w:bookmarkEnd w:id="25"/>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6" w:name="biochemical-parameters-of-photosynthesis"/>
      <w:bookmarkEnd w:id="26"/>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7" w:name="leaf-chemistry-and-hydraulic-parameters"/>
      <w:bookmarkEnd w:id="27"/>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28" w:name="data-analysis"/>
      <w:bookmarkEnd w:id="28"/>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29" w:name="results"/>
      <w:bookmarkEnd w:id="29"/>
      <w:r>
        <w:t xml:space="preserve">3.4 Results</w:t>
      </w:r>
    </w:p>
    <w:p>
      <w:pPr>
        <w:pStyle w:val="Heading2"/>
      </w:pPr>
      <w:bookmarkStart w:id="30" w:name="leaf-resource-distribution"/>
      <w:bookmarkEnd w:id="30"/>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2" w:name="photosynthetic-capacity-and-leaf-photosynthesis-rates"/>
      <w:bookmarkEnd w:id="32"/>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3"/>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4" w:name="stomatal-conductance-and-leaf-water-use-efficiency"/>
      <w:bookmarkEnd w:id="34"/>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6"/>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8" w:name="leaf-carbon-isotope-discrimination-and-mesophyll-conductance"/>
      <w:bookmarkEnd w:id="38"/>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0" w:name="variation-in-intercellular-and-chloroplastic-co2-concentrations"/>
      <w:bookmarkEnd w:id="40"/>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1"/>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2" w:name="discussion"/>
      <w:bookmarkEnd w:id="42"/>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3" w:name="resource-distribution-and-photosynthetic-capacity"/>
      <w:bookmarkEnd w:id="43"/>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4" w:name="physiological-behaviour-of-sun-and-shade-leaves"/>
      <w:bookmarkEnd w:id="44"/>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5" w:name="conclusions"/>
      <w:bookmarkEnd w:id="45"/>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6" w:name="supporting-information"/>
      <w:bookmarkEnd w:id="46"/>
      <w:r>
        <w:t xml:space="preserve">3.6 Supporting Information</w:t>
      </w:r>
    </w:p>
    <w:p>
      <w:pPr>
        <w:pStyle w:val="FirstParagraph"/>
      </w:pPr>
      <w:r>
        <w:drawing>
          <wp:inline>
            <wp:extent cx="5422900" cy="698306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7"/>
                    <a:stretch>
                      <a:fillRect/>
                    </a:stretch>
                  </pic:blipFill>
                  <pic:spPr bwMode="auto">
                    <a:xfrm>
                      <a:off x="0" y="0"/>
                      <a:ext cx="5422900" cy="6983060"/>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49"/>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1" w:name="references"/>
      <w:bookmarkEnd w:id="51"/>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CO_2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w:t>
      </w:r>
      <w:r>
        <w:t xml:space="preserve"> </w:t>
      </w:r>
      <w:r>
        <w:rPr>
          <w:i/>
        </w:rPr>
        <w:t xml:space="preserve">Sequoia sempervirens</w:t>
      </w:r>
      <w:r>
        <w:t xml:space="preserve"> </w:t>
      </w:r>
      <w:r>
        <w:t xml:space="preserve">(D.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CO_2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[CO_2]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CO_2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CO_2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CO_2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CO_2: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CO_2 conductance and CO_2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CO_2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CO_2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CO_2 do not affect the mesophyll conductance to CO_2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CO_2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CO_2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CO_2 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78a1b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