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Stomatal and mesophyll conductance should not be considered independent of each other</w:t>
      </w:r>
      <w:r>
        <w:t xml:space="preserve"> </w:t>
      </w:r>
      <w:r>
        <w:t xml:space="preserve">(Griffiths and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 et al.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 et al.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 where k=0.5</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 et al.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9ffc0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52"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2"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