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3.png" ContentType="image/png"/>
  <Override PartName="/word/media/rId49.png" ContentType="image/png"/>
  <Override PartName="/word/media/rId40.png" ContentType="image/png"/>
  <Override PartName="/word/media/rId42.png" ContentType="image/png"/>
  <Override PartName="/word/media/rId45.png" ContentType="image/png"/>
  <Override PartName="/word/media/rId44.png" ContentType="image/png"/>
  <Override PartName="/word/media/rId47.png" ContentType="image/png"/>
  <Override PartName="/word/media/rId48.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Near</w:t>
      </w:r>
      <w:r>
        <w:t xml:space="preserve"> </w:t>
      </w:r>
      <w:r>
        <w:t xml:space="preserve">instantaneous</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a changing climate.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photosynthesis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not likely adaptable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for evaluating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hypothesese are as follows:</w:t>
      </w:r>
    </w:p>
    <w:p>
      <w:r>
        <w:br w:type="textWrapping"/>
      </w:r>
      <w:r>
        <w:t xml:space="preserve">1. If whole tree canopies are optimized for C gain, then leaf N, K and photosynthetic capacity were predicted to be higher in full sun leaves. 2. Under comparable leaf VPD, g</w:t>
      </w:r>
      <w:r>
        <w:rPr>
          <w:vertAlign w:val="subscript"/>
        </w:rPr>
        <w:t xml:space="preserve">s</w:t>
      </w:r>
      <w:r>
        <w:t xml:space="preserve"> </w:t>
      </w:r>
      <w:r>
        <w:t xml:space="preserve">and A should exhibit theoretical optimal behaviour across both sun and shade leaves, while g</w:t>
      </w:r>
      <w:r>
        <w:rPr>
          <w:vertAlign w:val="subscript"/>
        </w:rPr>
        <w:t xml:space="preserve">m</w:t>
      </w:r>
      <w:r>
        <w:t xml:space="preserve"> </w:t>
      </w:r>
      <w:r>
        <w:t xml:space="preserve">was predicted to scale positively with photosynthetic capacity. 3. As shade leaves are constrained by their underlying biochemistry and slow physiological responses, increases in A following sunfleck simulations were not expected to reach levels of full sun leaves. 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 The CO</w:t>
      </w:r>
      <w:r>
        <w:rPr>
          <w:vertAlign w:val="subscript"/>
        </w:rPr>
        <w:t xml:space="preserve">2</w:t>
      </w:r>
      <w:r>
        <w:t xml:space="preserve"> </w:t>
      </w:r>
      <w:r>
        <w:t xml:space="preserve">concentration inside the chamber was set to match outside air, tracking diurnal changes. Due to the temperature treatment air humidity was not explicitly controlled.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 All leaves were selected and flagged 24 hours prior to initiation of measurements.</w:t>
      </w:r>
    </w:p>
    <w:p>
      <w:r>
        <w:br w:type="textWrapping"/>
      </w:r>
      <w:r>
        <w:t xml:space="preserve">Prior to gas exchange measurements photosynthetic photon flux density (PPFD) was recorded at the individual leaf level and at the canopy position for each selected leaf. A hand-held photosynthetically available radiation meter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w:t>
      </w:r>
      <w:r>
        <w:t xml:space="preserve"> </w:t>
      </w:r>
      <w:r>
        <w:t xml:space="preserve">(Evans</w:t>
      </w:r>
      <w:r>
        <w:t xml:space="preserve"> </w:t>
      </w:r>
      <w:r>
        <w:rPr>
          <w:i/>
        </w:rPr>
        <w:t xml:space="preserve">et al.</w:t>
      </w:r>
      <w:r>
        <w:t xml:space="preserve">, 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fractionataion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r>
                  <m:rPr>
                    <m:sty m:val="p"/>
                  </m:rPr>
                  <m:t>a</m:t>
                </m:r>
                <m:r>
                  <m:rPr>
                    <m:sty m:val="p"/>
                  </m:rPr>
                  <m:t>′</m:t>
                </m:r>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a~b (2.9‰) is the fractionation from boundary layer diffusion and a is the fractionation due to diffusion in air~(4.4‰)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 **(von Caemmerer 1981). The ternary effect corrections (t) are desribed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arispaces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w:t>
      </w:r>
      <w:r>
        <w:rPr>
          <w:b/>
        </w:rPr>
        <w:t xml:space="preserve">???</w:t>
      </w:r>
      <w:r>
        <w:t xml:space="preserve">)</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resgression,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leaf photosynthesis as a functions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significantly higher in sun leaves than in shade leaves (p &lt; 0.001) by ca. 20%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environoment (P &lt; 0.001,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across all leaf types and treatments did not vary according across the leaf temperatures measured in this study or time of year (Figure S1a).</w:t>
      </w:r>
    </w:p>
    <w:p>
      <w:r>
        <w:br w:type="textWrapping"/>
      </w:r>
      <w:r>
        <w:t xml:space="preserve">The photsynthetic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(P &lt; 0.001 &amp; P = 0.02, respectively), as evident from AC</w:t>
      </w:r>
      <w:r>
        <w:rPr>
          <w:vertAlign w:val="subscript"/>
        </w:rPr>
        <w:t xml:space="preserve">i</w:t>
      </w:r>
      <w:r>
        <w:t xml:space="preserve"> </w:t>
      </w:r>
      <w:r>
        <w:t xml:space="preserve">curves from each chamber (Figure 3a). No effect of the warming treatment was detected on either parameter (Table 1). Within individual chambers Vc</w:t>
      </w:r>
      <w:r>
        <w:rPr>
          <w:vertAlign w:val="subscript"/>
        </w:rPr>
        <w:t xml:space="preserve">max</w:t>
      </w:r>
      <w:r>
        <w:t xml:space="preserve"> </w:t>
      </w:r>
      <w:r>
        <w:t xml:space="preserve">was postively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postively related to A across gas exchange campaigns and leaf types (P &lt; 0.001, Figure 3c). As Vc</w:t>
      </w:r>
      <w:r>
        <w:rPr>
          <w:vertAlign w:val="subscript"/>
        </w:rPr>
        <w:t xml:space="preserve">max</w:t>
      </w:r>
      <w:r>
        <w:t xml:space="preserve"> </w:t>
      </w:r>
      <w:r>
        <w:t xml:space="preserve">is condisdered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(P = 0.001, Table 2). Following an increase in available light, ITE of shade leaves did not differ from shade leaves at low light and was still significantly lower than sun leaves (P &lt; 0.001). ITE in sun leaves was reduced in the warming treatment (P = 0.021) but no effect was noted in shade leaves with low or high light.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Across leaf types and light treatments the response of VPD to leaf temperature was similar across all measurement campaigns (Figure S2a)</w:t>
      </w:r>
    </w:p>
    <w:p>
      <w:r>
        <w:t xml:space="preserve">Leaf</w:t>
      </w:r>
      <w:r>
        <w:t xml:space="preserve"> </w:t>
      </w:r>
      <m:oMath>
        <m:r>
          <m:rPr>
            <m:sty m:val="p"/>
          </m:rPr>
          <m:t>δ</m:t>
        </m:r>
      </m:oMath>
      <w:r>
        <w:rPr>
          <w:vertAlign w:val="superscript"/>
        </w:rPr>
        <w:t xml:space="preserve">13</w:t>
      </w:r>
      <w:r>
        <w:t xml:space="preserve">C, as an index of water use efficiencey</w:t>
      </w:r>
      <w:r>
        <w:t xml:space="preserve"> </w:t>
      </w:r>
      <w:r>
        <w:t xml:space="preserve">(Marshall</w:t>
      </w:r>
      <w:r>
        <w:t xml:space="preserve"> </w:t>
      </w:r>
      <w:r>
        <w:rPr>
          <w:i/>
        </w:rPr>
        <w:t xml:space="preserve">et al.</w:t>
      </w:r>
      <w:r>
        <w:t xml:space="preserve">, 2007)</w:t>
      </w:r>
      <w:r>
        <w:t xml:space="preserve">, significantly decreased from sun leaves to shade leaves by ca. 2‰ (p &lt; 0.001,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r>
        <w:rPr>
          <w:i/>
        </w:rPr>
        <w:t xml:space="preserve">leaf 13C with leaf N and what this stands for</w:t>
      </w:r>
    </w:p>
    <w:p>
      <w:pPr>
        <w:pStyle w:val="Heading2"/>
      </w:pPr>
      <w:bookmarkStart w:id="33" w:name="stomatal-conductance-mesophyll-conductance-and-co2-drawdown"/>
      <w:bookmarkEnd w:id="33"/>
      <w:r>
        <w:t xml:space="preserve">Stomatal conductance, mesophyll conductance and CO</w:t>
      </w:r>
      <w:r>
        <w:rPr>
          <w:vertAlign w:val="subscript"/>
        </w:rPr>
        <w:t xml:space="preserve">2</w:t>
      </w:r>
      <w:r>
        <w:t xml:space="preserve"> </w:t>
      </w:r>
      <w:r>
        <w:t xml:space="preserve">drawdown</w:t>
      </w:r>
    </w:p>
    <w:p>
      <w:r>
        <w:t xml:space="preserve">Mean g</w:t>
      </w:r>
      <w:r>
        <w:rPr>
          <w:vertAlign w:val="subscript"/>
        </w:rPr>
        <w:t xml:space="preserve">s</w:t>
      </w:r>
      <w:r>
        <w:t xml:space="preserve"> </w:t>
      </w:r>
      <w:r>
        <w:t xml:space="preserve">was significantly higher in shade compared to sun leaves (+18%), under their local light environment (P = 0.004, Table2). Following an increase in available light, g</w:t>
      </w:r>
      <w:r>
        <w:rPr>
          <w:vertAlign w:val="subscript"/>
        </w:rPr>
        <w:t xml:space="preserve">s</w:t>
      </w:r>
      <w:r>
        <w:t xml:space="preserve"> </w:t>
      </w:r>
      <w:r>
        <w:t xml:space="preserve">of shade leaves was significantly greater than both shade leaves at low light and sun leaves (P &lt; 0.001, Figure 5a). In sun leaves, g</w:t>
      </w:r>
      <w:r>
        <w:rPr>
          <w:vertAlign w:val="subscript"/>
        </w:rPr>
        <w:t xml:space="preserve">s</w:t>
      </w:r>
      <w:r>
        <w:t xml:space="preserve"> </w:t>
      </w:r>
      <w:r>
        <w:t xml:space="preserve">and A showed optimal behavior</w:t>
      </w:r>
      <w:r>
        <w:t xml:space="preserve"> </w:t>
      </w:r>
      <w:r>
        <w:rPr>
          <w:i/>
        </w:rPr>
        <w:t xml:space="preserve">as in (cite)</w:t>
      </w:r>
      <w:r>
        <w:t xml:space="preserve"> </w:t>
      </w:r>
      <w:r>
        <w:t xml:space="preserve">with diminishing rates of A with highest values of g</w:t>
      </w:r>
      <w:r>
        <w:rPr>
          <w:vertAlign w:val="subscript"/>
        </w:rPr>
        <w:t xml:space="preserve">s</w:t>
      </w:r>
      <w:r>
        <w:t xml:space="preserve"> </w:t>
      </w:r>
      <w:r>
        <w:t xml:space="preserve">(Figure 6a). However, in shade leaves this relationship was clearly uncoupled. With increased light availability, both increases in A and g</w:t>
      </w:r>
      <w:r>
        <w:rPr>
          <w:vertAlign w:val="subscript"/>
        </w:rPr>
        <w:t xml:space="preserve">s</w:t>
      </w:r>
      <w:r>
        <w:t xml:space="preserve"> </w:t>
      </w:r>
      <w:r>
        <w:t xml:space="preserve">in shade leaves extened the relationship of A and g</w:t>
      </w:r>
      <w:r>
        <w:rPr>
          <w:vertAlign w:val="subscript"/>
        </w:rPr>
        <w:t xml:space="preserve">s</w:t>
      </w:r>
      <w:r>
        <w:t xml:space="preserve"> </w:t>
      </w:r>
      <w:r>
        <w:t xml:space="preserve">seen in sun leaves.</w:t>
      </w:r>
      <w:r>
        <w:br w:type="textWrapping"/>
      </w:r>
      <w:r>
        <w:t xml:space="preserve">The observed carbob isotope discrimination was postively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associtaed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(69.7%pm;0.4 %) and varied little across measurement temperatures, leaf types, or warming treatments. Mean g</w:t>
      </w:r>
      <w:r>
        <w:rPr>
          <w:vertAlign w:val="subscript"/>
        </w:rPr>
        <w:t xml:space="preserve">m</w:t>
      </w:r>
      <w:r>
        <w:t xml:space="preserve"> </w:t>
      </w:r>
      <w:r>
        <w:t xml:space="preserve">was significantly higher in sun compared to shade leaves (+27%), under their local light environment (P &lt; 0.001, Table2). Following an increase in available light, g</w:t>
      </w:r>
      <w:r>
        <w:rPr>
          <w:vertAlign w:val="subscript"/>
        </w:rPr>
        <w:t xml:space="preserve">s</w:t>
      </w:r>
      <w:r>
        <w:t xml:space="preserve"> </w:t>
      </w:r>
      <w:r>
        <w:t xml:space="preserve">of shade leaves was significantly greater than both shade leaves at low light and sun leaves (P &lt; 0.001). Relationships between g</w:t>
      </w:r>
      <w:r>
        <w:rPr>
          <w:vertAlign w:val="subscript"/>
        </w:rPr>
        <w:t xml:space="preserve">m</w:t>
      </w:r>
      <w:r>
        <w:t xml:space="preserve"> </w:t>
      </w:r>
      <w:r>
        <w:t xml:space="preserve">and A were nearly proportional within leaf types and light treatments (Figure 5b,c). Photosynthesis scaled postively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in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or light treatments.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coordiation between gm 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acorss the range of temperatures measured and gas exchange campaigns (Figure S2c and S1c, respectively).</w:t>
      </w:r>
    </w:p>
    <w:p>
      <w:pPr>
        <w:pStyle w:val="Heading1"/>
      </w:pPr>
      <w:bookmarkStart w:id="34" w:name="discussion"/>
      <w:bookmarkEnd w:id="34"/>
      <w:r>
        <w:t xml:space="preserve">Discussion</w:t>
      </w:r>
    </w:p>
    <w:p>
      <w:r>
        <w:t xml:space="preserve">photosynthetic capacity: Mesophyll conductance asymmetrically affects key photosynthetic parameters and an assumption of infinite mesophyll conductance leads to underestimation of the maximum carboxylation rate Vcmax, maximum electron transport rate Jmax</w:t>
      </w:r>
      <w:r>
        <w:t xml:space="preserve"> </w:t>
      </w:r>
      <w:r>
        <w:t xml:space="preserve">(Sun</w:t>
      </w:r>
      <w:r>
        <w:t xml:space="preserve"> </w:t>
      </w:r>
      <w:r>
        <w:rPr>
          <w:i/>
        </w:rPr>
        <w:t xml:space="preserve">et al.</w:t>
      </w:r>
      <w:r>
        <w:t xml:space="preserve">, 2014)</w:t>
      </w:r>
      <w:r>
        <w:t xml:space="preserve">.</w:t>
      </w:r>
    </w:p>
    <w:p>
      <w:pPr>
        <w:pStyle w:val="Heading1"/>
      </w:pPr>
      <w:bookmarkStart w:id="35" w:name="list-of-tables"/>
      <w:bookmarkEnd w:id="35"/>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treament mean(standard error) from AC</w:t>
      </w:r>
      <w:r>
        <w:rPr>
          <w:vertAlign w:val="subscript"/>
        </w:rPr>
        <w:t xml:space="preserve">i</w:t>
      </w:r>
      <w:r>
        <w:t xml:space="preserve"> </w:t>
      </w:r>
      <w:r>
        <w:t xml:space="preserve">curves measured in each chamber before the drought treatment.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6" w:name="list-of-figures"/>
      <w:bookmarkEnd w:id="36"/>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monthyl measurement campaign.</w:t>
      </w:r>
    </w:p>
    <w:p>
      <w:r>
        <w:br w:type="textWrapping"/>
      </w:r>
      <w:r>
        <w:rPr>
          <w:b/>
        </w:rPr>
        <w:t xml:space="preserve">Figure S2</w:t>
      </w:r>
      <w:r>
        <w:t xml:space="preserve">. Reponse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monthyl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predicited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37" w:name="tables"/>
      <w:bookmarkEnd w:id="37"/>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38" w:name="figures"/>
      <w:bookmarkEnd w:id="38"/>
      <w:r>
        <w:t xml:space="preserve">Figures</w:t>
      </w:r>
    </w:p>
    <w:p>
      <w:r>
        <w:rPr>
          <w:b/>
        </w:rPr>
        <w:t xml:space="preserve">airvars goes here</w:t>
      </w:r>
      <w:r>
        <w:t xml:space="preserve"> </w:t>
      </w:r>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1"/>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2"/>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3"/>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5"/>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46" w:name="supporting-information"/>
      <w:bookmarkEnd w:id="46"/>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47"/>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48"/>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0" w:name="references"/>
      <w:bookmarkEnd w:id="50"/>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Sun Y</w:t>
      </w:r>
      <w:r>
        <w:rPr>
          <w:b/>
        </w:rPr>
        <w:t xml:space="preserve">,</w:t>
      </w:r>
      <w:r>
        <w:rPr>
          <w:b/>
        </w:rPr>
        <w:t xml:space="preserve"> </w:t>
      </w:r>
      <w:r>
        <w:rPr>
          <w:b w:val="0"/>
          <w:b/>
        </w:rPr>
        <w:t xml:space="preserve">Gu L</w:t>
      </w:r>
      <w:r>
        <w:rPr>
          <w:b/>
        </w:rPr>
        <w:t xml:space="preserve">,</w:t>
      </w:r>
      <w:r>
        <w:rPr>
          <w:b/>
        </w:rPr>
        <w:t xml:space="preserve"> </w:t>
      </w:r>
      <w:r>
        <w:rPr>
          <w:b w:val="0"/>
          <w:b/>
        </w:rPr>
        <w:t xml:space="preserve">Dickinson RE</w:t>
      </w:r>
      <w:r>
        <w:rPr>
          <w:b/>
        </w:rPr>
        <w:t xml:space="preserve">,</w:t>
      </w:r>
      <w:r>
        <w:rPr>
          <w:b/>
        </w:rPr>
        <w:t xml:space="preserve"> </w:t>
      </w:r>
      <w:r>
        <w:rPr>
          <w:b w:val="0"/>
          <w:b/>
        </w:rPr>
        <w:t xml:space="preserve">Pallardy SG</w:t>
      </w:r>
      <w:r>
        <w:rPr>
          <w:b/>
        </w:rPr>
        <w:t xml:space="preserve">,</w:t>
      </w:r>
      <w:r>
        <w:rPr>
          <w:b/>
        </w:rPr>
        <w:t xml:space="preserve"> </w:t>
      </w:r>
      <w:r>
        <w:rPr>
          <w:b w:val="0"/>
          <w:b/>
        </w:rPr>
        <w:t xml:space="preserve">Baker J</w:t>
      </w:r>
      <w:r>
        <w:rPr>
          <w:b/>
        </w:rPr>
        <w:t xml:space="preserve">,</w:t>
      </w:r>
      <w:r>
        <w:rPr>
          <w:b/>
        </w:rPr>
        <w:t xml:space="preserve"> </w:t>
      </w:r>
      <w:r>
        <w:rPr>
          <w:b w:val="0"/>
          <w:b/>
        </w:rPr>
        <w:t xml:space="preserve">Cao Y</w:t>
      </w:r>
      <w:r>
        <w:rPr>
          <w:b/>
        </w:rPr>
        <w:t xml:space="preserve">,</w:t>
      </w:r>
      <w:r>
        <w:rPr>
          <w:b/>
        </w:rPr>
        <w:t xml:space="preserve"> </w:t>
      </w:r>
      <w:r>
        <w:rPr>
          <w:b w:val="0"/>
          <w:b/>
        </w:rPr>
        <w:t xml:space="preserve">DaMatta FM</w:t>
      </w:r>
      <w:r>
        <w:rPr>
          <w:b/>
        </w:rPr>
        <w:t xml:space="preserve">,</w:t>
      </w:r>
      <w:r>
        <w:rPr>
          <w:b/>
        </w:rPr>
        <w:t xml:space="preserve"> </w:t>
      </w:r>
      <w:r>
        <w:rPr>
          <w:b w:val="0"/>
          <w:b/>
        </w:rPr>
        <w:t xml:space="preserve">Dong X</w:t>
      </w:r>
      <w:r>
        <w:rPr>
          <w:b/>
        </w:rPr>
        <w:t xml:space="preserve">,</w:t>
      </w:r>
      <w:r>
        <w:rPr>
          <w:b/>
        </w:rPr>
        <w:t xml:space="preserve"> </w:t>
      </w:r>
      <w:r>
        <w:rPr>
          <w:b w:val="0"/>
          <w:b/>
        </w:rPr>
        <w:t xml:space="preserve">Ellsworth D</w:t>
      </w:r>
      <w:r>
        <w:rPr>
          <w:b/>
        </w:rPr>
        <w:t xml:space="preserve">,</w:t>
      </w:r>
      <w:r>
        <w:rPr>
          <w:b/>
        </w:rPr>
        <w:t xml:space="preserve"> </w:t>
      </w:r>
      <w:r>
        <w:rPr>
          <w:b w:val="0"/>
          <w:b/>
        </w:rPr>
        <w:t xml:space="preserve">Van Goethem</w:t>
      </w:r>
      <w:r>
        <w:rPr>
          <w:b w:val="0"/>
          <w:b/>
        </w:rPr>
        <w:t xml:space="preserve"> </w:t>
      </w:r>
      <w:r>
        <w:rPr>
          <w:b w:val="0"/>
          <w:b/>
        </w:rPr>
        <w:t xml:space="preserve">D</w:t>
      </w:r>
      <w:r>
        <w:rPr>
          <w:i/>
          <w:b/>
        </w:rPr>
        <w:t xml:space="preserve">et al.</w:t>
      </w:r>
      <w:r>
        <w:t xml:space="preserve"> </w:t>
      </w:r>
      <w:r>
        <w:rPr>
          <w:b/>
        </w:rPr>
        <w:t xml:space="preserve">2014</w:t>
      </w:r>
      <w:r>
        <w:t xml:space="preserve">. Asymmetrical effects of mesophyll conductance on fundamental photosynthetic parameters and their relationships estimated from leaf gas exchange measurements.</w:t>
      </w:r>
      <w:r>
        <w:t xml:space="preserve"> </w:t>
      </w:r>
      <w:r>
        <w:rPr>
          <w:i/>
        </w:rPr>
        <w:t xml:space="preserve">Plant, cell &amp; environment</w:t>
      </w:r>
      <w:r>
        <w:t xml:space="preserve"> </w:t>
      </w:r>
      <w:r>
        <w:rPr>
          <w:b/>
        </w:rPr>
        <w:t xml:space="preserve">37</w:t>
      </w:r>
      <w:r>
        <w:t xml:space="preserve">: 978–994.</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0202f2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cdf9c7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Near instantaneous response of mesophyll conductance to light availability allows shade leaves to lie in wait</dc:title>
  <dc:creator/>
</cp:coreProperties>
</file>