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</w:p>
    <w:p>
      <w:pPr>
        <w:pStyle w:val="Author"/>
      </w:pPr>
      <w:r>
        <w:t xml:space="preserve"/>
      </w:r>
    </w:p>
    <w:p>
      <w:pPr>
        <w:pStyle w:val="Date"/>
      </w:pPr>
      <w:r>
        <w:t xml:space="preserve"/>
      </w:r>
    </w:p>
    <w:p>
      <w:pPr>
        <w:pStyle w:val="Heading2"/>
      </w:pPr>
      <w:bookmarkStart w:id="21" w:name="site-description"/>
      <w:bookmarkEnd w:id="21"/>
      <w:r>
        <w:t xml:space="preserve">Site description</w:t>
      </w:r>
    </w:p>
    <w:p>
      <w:pPr>
        <w:pStyle w:val="Heading2"/>
      </w:pPr>
      <w:bookmarkStart w:id="22" w:name="leaf-gas-exchange-coupled-with-concurrent-measurements-of-carbon-isotope-discrimination-to-estimate-mesophyll-conductance"/>
      <w:bookmarkEnd w:id="22"/>
      <w:r>
        <w:t xml:space="preserve">Leaf gas exchange, coupled with concurrent measurements of carbon isotope discrimination to estimate mesophyll conductance</w:t>
      </w:r>
    </w:p>
    <w:p>
      <w:pPr>
        <w:pStyle w:val="FirstParagraph"/>
      </w:pPr>
      <w:r>
        <w:t xml:space="preserve">Leaf gas exchange measurements were performed between October 22</w:t>
      </w:r>
      <w:r>
        <w:rPr>
          <w:vertAlign w:val="superscript"/>
        </w:rPr>
        <w:t xml:space="preserve">nd</w:t>
      </w:r>
      <w:r>
        <w:t xml:space="preserve"> </w:t>
      </w:r>
      <w:r>
        <w:t xml:space="preserve">- 30</w:t>
      </w:r>
      <w:r>
        <w:rPr>
          <w:vertAlign w:val="superscript"/>
        </w:rPr>
        <w:t xml:space="preserve">th</w:t>
      </w:r>
      <w:r>
        <w:t xml:space="preserve">, 2014 at the EucFACE experiment. Measurements were taken on representative fully expanded leaves for the upper and lower canopy of 2 trees in each experimental ring. Small branches, including the measurement leaf, were clipped and re-cut under water prior to gas exchange measurements. Due to an insect outbreak in 2 of the ambient [CO</w:t>
      </w:r>
      <w:r>
        <w:rPr>
          <w:vertAlign w:val="subscript"/>
        </w:rPr>
        <w:t xml:space="preserve">2</w:t>
      </w:r>
      <w:r>
        <w:t xml:space="preserve">] control rings during the measurement period some leaves were sampled in the nearest unaffected tree to the border of the experimental ring (rings 3 &amp; 6).</w:t>
      </w:r>
    </w:p>
    <w:p>
      <w:pPr>
        <w:pStyle w:val="BodyText"/>
      </w:pPr>
      <w:r>
        <w:br w:type="textWrapping"/>
      </w:r>
      <w:r>
        <w:t xml:space="preserve">Simultaneous gas exchange and C isotope discrimination measurements were conducted based on methods described in</w:t>
      </w:r>
      <w:r>
        <w:t xml:space="preserve"> </w:t>
      </w:r>
      <w:r>
        <w:t xml:space="preserve">Tazoe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(2011)</w:t>
      </w:r>
      <w:r>
        <w:t xml:space="preserve"> </w:t>
      </w:r>
      <w:r>
        <w:t xml:space="preserve">and</w:t>
      </w:r>
      <w:r>
        <w:t xml:space="preserve"> </w:t>
      </w:r>
      <w:r>
        <w:t xml:space="preserve">Evans &amp; von Caemmerer (2013)</w:t>
      </w:r>
      <w:r>
        <w:t xml:space="preserve">. Leaf level gas exchange was measured with a 2 x 3 cm leaf cuvette and red/blue light source using a portable gas exchange system (LI-6400XT, LI-COR, Lincoln, NE, USA). The gas exchange system was coupled with a tunable diode laser (TDL; TGA100,Campbell Scientific, Inc., Logan, UT, USA) for measurements of</w:t>
      </w:r>
      <w:r>
        <w:t xml:space="preserve"> </w:t>
      </w:r>
      <w:r>
        <w:rPr>
          <w:vertAlign w:val="superscript"/>
        </w:rPr>
        <w:t xml:space="preserve">13</w:t>
      </w:r>
      <w:r>
        <w:t xml:space="preserve">C isotope discrimination. The CO</w:t>
      </w:r>
      <w:r>
        <w:rPr>
          <w:vertAlign w:val="subscript"/>
        </w:rPr>
        <w:t xml:space="preserve">2</w:t>
      </w:r>
      <w:r>
        <w:t xml:space="preserve"> </w:t>
      </w:r>
      <w:r>
        <w:t xml:space="preserve">in the reference cell was set at a [CO</w:t>
      </w:r>
      <w:r>
        <w:rPr>
          <w:vertAlign w:val="subscript"/>
        </w:rPr>
        <w:t xml:space="preserve">2</w:t>
      </w:r>
      <w:r>
        <w:t xml:space="preserve">] that allowed an ambient atmospheric [CO</w:t>
      </w:r>
      <w:r>
        <w:rPr>
          <w:vertAlign w:val="subscript"/>
        </w:rPr>
        <w:t xml:space="preserve">2</w:t>
      </w:r>
      <w:r>
        <w:t xml:space="preserve">] (400 ppm) in the sample cell to be achieved. This CO</w:t>
      </w:r>
      <w:r>
        <w:rPr>
          <w:vertAlign w:val="subscript"/>
        </w:rPr>
        <w:t xml:space="preserve">2</w:t>
      </w:r>
      <w:r>
        <w:t xml:space="preserve"> </w:t>
      </w:r>
      <w:r>
        <w:t xml:space="preserve">set point in the reference cell depends on the actual leaf photosynthetic rate, which was approximately +10-15 ppm CO</w:t>
      </w:r>
      <w:r>
        <w:rPr>
          <w:vertAlign w:val="subscript"/>
        </w:rPr>
        <w:t xml:space="preserve">2</w:t>
      </w:r>
      <w:r>
        <w:t xml:space="preserve">. Once these measurements were completed the [CO</w:t>
      </w:r>
      <w:r>
        <w:rPr>
          <w:vertAlign w:val="subscript"/>
        </w:rPr>
        <w:t xml:space="preserve">2</w:t>
      </w:r>
      <w:r>
        <w:t xml:space="preserve">] was increased in the reference cell to achieve the elevated atmospheric [CO</w:t>
      </w:r>
      <w:r>
        <w:rPr>
          <w:vertAlign w:val="subscript"/>
        </w:rPr>
        <w:t xml:space="preserve">2</w:t>
      </w:r>
      <w:r>
        <w:t xml:space="preserve">] of the EucFACE experiment (550 ppm) in the sample cell. The Leaf temperature were controlled at 25&amp;degC, measurements were made at ambient air humidity and the flow rate was set at 200</w:t>
      </w:r>
      <w:r>
        <w:t xml:space="preserve"> </w:t>
      </w:r>
      <m:oMath>
        <m:r>
          <m:t>μ</m:t>
        </m:r>
      </m:oMath>
      <w:r>
        <w:t xml:space="preserve">mol s</w:t>
      </w:r>
      <w:r>
        <w:rPr>
          <w:vertAlign w:val="superscript"/>
        </w:rPr>
        <w:t xml:space="preserve">-1</w:t>
      </w:r>
      <w:r>
        <w:t xml:space="preserve">. Gas exchange data were autologged every 10 s for a total of 12 min.</w:t>
      </w:r>
    </w:p>
    <w:p>
      <w:pPr>
        <w:pStyle w:val="BodyText"/>
      </w:pPr>
      <w:r>
        <w:br w:type="textWrapping"/>
      </w:r>
      <w:r>
        <w:t xml:space="preserve">Once 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water vapour flux values were stable for each leaf measurement, the sample and reference gas lines were diverted to the TDL via T-junctions inserted into the reference gas tube and match valve outlet of the LI-6400XT. The gas streams were dried by passing through napion gas dryers in the respective gas lines and then</w:t>
      </w:r>
      <w:r>
        <w:t xml:space="preserve"> </w:t>
      </w:r>
      <w:r>
        <w:rPr>
          <w:vertAlign w:val="superscript"/>
        </w:rPr>
        <w:t xml:space="preserve">12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perscript"/>
        </w:rPr>
        <w:t xml:space="preserve">13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concentrations were measured for each gas stream by the TDL. Reference, sample and two calibration gases were run on alternating 80 s loops (20 s each) for the same 12 min period as gas exchange. TDL data were averaged over the last 10 s of reference line and sample line gas streams over each loop for calculations. The two calibration gases were drawn from compressed air tanks (330 and 740 ppm CO</w:t>
      </w:r>
      <w:r>
        <w:rPr>
          <w:vertAlign w:val="subscript"/>
        </w:rPr>
        <w:t xml:space="preserve">2</w:t>
      </w:r>
      <w:r>
        <w:t xml:space="preserve">) in order to correct for gain drift of the TDL on each measurement cycle.</w:t>
      </w:r>
    </w:p>
    <w:p>
      <w:pPr>
        <w:pStyle w:val="BodyText"/>
      </w:pPr>
      <w:r>
        <w:br w:type="textWrapping"/>
      </w:r>
      <w:r>
        <w:t xml:space="preserve">Mesophyll conductance was calculated from carbon isotope discrimination with equations and fractionation factors as presented in</w:t>
      </w:r>
      <w:r>
        <w:t xml:space="preserve"> </w:t>
      </w:r>
      <w:r>
        <w:t xml:space="preserve">Evans &amp; von Caemmerer (2013)</w:t>
      </w:r>
      <w:r>
        <w:t xml:space="preserve">, including the ternary corrections proposed by</w:t>
      </w:r>
      <w:r>
        <w:t xml:space="preserve"> </w:t>
      </w:r>
      <w:r>
        <w:t xml:space="preserve">Farquhar &amp; Cernusak (2012)</w:t>
      </w:r>
      <w:r>
        <w:t xml:space="preserve">. Here, the CO</w:t>
      </w:r>
      <w:r>
        <w:rPr>
          <w:vertAlign w:val="subscript"/>
        </w:rPr>
        <w:t xml:space="preserve">2</w:t>
      </w:r>
      <w:r>
        <w:t xml:space="preserve"> </w:t>
      </w:r>
      <w:r>
        <w:t xml:space="preserve">compensation point (</w:t>
      </w:r>
      <m:oMath>
        <m:sSub>
          <m:e>
            <m:r>
              <m:t>Γ</m:t>
            </m:r>
          </m:e>
          <m:sub>
            <m:r>
              <m:t>*</m:t>
            </m:r>
          </m:sub>
        </m:sSub>
      </m:oMath>
      <w:r>
        <w:t xml:space="preserve">) and respiration during the day (R</w:t>
      </w:r>
      <w:r>
        <w:rPr>
          <w:vertAlign w:val="subscript"/>
        </w:rPr>
        <w:t xml:space="preserve">d</w:t>
      </w:r>
      <w:r>
        <w:t xml:space="preserve">) parameters originally derived for tobacco plants</w:t>
      </w:r>
      <w:r>
        <w:t xml:space="preserve"> </w:t>
      </w:r>
      <w:r>
        <w:t xml:space="preserve">(von Caemmerer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1994)</w:t>
      </w:r>
      <w:r>
        <w:t xml:space="preserve"> </w:t>
      </w:r>
      <w:r>
        <w:t xml:space="preserve">were replaced with parameters derived for</w:t>
      </w:r>
      <w:r>
        <w:t xml:space="preserve"> </w:t>
      </w:r>
      <w:r>
        <w:rPr>
          <w:i/>
        </w:rPr>
        <w:t xml:space="preserve">Eucalyptus globulus</w:t>
      </w:r>
      <w:r>
        <w:t xml:space="preserve"> </w:t>
      </w:r>
      <w:r>
        <w:t xml:space="preserve">from</w:t>
      </w:r>
      <w:r>
        <w:t xml:space="preserve"> </w:t>
      </w:r>
      <w:r>
        <w:t xml:space="preserve">Crous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(2012)</w:t>
      </w:r>
      <w:r>
        <w:t xml:space="preserve"> </w:t>
      </w:r>
      <w:r>
        <w:t xml:space="preserve">when calculating</w:t>
      </w:r>
      <w:r>
        <w:t xml:space="preserve"> </w:t>
      </w:r>
      <w:r>
        <w:rPr>
          <w:i/>
        </w:rPr>
        <w:t xml:space="preserve">g</w:t>
      </w:r>
      <w:r>
        <w:rPr>
          <w:vertAlign w:val="subscript"/>
        </w:rPr>
        <w:t xml:space="preserve">m</w:t>
      </w:r>
      <w:r>
        <w:t xml:space="preserve">. Full descriptions of this method, including carbon isotope discrimination equations with ternary corrections, can be found at</w:t>
      </w:r>
      <w:r>
        <w:t xml:space="preserve"> </w:t>
      </w:r>
      <w:r>
        <w:t xml:space="preserve">(Campany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2016)</w:t>
      </w:r>
      <w:r>
        <w:t xml:space="preserve">.</w:t>
      </w:r>
    </w:p>
    <w:p>
      <w:pPr>
        <w:pStyle w:val="BodyText"/>
      </w:pPr>
      <w:r>
        <w:br w:type="textWrapping"/>
      </w:r>
      <w:r>
        <w:t xml:space="preserve">Once</w:t>
      </w:r>
      <w:r>
        <w:t xml:space="preserve"> </w:t>
      </w:r>
      <w:r>
        <w:rPr>
          <w:i/>
        </w:rPr>
        <w:t xml:space="preserve">g</w:t>
      </w:r>
      <w:r>
        <w:rPr>
          <w:vertAlign w:val="subscript"/>
        </w:rPr>
        <w:t xml:space="preserve">m</w:t>
      </w:r>
      <w:r>
        <w:t xml:space="preserve"> </w:t>
      </w:r>
      <w:r>
        <w:t xml:space="preserve">was calculated,</w:t>
      </w:r>
      <w:r>
        <w:t xml:space="preserve"> </w:t>
      </w:r>
      <w:r>
        <w:rPr>
          <w:i/>
        </w:rPr>
        <w:t xml:space="preserve">C</w:t>
      </w:r>
      <w:r>
        <w:rPr>
          <w:vertAlign w:val="subscript"/>
        </w:rPr>
        <w:t xml:space="preserve">c</w:t>
      </w:r>
      <w:r>
        <w:t xml:space="preserve"> </w:t>
      </w:r>
      <w:r>
        <w:t xml:space="preserve">and the drawdown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from the intercellular air spaces to the site of carboxylation were estimated from the relationship between</w:t>
      </w:r>
      <w:r>
        <w:t xml:space="preserve"> </w:t>
      </w:r>
      <w:r>
        <w:rPr>
          <w:i/>
        </w:rPr>
        <w:t xml:space="preserve">g</w:t>
      </w:r>
      <w:r>
        <w:rPr>
          <w:vertAlign w:val="subscript"/>
        </w:rPr>
        <w:t xml:space="preserve">m</w:t>
      </w:r>
      <w:r>
        <w:t xml:space="preserve"> </w:t>
      </w:r>
      <w:r>
        <w:t xml:space="preserve">and leaf photosynthesis rate (</w:t>
      </w:r>
      <w:r>
        <w:rPr>
          <w:i/>
        </w:rPr>
        <w:t xml:space="preserve">A</w:t>
      </w:r>
      <w:r>
        <w:rPr>
          <w:vertAlign w:val="subscript"/>
        </w:rPr>
        <w:t xml:space="preserve">n</w:t>
      </w:r>
      <w:r>
        <w:t xml:space="preserve">) by:</w:t>
      </w:r>
    </w:p>
    <w:p>
      <w:pPr>
        <w:pStyle w:val="BodyText"/>
      </w:pPr>
      <w:r>
        <w:br w:type="textWrapping"/>
      </w:r>
      <w:r>
        <w:t xml:space="preserve">(1)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m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t>C</m:t>
                  </m:r>
                </m:e>
                <m:sub>
                  <m:r>
                    <m:t>c</m:t>
                  </m:r>
                </m:sub>
              </m:sSub>
            </m:den>
          </m:f>
        </m:oMath>
      </m:oMathPara>
    </w:p>
    <w:p>
      <w:pPr>
        <w:pStyle w:val="Heading1"/>
      </w:pPr>
      <w:bookmarkStart w:id="23" w:name="references"/>
      <w:bookmarkEnd w:id="23"/>
      <w:r>
        <w:t xml:space="preserve">References</w:t>
      </w:r>
    </w:p>
    <w:p>
      <w:pPr>
        <w:pStyle w:val="Bibliography"/>
      </w:pPr>
      <w:r>
        <w:t xml:space="preserve">Campany C.E., Tjoelker M.G., Caemmerer S. &amp; Duursma R.A. (2016) Coupled response of stomatal and mesophyll conductance to light enhances photosynthesis of shade leaves under sunflecks.</w:t>
      </w:r>
      <w:r>
        <w:t xml:space="preserve"> </w:t>
      </w:r>
      <w:r>
        <w:rPr>
          <w:i/>
        </w:rPr>
        <w:t xml:space="preserve">Plant, Cell &amp; Environment</w:t>
      </w:r>
      <w:r>
        <w:t xml:space="preserve"> </w:t>
      </w:r>
      <w:r>
        <w:rPr>
          <w:b/>
        </w:rPr>
        <w:t xml:space="preserve">39</w:t>
      </w:r>
      <w:r>
        <w:t xml:space="preserve">, 2762–2773.</w:t>
      </w:r>
    </w:p>
    <w:p>
      <w:pPr>
        <w:pStyle w:val="Bibliography"/>
      </w:pPr>
      <w:r>
        <w:t xml:space="preserve">Crous K.Y., Zaragoza-Castells J., Ellsworth D.S., Duursma R.A., Loew M., Tissue D.T. &amp; Atkin O.K. (2012) Light inhibition of leaf respiration in field-grown</w:t>
      </w:r>
      <w:r>
        <w:t xml:space="preserve"> </w:t>
      </w:r>
      <w:r>
        <w:rPr>
          <w:i/>
        </w:rPr>
        <w:t xml:space="preserve">Eucalyptus saligna</w:t>
      </w:r>
      <w:r>
        <w:t xml:space="preserve"> </w:t>
      </w:r>
      <w:r>
        <w:t xml:space="preserve">in whole-tree chambers under elevated atmospheric 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summer drought.</w:t>
      </w:r>
      <w:r>
        <w:t xml:space="preserve"> </w:t>
      </w:r>
      <w:r>
        <w:rPr>
          <w:i/>
        </w:rPr>
        <w:t xml:space="preserve">Plant, Cell &amp; Environment</w:t>
      </w:r>
      <w:r>
        <w:t xml:space="preserve"> </w:t>
      </w:r>
      <w:r>
        <w:rPr>
          <w:b/>
        </w:rPr>
        <w:t xml:space="preserve">35</w:t>
      </w:r>
      <w:r>
        <w:t xml:space="preserve">, 966–981.</w:t>
      </w:r>
    </w:p>
    <w:p>
      <w:pPr>
        <w:pStyle w:val="Bibliography"/>
      </w:pPr>
      <w:r>
        <w:t xml:space="preserve">Evans J.R. &amp; von Caemmerer S. (2013) Temperature response of carbon isotope discrimination and mesophyll conductance in tobacco.</w:t>
      </w:r>
      <w:r>
        <w:t xml:space="preserve"> </w:t>
      </w:r>
      <w:r>
        <w:rPr>
          <w:i/>
        </w:rPr>
        <w:t xml:space="preserve">Plant, Cell &amp; Environment</w:t>
      </w:r>
      <w:r>
        <w:t xml:space="preserve"> </w:t>
      </w:r>
      <w:r>
        <w:rPr>
          <w:b/>
        </w:rPr>
        <w:t xml:space="preserve">36</w:t>
      </w:r>
      <w:r>
        <w:t xml:space="preserve">, 745–756.</w:t>
      </w:r>
    </w:p>
    <w:p>
      <w:pPr>
        <w:pStyle w:val="Bibliography"/>
      </w:pPr>
      <w:r>
        <w:t xml:space="preserve">Farquhar G.D. &amp; Cernusak L.A. (2012) Ternary effects on the gas exchange of isotopologues of carbon dioxide.</w:t>
      </w:r>
      <w:r>
        <w:t xml:space="preserve"> </w:t>
      </w:r>
      <w:r>
        <w:rPr>
          <w:i/>
        </w:rPr>
        <w:t xml:space="preserve">Plant, Cell &amp; Environment</w:t>
      </w:r>
      <w:r>
        <w:t xml:space="preserve"> </w:t>
      </w:r>
      <w:r>
        <w:rPr>
          <w:b/>
        </w:rPr>
        <w:t xml:space="preserve">35</w:t>
      </w:r>
      <w:r>
        <w:t xml:space="preserve">, 1221–1231.</w:t>
      </w:r>
    </w:p>
    <w:p>
      <w:pPr>
        <w:pStyle w:val="Bibliography"/>
      </w:pPr>
      <w:r>
        <w:t xml:space="preserve">Tazoe Y., von Caemmerer S., Estavillo G.M. &amp; Evans J.R. (2011) Using tunable diode laser spectroscopy to measure carbon isotope discrimination and mesophyll conductance to CO</w:t>
      </w:r>
      <w:r>
        <w:rPr>
          <w:vertAlign w:val="subscript"/>
        </w:rPr>
        <w:t xml:space="preserve">2</w:t>
      </w:r>
      <w:r>
        <w:t xml:space="preserve"> </w:t>
      </w:r>
      <w:r>
        <w:t xml:space="preserve">diffusion dynamically at different CO</w:t>
      </w:r>
      <w:r>
        <w:rPr>
          <w:vertAlign w:val="subscript"/>
        </w:rPr>
        <w:t xml:space="preserve">2</w:t>
      </w:r>
      <w:r>
        <w:t xml:space="preserve"> </w:t>
      </w:r>
      <w:r>
        <w:t xml:space="preserve">concentrations.</w:t>
      </w:r>
      <w:r>
        <w:t xml:space="preserve"> </w:t>
      </w:r>
      <w:r>
        <w:rPr>
          <w:i/>
        </w:rPr>
        <w:t xml:space="preserve">Plant, Cell &amp; Environment</w:t>
      </w:r>
      <w:r>
        <w:t xml:space="preserve"> </w:t>
      </w:r>
      <w:r>
        <w:rPr>
          <w:b/>
        </w:rPr>
        <w:t xml:space="preserve">34</w:t>
      </w:r>
      <w:r>
        <w:t xml:space="preserve">, 580–591.</w:t>
      </w:r>
    </w:p>
    <w:p>
      <w:pPr>
        <w:pStyle w:val="Bibliography"/>
      </w:pPr>
      <w:r>
        <w:t xml:space="preserve">von Caemmerer S., Evans J.R., Hudson G.S. &amp; Andrews T.J. (1994) The kinetics of ribulose-1, 5isphosphate carboxylase/oxygenase in vivo inferred from measurements of photosynthesis in leaves of transgenic tobacco.</w:t>
      </w:r>
      <w:r>
        <w:t xml:space="preserve"> </w:t>
      </w:r>
      <w:r>
        <w:rPr>
          <w:i/>
        </w:rPr>
        <w:t xml:space="preserve">Planta</w:t>
      </w:r>
      <w:r>
        <w:t xml:space="preserve"> </w:t>
      </w:r>
      <w:r>
        <w:rPr>
          <w:b/>
        </w:rPr>
        <w:t xml:space="preserve">195</w:t>
      </w:r>
      <w:r>
        <w:t xml:space="preserve">, 88–97.</w:t>
      </w:r>
    </w:p>
    <w:sectPr w:rsidR="00C05D69" w:rsidSect="00EE50EF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0CF" w:rsidRDefault="000D74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B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10CF" w:rsidRDefault="0024648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A6CD7"/>
    <w:multiLevelType w:val="multilevel"/>
    <w:tmpl w:val="0E482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aafb1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8E2E55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</dc:title>
  <dc:creator/>
  <dcterms:created xsi:type="dcterms:W3CDTF">2017-05-25T00:40:17Z</dcterms:created>
  <dcterms:modified xsi:type="dcterms:W3CDTF">2017-05-25T00:40:17Z</dcterms:modified>
</cp:coreProperties>
</file>