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1</w:t>
      </w:r>
      <w:r>
        <w:br w:type="textWrapping"/>
      </w:r>
      <w:r>
        <w:t xml:space="preserve">General</w:t>
      </w:r>
      <w:r>
        <w:t xml:space="preserve"> </w:t>
      </w:r>
      <w:r>
        <w:t xml:space="preserve">Introduction</w:t>
      </w:r>
    </w:p>
    <w:p>
      <w:pPr>
        <w:pStyle w:val="Heading1"/>
      </w:pPr>
      <w:bookmarkStart w:id="21" w:name="overview"/>
      <w:bookmarkEnd w:id="21"/>
      <w:r>
        <w:t xml:space="preserve">1.1 Overview</w:t>
      </w:r>
    </w:p>
    <w:p>
      <w:pPr>
        <w:pStyle w:val="Heading2"/>
      </w:pPr>
      <w:bookmarkStart w:id="22" w:name="resource-allocation-in-plants"/>
      <w:bookmarkEnd w:id="22"/>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3" w:name="resource-allocation-theory"/>
      <w:bookmarkEnd w:id="23"/>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4" w:name="tree-canopy-resource-gradients"/>
      <w:bookmarkEnd w:id="24"/>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5" w:name="fate-of-assimilated-carbon"/>
      <w:bookmarkEnd w:id="25"/>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6" w:name="eucalyptus-tree-species-as-model-for-research"/>
      <w:bookmarkEnd w:id="26"/>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7" w:name="current-knowledge-gaps"/>
      <w:bookmarkEnd w:id="27"/>
      <w:r>
        <w:t xml:space="preserve">1.2 Current Knowledge Gaps</w:t>
      </w:r>
    </w:p>
    <w:p>
      <w:pPr>
        <w:pStyle w:val="Heading2"/>
      </w:pPr>
      <w:bookmarkStart w:id="28" w:name="resource-allocation-in-trees"/>
      <w:bookmarkEnd w:id="28"/>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pPr>
        <w:pStyle w:val="BodyText"/>
      </w:pPr>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29" w:name="coupling-of-photosynthesis-and-tree-growth"/>
      <w:bookmarkEnd w:id="29"/>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0" w:name="within-canopy-resource-utilization"/>
      <w:bookmarkEnd w:id="30"/>
      <w:r>
        <w:t xml:space="preserve">1.2.3 Within canopy resource utilization</w:t>
      </w:r>
    </w:p>
    <w:p>
      <w:pPr>
        <w:pStyle w:val="FirstParagraph"/>
      </w:pP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1" w:name="thesis-objectives"/>
      <w:bookmarkEnd w:id="31"/>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2" w:name="thesis-outline"/>
      <w:bookmarkEnd w:id="32"/>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3" w:name="references"/>
      <w:bookmarkEnd w:id="33"/>
      <w:r>
        <w:t xml:space="preserve">References</w:t>
      </w:r>
    </w:p>
    <w:p>
      <w:pPr>
        <w:pStyle w:val="Bibliography"/>
      </w:pPr>
      <w:r>
        <w:t xml:space="preserve">Bazzaz FA, Ackerly DD, Reekie EG (2000) Reproductive allocation in plants. Seeds: the ecology of regeneration in plant communities:1–29.</w:t>
      </w:r>
    </w:p>
    <w:p>
      <w:pPr>
        <w:pStyle w:val="Bibliography"/>
      </w:pPr>
      <w:r>
        <w:t xml:space="preserve">Bloom AJ, Chapin FS, Mooney HA (1985) Resource limitation in plants–an economic analogy. Annual review of Ecology and Systematics:363–392.</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CO_2 enrichment sites. New Phytologist 203:883–899.</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Evans JR (1995) Carbon fixation profiles do reflect light absorption profiles in leaves. Functional Plant Biology 22:865–873.</w:t>
      </w:r>
    </w:p>
    <w:p>
      <w:pPr>
        <w:pStyle w:val="Bibliography"/>
      </w:pPr>
      <w:r>
        <w:t xml:space="preserve">Farquhar GD, Sharkey TD (1982) Stomatal conductance and photosynthesis. Annual review of plant physiology 33:317–345.</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Grace J (1997) Toward Models of Resource Allocation by Plants Bazzaz FA, Grace J (eds). Plant Resource Allocation:279–291.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34">
        <w:r>
          <w:rPr>
            <w:rStyle w:val="Hyperlink"/>
          </w:rPr>
          <w:t xml:space="preserve">http://www.environment.nsw.gov.au/determinations/cumberlandplainpd.htm</w:t>
        </w:r>
      </w:hyperlink>
      <w:r>
        <w:t xml:space="preserve"> </w:t>
      </w:r>
      <w:r>
        <w:t xml:space="preserve">(1 January 2015, date last accessed ).</w:t>
      </w:r>
    </w:p>
    <w:p>
      <w:pPr>
        <w:pStyle w:val="Bibliography"/>
      </w:pPr>
      <w:r>
        <w:t xml:space="preserve">IUFRO (2015) International Union of Forestry Research Organizations.</w:t>
      </w:r>
      <w:r>
        <w:t xml:space="preserve"> </w:t>
      </w:r>
      <w:hyperlink r:id="rId35">
        <w:r>
          <w:rPr>
            <w:rStyle w:val="Hyperlink"/>
          </w:rPr>
          <w:t xml:space="preserve">http://www.euciufro2015.com/en/</w:t>
        </w:r>
      </w:hyperlink>
      <w:r>
        <w:t xml:space="preserve"> </w:t>
      </w:r>
      <w:r>
        <w:t xml:space="preserve">(12 August 2015, date last accessed ).</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Jifon JL, Syvertsen JP (2003) Moderate shade can increase net gas exchange and reduce photoinhibition in citrus leaves. Tree physiology 23:119–127.</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CO_2 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Litton CM, Raich JW, Ryan MG (2007) Carbon allocation in forest ecosystems. Global Change Biology 13:2089–2109.</w:t>
      </w:r>
    </w:p>
    <w:p>
      <w:pPr>
        <w:pStyle w:val="Bibliography"/>
      </w:pPr>
      <w:r>
        <w:t xml:space="preserve">Lloyd J, Syvertsen JP, Kriedemann PE, Farquhar GD (1992) Low conductances for CO_2 diffusion from stomata to the sites of carboxylation in leaves of woody species. Plant, Cell &amp; Environment 15:873–899.</w:t>
      </w:r>
    </w:p>
    <w:p>
      <w:pPr>
        <w:pStyle w:val="Bibliography"/>
      </w:pPr>
      <w:r>
        <w:t xml:space="preserve">Monsi M, Saeki T (2005) On the factor light in plant communities and its importance for matter production. Annals of Botany 95:549–567.</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Paul MJ, Foyer CH (2001) Sink regulation of photosynthesis. Journal of experimental botany 52:1383–1400.</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Piel C, Frak E, Le Roux X, Genty B (2002) Effect of local irradiance on CO_2 transfer conductance of mesophyll in walnut. Journal of Experimental Botany 53:2423–2430.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Rocha AV, Goulden ML, Dunn AL, Wofsy SC (2006) On linking interannual tree ring variability with observations of whole-forest CO_2 flux. Global Change Biology 12:1378–1389.</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Shipley B, Meziane D (2002) The balanced-growth hypothesis and the allometry of leaf and root biomass allocation. Functional Ecology 16:326–331.</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Sweet GB, Wareing PF (1966) Role of plant growth in regulating photosynthesis. Nature 210:77–79.</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CO_2 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CO_2 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Zens MS, Webb CO (2002) Sizing up the shape of life. Science 295:1475–1476.</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efb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4" Target="http://www.environment.nsw.gov.au/determinations/cumberlandplainpd.htm" TargetMode="External" /><Relationship Type="http://schemas.openxmlformats.org/officeDocument/2006/relationships/hyperlink" Id="rId35" Target="http://www.euciufro2015.com/en/" TargetMode="External" /></Relationships>
</file>

<file path=word/_rels/footnotes.xml.rels><?xml version="1.0" encoding="UTF-8"?>
<Relationships xmlns="http://schemas.openxmlformats.org/package/2006/relationships"><Relationship Type="http://schemas.openxmlformats.org/officeDocument/2006/relationships/hyperlink" Id="rId34" Target="http://www.environment.nsw.gov.au/determinations/cumberlandplainpd.htm" TargetMode="External" /><Relationship Type="http://schemas.openxmlformats.org/officeDocument/2006/relationships/hyperlink" Id="rId35" Target="http://www.euciufro2015.c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General Introduction</dc:title>
  <dc:creator/>
</cp:coreProperties>
</file>