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1"/>
      </w:pPr>
      <w:bookmarkStart w:id="21" w:name="overview"/>
      <w:bookmarkEnd w:id="21"/>
      <w:r>
        <w:t xml:space="preserve">1.1 Overview</w:t>
      </w:r>
    </w:p>
    <w:p>
      <w:pPr>
        <w:pStyle w:val="Heading2"/>
      </w:pPr>
      <w:bookmarkStart w:id="22" w:name="resource-allocation-in-plants"/>
      <w:bookmarkEnd w:id="22"/>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6" w:name="eucalyptus-tree-species-as-model-for-research"/>
      <w:bookmarkEnd w:id="26"/>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pPr>
        <w:pStyle w:val="BodyText"/>
      </w:pPr>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2"/>
      </w:pPr>
      <w:bookmarkStart w:id="33" w:name="reproducible-reseach"/>
      <w:bookmarkEnd w:id="33"/>
      <w:r>
        <w:t xml:space="preserve">1.4 Reproducible Reseach</w:t>
      </w:r>
    </w:p>
    <w:p>
      <w:pPr>
        <w:pStyle w:val="FirstParagraph"/>
      </w:pPr>
      <w:r>
        <w:t xml:space="preserve">Science is driven by data, yet it is a challenge to ensure that reported experimental data are appropriately described, standardized, archived and available to all</w:t>
      </w:r>
      <w:r>
        <w:t xml:space="preserve"> </w:t>
      </w:r>
      <w:r>
        <w:t xml:space="preserve">(Hanson et al. 2011)</w:t>
      </w:r>
      <w:r>
        <w:t xml:space="preserve">. Reproducibility serves as a minimum standard for judging scientific claims when full independent replication of a study is not possible, which includes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4">
        <w:r>
          <w:rPr>
            <w:rStyle w:val="Hyperlink"/>
          </w:rPr>
          <w:t xml:space="preserve">https://github.com/CourtneyCampany</w:t>
        </w:r>
      </w:hyperlink>
      <w:r>
        <w:t xml:space="preserve">.</w:t>
      </w:r>
    </w:p>
    <w:p>
      <w:pPr>
        <w:pStyle w:val="Heading1"/>
      </w:pPr>
      <w:bookmarkStart w:id="35" w:name="references"/>
      <w:bookmarkEnd w:id="35"/>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Hanson B, Sugden A, Alberts B (2011) Making data maximally available. Science 331:649.</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6">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7">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298af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