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br w:type="textWrapping"/>
      </w:r>
      <w:r>
        <w:t xml:space="preserve">General</w:t>
      </w:r>
      <w:r>
        <w:t xml:space="preserve"> </w:t>
      </w:r>
      <w:r>
        <w:t xml:space="preserve">Introduction</w:t>
      </w:r>
    </w:p>
    <w:p>
      <w:pPr>
        <w:pStyle w:val="Heading1"/>
      </w:pPr>
      <w:bookmarkStart w:id="21" w:name="overview"/>
      <w:bookmarkEnd w:id="21"/>
      <w:r>
        <w:t xml:space="preserve">1.1 Overview</w:t>
      </w:r>
    </w:p>
    <w:p>
      <w:pPr>
        <w:pStyle w:val="Heading2"/>
      </w:pPr>
      <w:bookmarkStart w:id="22" w:name="resource-allocation-in-plants"/>
      <w:bookmarkEnd w:id="22"/>
      <w:r>
        <w:t xml:space="preserve">1.1.1 Resource allocation in plants</w:t>
      </w:r>
    </w:p>
    <w:p>
      <w:pPr>
        <w:pStyle w:val="FirstParagraph"/>
      </w:pPr>
      <w:r>
        <w:t xml:space="preserve">Plants require resources including light, CO</w:t>
      </w:r>
      <w:r>
        <w:rPr>
          <w:vertAlign w:val="subscript"/>
        </w:rPr>
        <w:t xml:space="preserve">2</w:t>
      </w:r>
      <w:r>
        <w:t xml:space="preserve">, water and mineral nutrients to support growth and reproduction. Resource acquisition requires an energy supply,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3" w:name="resource-allocation-theory"/>
      <w:bookmarkEnd w:id="23"/>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are also theorized to be a function of allometric trajectories of plant development,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4" w:name="tree-canopy-resource-gradients"/>
      <w:bookmarkEnd w:id="24"/>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5" w:name="fate-of-assimilated-carbon"/>
      <w:bookmarkEnd w:id="25"/>
      <w:r>
        <w:t xml:space="preserve">1.1.4 Fate of assimilated carbon</w:t>
      </w:r>
    </w:p>
    <w:p>
      <w:pPr>
        <w:pStyle w:val="FirstParagraph"/>
      </w:pPr>
      <w:r>
        <w:t xml:space="preserve">Carbon allocation represents the fraction of gross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 synthesis as a transient C storage sink</w:t>
      </w:r>
      <w:r>
        <w:t xml:space="preserve"> </w:t>
      </w:r>
      <w:r>
        <w:t xml:space="preserve">(Paul and Foyer 2001)</w:t>
      </w:r>
      <w:r>
        <w:t xml:space="preserve">.</w:t>
      </w:r>
    </w:p>
    <w:p>
      <w:pPr>
        <w:pStyle w:val="BodyText"/>
      </w:pP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conceivably possible to track photosynthates from leaf C uptake to their eventual destination in above and belowground pools. Although mass balance approaches can be used to quantitatively assess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6" w:name="eucalyptus-tree-species-as-model-for-research"/>
      <w:bookmarkEnd w:id="26"/>
      <w:r>
        <w:t xml:space="preserve">1.1.5</w:t>
      </w:r>
      <w:r>
        <w:t xml:space="preserve"> </w:t>
      </w:r>
      <w:r>
        <w:rPr>
          <w:i/>
        </w:rPr>
        <w:t xml:space="preserve">Eucalyptus</w:t>
      </w:r>
      <w:r>
        <w:t xml:space="preserve"> </w:t>
      </w:r>
      <w:r>
        <w:t xml:space="preserve">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7" w:name="current-knowledge-gaps"/>
      <w:bookmarkEnd w:id="27"/>
      <w:r>
        <w:t xml:space="preserve">1.2 Current Knowledge Gaps</w:t>
      </w:r>
    </w:p>
    <w:p>
      <w:pPr>
        <w:pStyle w:val="Heading2"/>
      </w:pPr>
      <w:bookmarkStart w:id="28" w:name="resource-allocation-in-trees"/>
      <w:bookmarkEnd w:id="28"/>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as the relative distribution of biomass between different tissue components, should not be confused with the allocation of newly fixed photosynthates to different organs. This is because the measured biomass at any time point represents the cumulative result of potentially dynamic C allocation over time</w:t>
      </w:r>
      <w:r>
        <w:t xml:space="preserve"> </w:t>
      </w:r>
      <w:r>
        <w:t xml:space="preserve">(Poorter et al. 2015)</w:t>
      </w:r>
      <w:r>
        <w:t xml:space="preserve">. This dynamic C allocation includes not only tree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plant C allocation patterns is often assessed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C allocation at any “snapshot” highly unlikely</w:t>
      </w:r>
      <w:r>
        <w:t xml:space="preserve"> </w:t>
      </w:r>
      <w:r>
        <w:t xml:space="preserve">(Shipley and Meziane 2002)</w:t>
      </w:r>
      <w:r>
        <w:t xml:space="preserve">.</w:t>
      </w:r>
    </w:p>
    <w:p>
      <w:pPr>
        <w:pStyle w:val="BodyText"/>
      </w:pPr>
      <w:r>
        <w:br w:type="textWrapping"/>
      </w:r>
      <w:r>
        <w:t xml:space="preserve">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our understanding of how global change impacts C allocation is incomplete</w:t>
      </w:r>
      <w:r>
        <w:t xml:space="preserve"> </w:t>
      </w:r>
      <w:r>
        <w:t xml:space="preserve">(Litton et al. 2007, Warren et al. 2012)</w:t>
      </w:r>
      <w:r>
        <w:t xml:space="preserve">. This knowledge gap of C allocation patterns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29" w:name="coupling-of-photosynthesis-and-tree-growth"/>
      <w:bookmarkEnd w:id="29"/>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total respiratory losses may not correlate with growth because of the dynamics of tissue C storage pools. On longer timescales, however,</w:t>
      </w:r>
      <w:r>
        <w:t xml:space="preserve"> </w:t>
      </w:r>
      <w:r>
        <w:rPr>
          <w:i/>
        </w:rPr>
        <w:t xml:space="preserve">A</w:t>
      </w:r>
      <w:r>
        <w:rPr>
          <w:vertAlign w:val="subscript"/>
          <w:i/>
        </w:rPr>
        <w:t xml:space="preserve">n</w:t>
      </w:r>
      <w:r>
        <w:t xml:space="preserve"> </w:t>
      </w:r>
      <w:r>
        <w:t xml:space="preserve">and tissue respiration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To date studies manipulating either source activity (CO</w:t>
      </w:r>
      <w:r>
        <w:rPr>
          <w:vertAlign w:val="subscript"/>
        </w:rPr>
        <w:t xml:space="preserve">2</w:t>
      </w:r>
      <w:r>
        <w:t xml:space="preserve"> </w:t>
      </w:r>
      <w:r>
        <w:t xml:space="preserve">fumigation or defoliation) or sink activity (fruit removal, girdling or low growth temperatures) have not resulted in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0" w:name="within-canopy-resource-utilization"/>
      <w:bookmarkEnd w:id="30"/>
      <w:r>
        <w:t xml:space="preserve">1.2.3 Within canopy resource utilization</w:t>
      </w:r>
    </w:p>
    <w:p>
      <w:pPr>
        <w:pStyle w:val="FirstParagraph"/>
      </w:pPr>
      <w:r>
        <w:t xml:space="preserve">Due to the relationships between light, N and leaf photosynthetic capacity,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supply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usually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1" w:name="thesis-objectives"/>
      <w:bookmarkEnd w:id="31"/>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 For example,</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Leaf-level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w:t>
      </w:r>
      <w:r>
        <w:t xml:space="preserve"> </w:t>
      </w:r>
      <w:r>
        <w:rPr>
          <w:i/>
        </w:rPr>
        <w:t xml:space="preserve">A</w:t>
      </w:r>
      <w:r>
        <w:rPr>
          <w:vertAlign w:val="subscript"/>
          <w:i/>
        </w:rPr>
        <w:t xml:space="preserve">n</w:t>
      </w:r>
      <w:r>
        <w:t xml:space="preserve"> </w:t>
      </w:r>
      <w:r>
        <w:t xml:space="preserve">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t xml:space="preserve"> </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2" w:name="thesis-outline"/>
      <w:bookmarkEnd w:id="32"/>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was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were related to the capacity of inner canopy leaves to rapidly utilize sunflecks. Empirical data from this experiment improves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drought and elevated CO</w:t>
      </w:r>
      <w:r>
        <w:rPr>
          <w:vertAlign w:val="subscript"/>
        </w:rPr>
        <w:t xml:space="preserve">2</w:t>
      </w:r>
      <w:r>
        <w:t xml:space="preserve"> </w:t>
      </w:r>
      <w:r>
        <w:t xml:space="preserve">treatments in factorial combination. The unique WTC experimental facility measures cumulative net aboveground C fluxes which were compared to canopy leaf area and tree biomass production. A novel framework was also applied to calculate a more reliable estimate of the sensitivity of TBCA to global climate change. I then evaluated how potentially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reproducible-research"/>
      <w:bookmarkEnd w:id="33"/>
      <w:r>
        <w:t xml:space="preserve">1.5 Reproducible Research</w:t>
      </w:r>
    </w:p>
    <w:p>
      <w:pPr>
        <w:pStyle w:val="FirstParagraph"/>
      </w:pPr>
      <w:r>
        <w:t xml:space="preserve">Science and hypothesis testing is driven by data, yet it is a challenge to ensure that reported experimental data are appropriately described, standardized, archived and openly available</w:t>
      </w:r>
      <w:r>
        <w:t xml:space="preserve"> </w:t>
      </w:r>
      <w:r>
        <w:t xml:space="preserve">(Hanson et al. 2011)</w:t>
      </w:r>
      <w:r>
        <w:t xml:space="preserve">. Reproducibility of analyses serves as a minimum standard for judging scientific claims when full independent replication of a study is not possible, which should include making available the data and the computer code used to analyze the data</w:t>
      </w:r>
      <w:r>
        <w:t xml:space="preserve"> </w:t>
      </w:r>
      <w:r>
        <w:t xml:space="preserve">(Peng 2011)</w:t>
      </w:r>
      <w:r>
        <w:t xml:space="preserve">. Not only does creating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compiled as a reproducible document, including R code</w:t>
      </w:r>
      <w:r>
        <w:t xml:space="preserve"> </w:t>
      </w:r>
      <w:r>
        <w:t xml:space="preserve">(R Development Core Team 2011)</w:t>
      </w:r>
      <w:r>
        <w:t xml:space="preserve"> </w:t>
      </w:r>
      <w:r>
        <w:t xml:space="preserve">to analyze data, generate text and create tables/figures, which are all made available for open access. As a result, all necessary information required to reproduce this thesis, in its entirety, are located in repositories at</w:t>
      </w:r>
      <w:r>
        <w:t xml:space="preserve"> </w:t>
      </w:r>
      <w:hyperlink r:id="rId34">
        <w:r>
          <w:rPr>
            <w:rStyle w:val="Hyperlink"/>
          </w:rPr>
          <w:t xml:space="preserve">https://github.com/CourtneyCampany</w:t>
        </w:r>
      </w:hyperlink>
      <w:r>
        <w:t xml:space="preserve">.</w:t>
      </w:r>
    </w:p>
    <w:p>
      <w:pPr>
        <w:pStyle w:val="Heading1"/>
      </w:pPr>
      <w:bookmarkStart w:id="35" w:name="references"/>
      <w:bookmarkEnd w:id="35"/>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Hanson B, Sugden A, Alberts B (2011) Making data maximally available. Science 331:649.</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36">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IUFRO (2015) International Union of Forestry Research Organizations.</w:t>
      </w:r>
      <w:r>
        <w:t xml:space="preserve"> </w:t>
      </w:r>
      <w:hyperlink r:id="rId37">
        <w:r>
          <w:rPr>
            <w:rStyle w:val="Hyperlink"/>
          </w:rPr>
          <w:t xml:space="preserve">http://www.euciufro2015.com/en/</w:t>
        </w:r>
      </w:hyperlink>
      <w:r>
        <w:t xml:space="preserve"> </w:t>
      </w:r>
      <w:r>
        <w:t xml:space="preserve">(12 August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Monsi M, Saeki T (2005) On the factor light in plant communities and its importance for matter production. Annals of Botany 95:549–567.</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 R (2011) R: A Language and Environment for Statistical Computing Team RDC (ed). 1:409.</w:t>
      </w:r>
      <w:r>
        <w:t xml:space="preserve"> </w:t>
      </w:r>
      <w:hyperlink r:id="rId38">
        <w:r>
          <w:rPr>
            <w:rStyle w:val="Hyperlink"/>
          </w:rPr>
          <w:t xml:space="preserve">http://www.r-project.org</w:t>
        </w:r>
      </w:hyperlink>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5f0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8" Target="http://www.r-project.org" TargetMode="External" /><Relationship Type="http://schemas.openxmlformats.org/officeDocument/2006/relationships/hyperlink" Id="rId34"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36" Target="http://www.environment.nsw.gov.au/determinations/cumberlandplainpd.htm" TargetMode="External" /><Relationship Type="http://schemas.openxmlformats.org/officeDocument/2006/relationships/hyperlink" Id="rId37" Target="http://www.euciufro2015.com/en/" TargetMode="External" /><Relationship Type="http://schemas.openxmlformats.org/officeDocument/2006/relationships/hyperlink" Id="rId38" Target="http://www.r-project.org" TargetMode="External" /><Relationship Type="http://schemas.openxmlformats.org/officeDocument/2006/relationships/hyperlink" Id="rId34"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General Introduction</dc:title>
  <dc:creator/>
</cp:coreProperties>
</file>