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br w:type="textWrapping"/>
      </w:r>
      <w:r>
        <w:t xml:space="preserve">General</w:t>
      </w:r>
      <w:r>
        <w:t xml:space="preserve"> </w:t>
      </w:r>
      <w:r>
        <w:t xml:space="preserve">Introduction</w:t>
      </w:r>
    </w:p>
    <w:p>
      <w:pPr>
        <w:pStyle w:val="Heading1"/>
      </w:pPr>
      <w:bookmarkStart w:id="21" w:name="overview"/>
      <w:bookmarkEnd w:id="21"/>
      <w:r>
        <w:t xml:space="preserve">1.1 Overview</w:t>
      </w:r>
    </w:p>
    <w:p>
      <w:pPr>
        <w:pStyle w:val="Heading2"/>
      </w:pPr>
      <w:bookmarkStart w:id="22" w:name="resource-allocation-in-plants"/>
      <w:bookmarkEnd w:id="22"/>
      <w:r>
        <w:t xml:space="preserve">1.1.1 Resource allocation in plants</w:t>
      </w:r>
    </w:p>
    <w:p>
      <w:pPr>
        <w:pStyle w:val="FirstParagraph"/>
      </w:pPr>
      <w:r>
        <w:t xml:space="preserve">Plants require resources including light, CO</w:t>
      </w:r>
      <w:r>
        <w:rPr>
          <w:vertAlign w:val="subscript"/>
        </w:rPr>
        <w:t xml:space="preserve">2</w:t>
      </w:r>
      <w:r>
        <w:t xml:space="preserve">, water and mineral nutrients to support growth and reproduction. Resource acquisition requires an energy supply,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3" w:name="resource-allocation-theory"/>
      <w:bookmarkEnd w:id="23"/>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For example, tree growth can be limited by the availability of carbon within the plant (carbon limitation) or by the tree’s ability to use available carbon via nutrient shortages</w:t>
      </w:r>
      <w:r>
        <w:t xml:space="preserve"> </w:t>
      </w:r>
      <w:r>
        <w:t xml:space="preserve">(Wiley and Helliker 2012)</w:t>
      </w:r>
      <w:r>
        <w:t xml:space="preserve">. As a result, shifts in allocation of external resources and assimilated C to different tissue or ecosystem components can occur. Debate still exists regarding which of these limiting resources most strongly limit plant growth or how they regulate carbon availability.</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4" w:name="tree-canopy-resource-gradients"/>
      <w:bookmarkEnd w:id="24"/>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5" w:name="fate-of-assimilated-carbon"/>
      <w:bookmarkEnd w:id="25"/>
      <w:r>
        <w:t xml:space="preserve">1.1.4 Fate of assimilated carbon</w:t>
      </w:r>
    </w:p>
    <w:p>
      <w:pPr>
        <w:pStyle w:val="FirstParagraph"/>
      </w:pPr>
      <w:r>
        <w:t xml:space="preserve">Carbon allocation represents the fraction of gross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conceivably possible to track photosynthates from leaf C uptake to their eventual destination in above and belowground pools. Although mass balance approaches can be used to quantitatively assess tree C allocation, few studies so far have been able to provide direct empirical measurements of C allocation among component pools</w:t>
      </w:r>
      <w:r>
        <w:t xml:space="preserve"> </w:t>
      </w:r>
      <w:r>
        <w:t xml:space="preserve">(Klein and Hoch 2015)</w:t>
      </w:r>
      <w:r>
        <w:t xml:space="preserve">. Improving our understanding of tree C allocation will require novel experimental infrastructure capable of quantifying net canopy photosynthesis and the fate of C into growth, storage and C loss pools.</w:t>
      </w:r>
    </w:p>
    <w:p>
      <w:pPr>
        <w:pStyle w:val="Heading2"/>
      </w:pPr>
      <w:bookmarkStart w:id="26" w:name="eucalyptus-tree-species-as-model-for-research"/>
      <w:bookmarkEnd w:id="26"/>
      <w:r>
        <w:t xml:space="preserve">1.1.5</w:t>
      </w:r>
      <w:r>
        <w:t xml:space="preserve"> </w:t>
      </w:r>
      <w:r>
        <w:rPr>
          <w:i/>
        </w:rPr>
        <w:t xml:space="preserve">Eucalyptus</w:t>
      </w:r>
      <w:r>
        <w:t xml:space="preserve"> </w:t>
      </w:r>
      <w:r>
        <w:t xml:space="preserve">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7" w:name="current-knowledge-gaps"/>
      <w:bookmarkEnd w:id="27"/>
      <w:r>
        <w:t xml:space="preserve">1.2 Current Knowledge Gaps</w:t>
      </w:r>
    </w:p>
    <w:p>
      <w:pPr>
        <w:pStyle w:val="Heading2"/>
      </w:pPr>
      <w:bookmarkStart w:id="28" w:name="resource-allocation-in-trees"/>
      <w:bookmarkEnd w:id="28"/>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as the relative distribution of biomass between different tissue components, should not be confused with the allocation of newly fixed photosynthates to different organs. This is because the measured biomass at any time point represents the cumulative result of potentially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29" w:name="coupling-of-photosynthesis-and-tree-growth"/>
      <w:bookmarkEnd w:id="29"/>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total respiratory losses may not correlate with growth because of the dynamics of tissue C storage pools. On longer timescales, however,</w:t>
      </w:r>
      <w:r>
        <w:t xml:space="preserve"> </w:t>
      </w:r>
      <w:r>
        <w:rPr>
          <w:i/>
        </w:rPr>
        <w:t xml:space="preserve">A</w:t>
      </w:r>
      <w:r>
        <w:rPr>
          <w:vertAlign w:val="subscript"/>
          <w:i/>
        </w:rPr>
        <w:t xml:space="preserve">n</w:t>
      </w:r>
      <w:r>
        <w:t xml:space="preserve"> </w:t>
      </w:r>
      <w:r>
        <w:t xml:space="preserve">and tissue respiration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To date studies manipulating either source activity (CO</w:t>
      </w:r>
      <w:r>
        <w:rPr>
          <w:vertAlign w:val="subscript"/>
        </w:rPr>
        <w:t xml:space="preserve">2</w:t>
      </w:r>
      <w:r>
        <w:t xml:space="preserve"> </w:t>
      </w:r>
      <w:r>
        <w:t xml:space="preserve">fumigation or defoliation) or sink activity (fruit removal, girdling or low growth temperatures) have not resulted in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0" w:name="within-canopy-resource-utilization"/>
      <w:bookmarkEnd w:id="30"/>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supply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usually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w:t>
      </w:r>
    </w:p>
    <w:p>
      <w:pPr>
        <w:pStyle w:val="BodyText"/>
      </w:pPr>
      <w:r>
        <w:t xml:space="preserve">/ Additionally,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 Incorporation of g</w:t>
      </w:r>
      <w:r>
        <w:rPr>
          <w:vertAlign w:val="subscript"/>
        </w:rPr>
        <w:t xml:space="preserve">m</w:t>
      </w:r>
      <w:r>
        <w:t xml:space="preserve"> </w:t>
      </w:r>
      <w:r>
        <w:t xml:space="preserve">into process based tree growth models, similar to the progress made with g</w:t>
      </w:r>
      <w:r>
        <w:rPr>
          <w:vertAlign w:val="subscript"/>
        </w:rPr>
        <w:t xml:space="preserve">s</w:t>
      </w:r>
      <w:r>
        <w:t xml:space="preserve">, should be made a priority. Whether the limitations of g</w:t>
      </w:r>
      <w:r>
        <w:rPr>
          <w:vertAlign w:val="subscript"/>
        </w:rPr>
        <w:t xml:space="preserve">m</w:t>
      </w:r>
      <w:r>
        <w:t xml:space="preserve"> </w:t>
      </w:r>
      <w:r>
        <w:t xml:space="preserve">on both leaf and canopy C gain can be parameterized accurately, however, has yet to be reported.</w:t>
      </w:r>
    </w:p>
    <w:p>
      <w:pPr>
        <w:pStyle w:val="Heading1"/>
      </w:pPr>
      <w:bookmarkStart w:id="31" w:name="thesis-objectives"/>
      <w:bookmarkEnd w:id="31"/>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 For example,</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Leaf-level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w:t>
      </w:r>
      <w:r>
        <w:t xml:space="preserve"> </w:t>
      </w:r>
      <w:r>
        <w:rPr>
          <w:i/>
        </w:rPr>
        <w:t xml:space="preserve">A</w:t>
      </w:r>
      <w:r>
        <w:rPr>
          <w:vertAlign w:val="subscript"/>
          <w:i/>
        </w:rPr>
        <w:t xml:space="preserve">n</w:t>
      </w:r>
      <w:r>
        <w:t xml:space="preserve"> </w:t>
      </w:r>
      <w:r>
        <w:t xml:space="preserve">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t xml:space="preserve"> </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2" w:name="thesis-outline"/>
      <w:bookmarkEnd w:id="32"/>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was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drought and elevated CO</w:t>
      </w:r>
      <w:r>
        <w:rPr>
          <w:vertAlign w:val="subscript"/>
        </w:rPr>
        <w:t xml:space="preserve">2</w:t>
      </w:r>
      <w:r>
        <w:t xml:space="preserve"> </w:t>
      </w:r>
      <w:r>
        <w:t xml:space="preserve">treatments in factorial combination. The unique WTC experimental facility measures cumulative net aboveground C fluxes which were compared to canopy leaf area and tree biomass production. A novel framework was also applied to calculate a more reliable estimate of the sensitivity of TBCA to global climate change. I then evaluated how potentially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reproducible-research"/>
      <w:bookmarkEnd w:id="33"/>
      <w:r>
        <w:t xml:space="preserve">1.5 Reproducible Research</w:t>
      </w:r>
    </w:p>
    <w:p>
      <w:pPr>
        <w:pStyle w:val="FirstParagraph"/>
      </w:pPr>
      <w:r>
        <w:t xml:space="preserve">Science and hypothesis testing is driven by data, yet it is a challenge to ensure that reported experimental data are appropriately described, standardized, archived and openly available</w:t>
      </w:r>
      <w:r>
        <w:t xml:space="preserve"> </w:t>
      </w:r>
      <w:r>
        <w:t xml:space="preserve">(Hanson et al. 2011)</w:t>
      </w:r>
      <w:r>
        <w:t xml:space="preserve">. Reproducibility of analyses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creating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compiled as a reproducible document, including R code</w:t>
      </w:r>
      <w:r>
        <w:t xml:space="preserve"> </w:t>
      </w:r>
      <w:r>
        <w:t xml:space="preserve">(R Development Core Team 2011)</w:t>
      </w:r>
      <w:r>
        <w:t xml:space="preserve"> </w:t>
      </w:r>
      <w:r>
        <w:t xml:space="preserve">to analyze data, generate text and create tables/figures, which are all made available for open access. As a result, all necessary information required to reproduce this thesis, in its entirety, are located in repositories at</w:t>
      </w:r>
      <w:r>
        <w:t xml:space="preserve"> </w:t>
      </w:r>
      <w:hyperlink r:id="rId34">
        <w:r>
          <w:rPr>
            <w:rStyle w:val="Hyperlink"/>
          </w:rPr>
          <w:t xml:space="preserve">https://github.com/CourtneyCampany</w:t>
        </w:r>
      </w:hyperlink>
      <w:r>
        <w:t xml:space="preserve">.</w:t>
      </w:r>
    </w:p>
    <w:p>
      <w:pPr>
        <w:pStyle w:val="Heading1"/>
      </w:pPr>
      <w:bookmarkStart w:id="35" w:name="references"/>
      <w:bookmarkEnd w:id="35"/>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Hanson B, Sugden A, Alberts B (2011) Making data maximally available. Science 331:649.</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6">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IUFRO (2015) International Union of Forestry Research Organizations.</w:t>
      </w:r>
      <w:r>
        <w:t xml:space="preserve"> </w:t>
      </w:r>
      <w:hyperlink r:id="rId37">
        <w:r>
          <w:rPr>
            <w:rStyle w:val="Hyperlink"/>
          </w:rPr>
          <w:t xml:space="preserve">http://www.euciufro2015.com/en/</w:t>
        </w:r>
      </w:hyperlink>
      <w:r>
        <w:t xml:space="preserve"> </w:t>
      </w:r>
      <w:r>
        <w:t xml:space="preserve">(12 August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Monsi M, Saeki T (2005) On the factor light in plant communities and its importance for matter production. Annals of Botany 95:549–567.</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 R (2011) R: A Language and Environment for Statistical Computing Team RDC (ed). 1:409.</w:t>
      </w:r>
      <w:r>
        <w:t xml:space="preserve"> </w:t>
      </w:r>
      <w:hyperlink r:id="rId38">
        <w:r>
          <w:rPr>
            <w:rStyle w:val="Hyperlink"/>
          </w:rPr>
          <w:t xml:space="preserve">http://www.r-project.org</w:t>
        </w:r>
      </w:hyperlink>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Wiley E, Helliker B (2012) A re-evaluation of carbon storage in trees lends greater support for carbon limitation to growth. New Phytologist 195:285–289.</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536a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8" Target="http://www.r-project.org" TargetMode="External" /><Relationship Type="http://schemas.openxmlformats.org/officeDocument/2006/relationships/hyperlink" Id="rId34"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8" Target="http://www.r-project.org" TargetMode="External" /><Relationship Type="http://schemas.openxmlformats.org/officeDocument/2006/relationships/hyperlink" Id="rId34"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General Introduction</dc:title>
  <dc:creator/>
</cp:coreProperties>
</file>