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br w:type="textWrapping"/>
      </w:r>
      <w:r>
        <w:rPr>
          <w:b/>
        </w:rPr>
        <w:t xml:space="preserve">Resource allocation in</w:t>
      </w:r>
      <w:r>
        <w:rPr>
          <w:b/>
        </w:rPr>
        <w:t xml:space="preserve"> </w:t>
      </w:r>
      <w:r>
        <w:rPr>
          <w:i/>
          <w:b/>
        </w:rPr>
        <w:t xml:space="preserve">Eucalyptus</w:t>
      </w:r>
      <w:r>
        <w:br w:type="textWrapping"/>
      </w:r>
      <w:r>
        <w:br w:type="textWrapping"/>
      </w:r>
      <w:r>
        <w:br w:type="textWrapping"/>
      </w:r>
      <w:r>
        <w:t xml:space="preserve">By</w:t>
      </w:r>
    </w:p>
    <w:p>
      <w:pPr>
        <w:pStyle w:val="BodyText"/>
      </w:pPr>
      <w:r>
        <w:br w:type="textWrapping"/>
      </w:r>
      <w:r>
        <w:rPr>
          <w:b/>
        </w:rPr>
        <w:t xml:space="preserve">Courtney Campany</w:t>
      </w:r>
      <w:r>
        <w:br w:type="textWrapping"/>
      </w:r>
      <w:r>
        <w:br w:type="textWrapping"/>
      </w:r>
      <w:r>
        <w:br w:type="textWrapping"/>
      </w:r>
      <w:r>
        <w:rPr>
          <w:b/>
        </w:rPr>
        <w:t xml:space="preserve">A thesis submitted in fulfilment of the requirements</w:t>
      </w:r>
      <w:r>
        <w:br w:type="textWrapping"/>
      </w:r>
      <w:r>
        <w:rPr>
          <w:b/>
        </w:rPr>
        <w:t xml:space="preserve">for the degree of Doctor of Philosophy</w:t>
      </w:r>
      <w:r>
        <w:br w:type="textWrapping"/>
      </w:r>
      <w:r>
        <w:t xml:space="preserve"> </w:t>
      </w:r>
      <w:r>
        <w:drawing>
          <wp:inline>
            <wp:extent cx="2743200" cy="1828800"/>
            <wp:effectExtent b="0" l="0" r="0" t="0"/>
            <wp:docPr descr="" id="1" name="Picture"/>
            <a:graphic>
              <a:graphicData uri="http://schemas.openxmlformats.org/drawingml/2006/picture">
                <pic:pic>
                  <pic:nvPicPr>
                    <pic:cNvPr descr="thesis_start_files/figure-docx/concept-1.png" id="0" name="Picture"/>
                    <pic:cNvPicPr>
                      <a:picLocks noChangeArrowheads="1" noChangeAspect="1"/>
                    </pic:cNvPicPr>
                  </pic:nvPicPr>
                  <pic:blipFill>
                    <a:blip r:embed="rId21"/>
                    <a:stretch>
                      <a:fillRect/>
                    </a:stretch>
                  </pic:blipFill>
                  <pic:spPr bwMode="auto">
                    <a:xfrm>
                      <a:off x="0" y="0"/>
                      <a:ext cx="2743200" cy="1828800"/>
                    </a:xfrm>
                    <a:prstGeom prst="rect">
                      <a:avLst/>
                    </a:prstGeom>
                    <a:noFill/>
                    <a:ln w="9525">
                      <a:noFill/>
                      <a:headEnd/>
                      <a:tailEnd/>
                    </a:ln>
                  </pic:spPr>
                </pic:pic>
              </a:graphicData>
            </a:graphic>
          </wp:inline>
        </w:drawing>
      </w:r>
      <w:r>
        <w:br w:type="textWrapping"/>
      </w:r>
      <w:r>
        <w:br w:type="textWrapping"/>
      </w:r>
      <w:r>
        <w:rPr>
          <w:b/>
        </w:rPr>
        <w:t xml:space="preserve">2016</w:t>
      </w:r>
    </w:p>
    <w:p>
      <w:pPr>
        <w:pStyle w:val="Heading1"/>
      </w:pPr>
      <w:bookmarkStart w:id="22" w:name="acknowledgements"/>
      <w:bookmarkEnd w:id="22"/>
      <w:r>
        <w:t xml:space="preserve">Acknowledgements</w:t>
      </w:r>
    </w:p>
    <w:p>
      <w:pPr>
        <w:pStyle w:val="FirstParagraph"/>
      </w:pPr>
      <w:r>
        <w:t xml:space="preserve">“I am the Lorax. I speak for the trees. I speak for the trees for the trees have no tongues.” --Dr. Seuss</w:t>
      </w:r>
    </w:p>
    <w:p>
      <w:pPr>
        <w:pStyle w:val="BodyText"/>
      </w:pPr>
      <w:r>
        <w:br w:type="textWrapping"/>
      </w:r>
      <w:r>
        <w:t xml:space="preserve">I dedicate this thesis to my mother, for she has been my inspiration to become a scientist for as long as I can remember. Her passion for the natural world is infectious and her ability to pass her scientific knowledge to others is inspirational. It is because of you that I flip over rocks to see what is hiding underneath.</w:t>
      </w:r>
    </w:p>
    <w:p>
      <w:pPr>
        <w:pStyle w:val="BodyText"/>
      </w:pPr>
      <w:r>
        <w:br w:type="textWrapping"/>
      </w:r>
      <w:r>
        <w:t xml:space="preserve">I would equally like to acknowledge my father for instilling in me the work ethic and drive that has carried me to this point. Without his undying support I might never have achieved the level of success I have been afforded.</w:t>
      </w:r>
    </w:p>
    <w:p>
      <w:pPr>
        <w:pStyle w:val="BodyText"/>
      </w:pPr>
      <w:r>
        <w:br w:type="textWrapping"/>
      </w:r>
      <w:r>
        <w:t xml:space="preserve">À Caroline, rien de tout ça n’aurait été possible sans que tu sois à mes côtés. Tu as été un roc quand j’avais besoin d’ancrage et une lumière quand mon chemin semblait perdu.”</w:t>
      </w:r>
    </w:p>
    <w:p>
      <w:pPr>
        <w:pStyle w:val="Heading2"/>
      </w:pPr>
      <w:bookmarkStart w:id="23" w:name="statement-of-authentication"/>
      <w:bookmarkEnd w:id="23"/>
      <w:r>
        <w:t xml:space="preserve">Statement of Authentication</w:t>
      </w:r>
    </w:p>
    <w:p>
      <w:pPr>
        <w:pStyle w:val="FirstParagraph"/>
      </w:pPr>
      <w:r>
        <w:br w:type="textWrapping"/>
      </w:r>
      <w:r>
        <w:br w:type="textWrapping"/>
      </w:r>
      <w:r>
        <w:br w:type="textWrapping"/>
      </w:r>
      <w:r>
        <w:br w:type="textWrapping"/>
      </w:r>
      <w:r>
        <w:t xml:space="preserve">The work presented in this thesis is, to the best of my knowledge and belief, original except as acknowledged in the text. I hereby declare that I have not submitted this material, either in full or in part, for a degree at this or any other institution.</w:t>
      </w:r>
    </w:p>
    <w:p>
      <w:pPr>
        <w:pStyle w:val="Heading1"/>
      </w:pPr>
      <w:bookmarkStart w:id="24" w:name="preface"/>
      <w:bookmarkEnd w:id="24"/>
      <w:r>
        <w:t xml:space="preserve">Preface</w:t>
      </w:r>
    </w:p>
    <w:p>
      <w:pPr>
        <w:pStyle w:val="Heading1"/>
      </w:pPr>
      <w:bookmarkStart w:id="25" w:name="table-of-contents"/>
      <w:bookmarkEnd w:id="25"/>
      <w:r>
        <w:t xml:space="preserve">Table of Contents</w:t>
      </w:r>
    </w:p>
    <w:p>
      <w:pPr>
        <w:pStyle w:val="Heading1"/>
      </w:pPr>
      <w:bookmarkStart w:id="26" w:name="list-of-tables"/>
      <w:bookmarkEnd w:id="26"/>
      <w:r>
        <w:t xml:space="preserve">LIST OF TABLES</w:t>
      </w:r>
    </w:p>
    <w:p>
      <w:pPr>
        <w:pStyle w:val="FirstParagraph"/>
      </w:pPr>
      <w:r>
        <w:rPr>
          <w:b/>
        </w:rPr>
        <w:t xml:space="preserve">Table 2.1</w:t>
      </w:r>
      <w:r>
        <w:t xml:space="preserve">. Responses of plant and leaf characteristics of</w:t>
      </w:r>
      <w:r>
        <w:t xml:space="preserve"> </w:t>
      </w:r>
      <w:r>
        <w:rPr>
          <w:i/>
        </w:rPr>
        <w:t xml:space="preserve">Eucalyptus tereticornis</w:t>
      </w:r>
      <w:r>
        <w:t xml:space="preserve"> </w:t>
      </w:r>
      <w:r>
        <w:t xml:space="preserve">seedlings to soil volume treatments.</w:t>
      </w:r>
    </w:p>
    <w:p>
      <w:pPr>
        <w:pStyle w:val="BodyText"/>
      </w:pPr>
      <w:r>
        <w:br w:type="textWrapping"/>
      </w:r>
      <w:r>
        <w:rPr>
          <w:b/>
        </w:rPr>
        <w:t xml:space="preserve">Table 2.2</w:t>
      </w:r>
      <w:r>
        <w:t xml:space="preserve">. Responses of root characteristics of</w:t>
      </w:r>
      <w:r>
        <w:t xml:space="preserve"> </w:t>
      </w:r>
      <w:r>
        <w:rPr>
          <w:i/>
        </w:rPr>
        <w:t xml:space="preserve">Eucalyptus tereticornis</w:t>
      </w:r>
      <w:r>
        <w:t xml:space="preserve"> </w:t>
      </w:r>
      <w:r>
        <w:t xml:space="preserve">seedlings to soil volume treatments.</w:t>
      </w:r>
    </w:p>
    <w:p>
      <w:pPr>
        <w:pStyle w:val="BodyText"/>
      </w:pPr>
      <w:r>
        <w:br w:type="textWrapping"/>
      </w:r>
      <w:r>
        <w:rPr>
          <w:b/>
        </w:rPr>
        <w:t xml:space="preserve">Table 2.3</w:t>
      </w:r>
      <w:r>
        <w:t xml:space="preserve">. Responses of leaf level gas exchange parameters of</w:t>
      </w:r>
      <w:r>
        <w:t xml:space="preserve"> </w:t>
      </w:r>
      <w:r>
        <w:rPr>
          <w:i/>
        </w:rPr>
        <w:t xml:space="preserve">Eucalyptus tereticornis</w:t>
      </w:r>
      <w:r>
        <w:t xml:space="preserve"> </w:t>
      </w:r>
      <w:r>
        <w:t xml:space="preserve">seedlings to soil volume treatments.</w:t>
      </w:r>
    </w:p>
    <w:p>
      <w:pPr>
        <w:pStyle w:val="BodyText"/>
      </w:pPr>
      <w:r>
        <w:br w:type="textWrapping"/>
      </w:r>
      <w:r>
        <w:rPr>
          <w:b/>
        </w:rPr>
        <w:t xml:space="preserve">Table 2.S1</w:t>
      </w:r>
      <w:r>
        <w:t xml:space="preserve">. Seedling growth model default parameters.</w:t>
      </w:r>
    </w:p>
    <w:p>
      <w:pPr>
        <w:pStyle w:val="BodyText"/>
      </w:pPr>
      <w:r>
        <w:br w:type="textWrapping"/>
      </w:r>
      <w:r>
        <w:rPr>
          <w:b/>
        </w:rPr>
        <w:t xml:space="preserve">Table 3.1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w:t>
      </w:r>
    </w:p>
    <w:p>
      <w:pPr>
        <w:pStyle w:val="BodyText"/>
      </w:pPr>
      <w:r>
        <w:br w:type="textWrapping"/>
      </w:r>
      <w:r>
        <w:rPr>
          <w:b/>
        </w:rPr>
        <w:t xml:space="preserve">Table 3.2</w:t>
      </w:r>
      <w:r>
        <w:t xml:space="preserve">.</w:t>
      </w:r>
      <w:r>
        <w:t xml:space="preserve"> </w:t>
      </w:r>
      <w:r>
        <w:rPr>
          <w:i/>
        </w:rPr>
        <w:t xml:space="preserve">Eucalyptus tereticornis</w:t>
      </w:r>
      <w:r>
        <w:t xml:space="preserve"> </w:t>
      </w:r>
      <w:r>
        <w:t xml:space="preserve">leaf gas exchange parameters for sun and shade leaves under ambient and elevated temperature treatments.</w:t>
      </w:r>
    </w:p>
    <w:p>
      <w:pPr>
        <w:pStyle w:val="BodyText"/>
      </w:pPr>
      <w:r>
        <w:br w:type="textWrapping"/>
      </w:r>
      <w:r>
        <w:rPr>
          <w:b/>
        </w:rPr>
        <w:t xml:space="preserve">Table 4.1</w:t>
      </w:r>
      <w:r>
        <w:t xml:space="preserve">. Final harvest C mass of above and belowground tissues, cumulative aboveground tree C uptake (</w:t>
      </w:r>
      <m:oMath>
        <m:sSub>
          <m:e>
            <m:r>
              <m:rPr>
                <m:sty m:val="p"/>
              </m:rPr>
              <m:t>F</m:t>
            </m:r>
          </m:e>
          <m:sub>
            <m:r>
              <m:rPr/>
              <m:t>c</m:t>
            </m:r>
            <m:r>
              <m:rPr/>
              <m:t>,</m:t>
            </m:r>
            <m:r>
              <m:rPr/>
              <m:t>T</m:t>
            </m:r>
          </m:sub>
        </m:sSub>
      </m:oMath>
      <w:r>
        <w:t xml:space="preserve">) and specific leaf area (SLA).</w:t>
      </w:r>
    </w:p>
    <w:p>
      <w:pPr>
        <w:pStyle w:val="Heading1"/>
      </w:pPr>
      <w:bookmarkStart w:id="27" w:name="list-of-figures"/>
      <w:bookmarkEnd w:id="27"/>
      <w:r>
        <w:t xml:space="preserve">LIST OF FIGURES</w:t>
      </w:r>
    </w:p>
    <w:p>
      <w:pPr>
        <w:pStyle w:val="FirstParagraph"/>
      </w:pPr>
      <w:r>
        <w:rPr>
          <w:b/>
        </w:rPr>
        <w:t xml:space="preserve">Figure 2.1</w:t>
      </w:r>
      <w:r>
        <w:t xml:space="preserve">. Soil volume treatment means ± standard error of height growth (a), diameter growth (b), and seedling leaf area estimated from leaf counts (c) measured weekly of</w:t>
      </w:r>
      <w:r>
        <w:t xml:space="preserve"> </w:t>
      </w:r>
      <w:r>
        <w:rPr>
          <w:i/>
        </w:rPr>
        <w:t xml:space="preserve">Eucalyptus tereticornis</w:t>
      </w:r>
      <w:r>
        <w:t xml:space="preserve"> </w:t>
      </w:r>
      <w:r>
        <w:t xml:space="preserve">seedlings across the experiment duration in 2013.</w:t>
      </w:r>
    </w:p>
    <w:p>
      <w:pPr>
        <w:pStyle w:val="BodyText"/>
      </w:pPr>
      <w:r>
        <w:br w:type="textWrapping"/>
      </w:r>
      <w:r>
        <w:rPr>
          <w:b/>
        </w:rPr>
        <w:t xml:space="preserve">Figure 2.2</w:t>
      </w:r>
      <w:r>
        <w:t xml:space="preserve">. Daily maximum and minimum temperature (a), total daily PPFD (b), and daily maximum vapour pressure deficit (c) across the experiment duration in 2013.</w:t>
      </w:r>
    </w:p>
    <w:p>
      <w:pPr>
        <w:pStyle w:val="BodyText"/>
      </w:pPr>
      <w:r>
        <w:br w:type="textWrapping"/>
      </w:r>
      <w:r>
        <w:rPr>
          <w:b/>
        </w:rPr>
        <w:t xml:space="preserve">Figure 2.3</w:t>
      </w:r>
      <w:r>
        <w:t xml:space="preserve">. Soil volume treatment means of biomass partitioning to leaves, stems, and roots at harvest (a), bi-variate relationships between mass allocation to leaves and stems + roots (b) and leaf mass as a function of fine root biomass with ± standard error (c).</w:t>
      </w:r>
    </w:p>
    <w:p>
      <w:pPr>
        <w:pStyle w:val="BodyText"/>
      </w:pPr>
      <w:r>
        <w:br w:type="textWrapping"/>
      </w:r>
      <w:r>
        <w:rPr>
          <w:b/>
        </w:rPr>
        <w:t xml:space="preserve">Figure 2.4</w:t>
      </w:r>
      <w:r>
        <w:t xml:space="preserve">. Soil volume treatment means ± standard error, across all measurement campaigns (n = 6), of light saturated rates of photosynthesis at 25°C.</w:t>
      </w:r>
      <w:r>
        <w:br w:type="textWrapping"/>
      </w:r>
      <w:r>
        <w:rPr>
          <w:b/>
        </w:rPr>
        <w:t xml:space="preserve">Figure 2.5</w:t>
      </w:r>
      <w:r>
        <w:t xml:space="preserve">. Photosynthetic capacity, on a leaf mass basis, as a function of accumulation of leaf starch (a) and leaf nitrogen content without TNC (b).</w:t>
      </w:r>
    </w:p>
    <w:p>
      <w:pPr>
        <w:pStyle w:val="BodyText"/>
      </w:pPr>
      <w:r>
        <w:br w:type="textWrapping"/>
      </w:r>
      <w:r>
        <w:rPr>
          <w:b/>
        </w:rPr>
        <w:t xml:space="preserve">Figure 2.6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w:t>
      </w:r>
    </w:p>
    <w:p>
      <w:pPr>
        <w:pStyle w:val="BodyText"/>
      </w:pPr>
      <w:r>
        <w:br w:type="textWrapping"/>
      </w:r>
      <w:r>
        <w:rPr>
          <w:b/>
        </w:rPr>
        <w:t xml:space="preserve">Figure 2.S1</w:t>
      </w:r>
      <w:r>
        <w:t xml:space="preserve">. Sensitivity testing of seedling growth model to different carbon allocation strategies including; constraints of leaf mass fraction to treatment specific final harvest values (a) and increases in respiration of non-leaf tissue components by 50 % (b).</w:t>
      </w:r>
    </w:p>
    <w:p>
      <w:pPr>
        <w:pStyle w:val="BodyText"/>
      </w:pPr>
      <w:r>
        <w:br w:type="textWrapping"/>
      </w:r>
      <w:r>
        <w:rPr>
          <w:b/>
        </w:rPr>
        <w:t xml:space="preserve">Figure 3.1</w:t>
      </w:r>
      <w:r>
        <w:t xml:space="preserve">. Bars represent the local light environment for sun and shade leaves during six gas exchange campaigns from October 2013 to April 2014.</w:t>
      </w:r>
    </w:p>
    <w:p>
      <w:pPr>
        <w:pStyle w:val="BodyText"/>
      </w:pPr>
      <w:r>
        <w:br w:type="textWrapping"/>
      </w:r>
      <w:r>
        <w:rPr>
          <w:b/>
        </w:rPr>
        <w:t xml:space="preserve">Figure 3.2</w:t>
      </w:r>
      <w:r>
        <w:t xml:space="preserve">. (a) AC</w:t>
      </w:r>
      <w:r>
        <w:rPr>
          <w:vertAlign w:val="subscript"/>
        </w:rPr>
        <w:t xml:space="preserve">i</w:t>
      </w:r>
      <w:r>
        <w:t xml:space="preserve"> </w:t>
      </w:r>
      <w:r>
        <w:t xml:space="preserve">curves for sun and shade leaves at elevated (ET) and ambient (AT) temperature treatments.</w:t>
      </w:r>
    </w:p>
    <w:p>
      <w:pPr>
        <w:pStyle w:val="BodyText"/>
      </w:pPr>
      <w:r>
        <w:br w:type="textWrapping"/>
      </w:r>
      <w:r>
        <w:rPr>
          <w:b/>
        </w:rPr>
        <w:t xml:space="preserve">Figure 3.3</w:t>
      </w:r>
      <w:r>
        <w:t xml:space="preserve">. The response of</w:t>
      </w:r>
      <w:r>
        <w:t xml:space="preserve"> </w:t>
      </w:r>
      <w:r>
        <w:rPr>
          <w:i/>
        </w:rPr>
        <w:t xml:space="preserve">A</w:t>
      </w:r>
      <w:r>
        <w:rPr>
          <w:vertAlign w:val="subscript"/>
          <w:i/>
        </w:rPr>
        <w:t xml:space="preserve">n</w:t>
      </w:r>
      <w:r>
        <w:t xml:space="preserve"> </w:t>
      </w:r>
      <w:r>
        <w:t xml:space="preserve">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w:t>
      </w:r>
    </w:p>
    <w:p>
      <w:pPr>
        <w:pStyle w:val="BodyText"/>
      </w:pPr>
      <w:r>
        <w:br w:type="textWrapping"/>
      </w:r>
      <w:r>
        <w:rPr>
          <w:b/>
        </w:rPr>
        <w:t xml:space="preserve">Figure 3.4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w:t>
      </w:r>
      <w:r>
        <w:t xml:space="preserve"> </w:t>
      </w:r>
      <w:r>
        <w:rPr>
          <w:i/>
        </w:rPr>
        <w:t xml:space="preserve">A</w:t>
      </w:r>
      <w:r>
        <w:rPr>
          <w:vertAlign w:val="subscript"/>
          <w:i/>
        </w:rPr>
        <w:t xml:space="preserve">n</w:t>
      </w:r>
      <w:r>
        <w:t xml:space="preserve"> </w:t>
      </w:r>
      <w:r>
        <w:t xml:space="preserve">(c) of sun leaves and shade leaves at both low and high light pooled across six measurement dates.</w:t>
      </w:r>
    </w:p>
    <w:p>
      <w:pPr>
        <w:pStyle w:val="BodyText"/>
      </w:pPr>
      <w:r>
        <w:br w:type="textWrapping"/>
      </w:r>
      <w:r>
        <w:rPr>
          <w:b/>
        </w:rPr>
        <w:t xml:space="preserve">Figure 3.5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w:t>
      </w:r>
    </w:p>
    <w:p>
      <w:pPr>
        <w:pStyle w:val="BodyText"/>
      </w:pPr>
      <w:r>
        <w:br w:type="textWrapping"/>
      </w:r>
      <w:r>
        <w:rPr>
          <w:b/>
        </w:rPr>
        <w:t xml:space="preserve">Figure 3.6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w:t>
      </w:r>
      <m:oMath>
        <m:sSub>
          <m:e>
            <m:r>
              <m:rPr/>
              <m:t>Δ</m:t>
            </m:r>
          </m:e>
          <m:sub>
            <m:r>
              <m:rPr/>
              <m:t>o</m:t>
            </m:r>
          </m:sub>
        </m:sSub>
      </m:oMath>
      <w:r>
        <w:t xml:space="preserve">)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w:t>
      </w:r>
    </w:p>
    <w:p>
      <w:pPr>
        <w:pStyle w:val="BodyText"/>
      </w:pPr>
      <w:r>
        <w:br w:type="textWrapping"/>
      </w:r>
      <w:r>
        <w:rPr>
          <w:b/>
        </w:rPr>
        <w:t xml:space="preserve">Figure 3.7</w:t>
      </w:r>
      <w:r>
        <w:t xml:space="preserve">. The mean ± 1 standard error of (a) intercellular CO</w:t>
      </w:r>
      <w:r>
        <w:rPr>
          <w:vertAlign w:val="subscript"/>
        </w:rPr>
        <w:t xml:space="preserve">2</w:t>
      </w:r>
      <w:r>
        <w:t xml:space="preserve"> </w:t>
      </w:r>
      <w:r>
        <w:t xml:space="preserve">concentration (C</w:t>
      </w:r>
      <w:r>
        <w:rPr>
          <w:vertAlign w:val="subscript"/>
        </w:rPr>
        <w:t xml:space="preserve">i</w:t>
      </w:r>
      <w:r>
        <w:t xml:space="preserve">), (b) CO</w:t>
      </w:r>
      <w:r>
        <w:rPr>
          <w:vertAlign w:val="subscript"/>
        </w:rPr>
        <w:t xml:space="preserve">2</w:t>
      </w:r>
      <w:r>
        <w:t xml:space="preserve"> </w:t>
      </w:r>
      <w:r>
        <w:t xml:space="preserve">concentration in the chloroplasts (C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(C</w:t>
      </w:r>
      <w:r>
        <w:rPr>
          <w:vertAlign w:val="subscript"/>
        </w:rPr>
        <w:t xml:space="preserve">i</w:t>
      </w:r>
      <w:r>
        <w:t xml:space="preserve">-C</w:t>
      </w:r>
      <w:r>
        <w:rPr>
          <w:vertAlign w:val="subscript"/>
        </w:rPr>
        <w:t xml:space="preserve">c</w:t>
      </w:r>
      <w:r>
        <w:t xml:space="preserve">).</w:t>
      </w:r>
    </w:p>
    <w:p>
      <w:pPr>
        <w:pStyle w:val="BodyText"/>
      </w:pPr>
      <w:r>
        <w:br w:type="textWrapping"/>
      </w:r>
      <w:r>
        <w:rPr>
          <w:b/>
        </w:rPr>
        <w:t xml:space="preserve">Figure 3.S1</w:t>
      </w:r>
      <w:r>
        <w:t xml:space="preserve">. Daily maximum and minimum temperature (a), daily maximum VPD (b) and total daily PPFD (c) for each chamber across the experiment duration.</w:t>
      </w:r>
    </w:p>
    <w:p>
      <w:pPr>
        <w:pStyle w:val="BodyText"/>
      </w:pPr>
      <w:r>
        <w:br w:type="textWrapping"/>
      </w:r>
      <w:r>
        <w:rPr>
          <w:b/>
        </w:rPr>
        <w:t xml:space="preserve">Figure 3.S2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w:t>
      </w:r>
    </w:p>
    <w:p>
      <w:pPr>
        <w:pStyle w:val="BodyText"/>
      </w:pPr>
      <w:r>
        <w:br w:type="textWrapping"/>
      </w:r>
      <w:r>
        <w:rPr>
          <w:b/>
        </w:rPr>
        <w:t xml:space="preserve">Figure 3.S3</w:t>
      </w:r>
      <w:r>
        <w:t xml:space="preserve">. Response of</w:t>
      </w:r>
      <w:r>
        <w:t xml:space="preserve"> </w:t>
      </w:r>
      <w:r>
        <w:rPr>
          <w:i/>
        </w:rPr>
        <w:t xml:space="preserve">A</w:t>
      </w:r>
      <w:r>
        <w:rPr>
          <w:vertAlign w:val="subscript"/>
          <w:i/>
        </w:rPr>
        <w:t xml:space="preserve">n</w:t>
      </w:r>
      <w:r>
        <w:t xml:space="preserve"> </w:t>
      </w:r>
      <w:r>
        <w:t xml:space="preserve">(a),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w:t>
      </w:r>
    </w:p>
    <w:p>
      <w:pPr>
        <w:pStyle w:val="BodyText"/>
      </w:pPr>
      <w:r>
        <w:br w:type="textWrapping"/>
      </w:r>
      <w:r>
        <w:rPr>
          <w:b/>
        </w:rPr>
        <w:t xml:space="preserve">Figure 3.S4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w:t>
      </w:r>
    </w:p>
    <w:p>
      <w:pPr>
        <w:pStyle w:val="BodyText"/>
      </w:pPr>
      <w:r>
        <w:br w:type="textWrapping"/>
      </w:r>
      <w:r>
        <w:rPr>
          <w:b/>
        </w:rPr>
        <w:t xml:space="preserve">Figure 4.1</w:t>
      </w:r>
      <w:r>
        <w:t xml:space="preserve">. Conceptual diagram depicting the major components of C flow among plant components including; uptake via photosynthesis, allocation to component tissues, tissue respiration and root exudation.</w:t>
      </w:r>
    </w:p>
    <w:p>
      <w:pPr>
        <w:pStyle w:val="BodyText"/>
      </w:pPr>
      <w:r>
        <w:br w:type="textWrapping"/>
      </w:r>
      <w:r>
        <w:rPr>
          <w:b/>
        </w:rPr>
        <w:t xml:space="preserve">Figure 4.2</w:t>
      </w:r>
      <w:r>
        <w:t xml:space="preserve">. Whole tree C mass as a function of cumulative aboveground C flux for each WTC tree. Values of cumulative aboveground net C flux were measured over the final eleven months of the experiment.</w:t>
      </w:r>
    </w:p>
    <w:p>
      <w:pPr>
        <w:pStyle w:val="BodyText"/>
      </w:pPr>
      <w:r>
        <w:br w:type="textWrapping"/>
      </w:r>
      <w:r>
        <w:rPr>
          <w:b/>
        </w:rPr>
        <w:t xml:space="preserve">Figure 4.3</w:t>
      </w:r>
      <w:r>
        <w:t xml:space="preserve">. Estimated canopy leaf area for each WTC tree over the final eleven months of the experiment (April 2008 to March 2009).</w:t>
      </w:r>
    </w:p>
    <w:p>
      <w:pPr>
        <w:pStyle w:val="BodyText"/>
      </w:pPr>
      <w:r>
        <w:br w:type="textWrapping"/>
      </w:r>
      <w:r>
        <w:rPr>
          <w:b/>
        </w:rPr>
        <w:t xml:space="preserve">Figure 4.4</w:t>
      </w:r>
      <w:r>
        <w:t xml:space="preserve">. Treatment means of cumulative aboveground C flux as a function of mean daily canopy leaf area over the final eleven months of the experiment.</w:t>
      </w:r>
    </w:p>
    <w:p>
      <w:pPr>
        <w:pStyle w:val="BodyText"/>
      </w:pPr>
      <w:r>
        <w:br w:type="textWrapping"/>
      </w:r>
      <w:r>
        <w:rPr>
          <w:b/>
        </w:rPr>
        <w:t xml:space="preserve">Figure 4.5</w:t>
      </w:r>
      <w:r>
        <w:t xml:space="preserve">. Treatment means of C mass fractions of leaves (a), stems (branches+boles) (c) and roots (e) as a function of tree size, via whole tree C mass.</w:t>
      </w:r>
    </w:p>
    <w:p>
      <w:pPr>
        <w:pStyle w:val="BodyText"/>
      </w:pPr>
      <w:r>
        <w:br w:type="textWrapping"/>
      </w:r>
      <w:r>
        <w:rPr>
          <w:b/>
        </w:rPr>
        <w:t xml:space="preserve">Figure 4.6</w:t>
      </w:r>
      <w:r>
        <w:t xml:space="preserve">. Cumulative aboveground net C flux and additive C allocation to individual tree components from 15 April 2008 to 16 March 2009. Each panel represents mean values for each treatment combination (n=3).</w:t>
      </w:r>
    </w:p>
    <w:p>
      <w:pPr>
        <w:pStyle w:val="BodyText"/>
      </w:pPr>
      <w:r>
        <w:br w:type="textWrapping"/>
      </w:r>
      <w:r>
        <w:rPr>
          <w:b/>
        </w:rPr>
        <w:t xml:space="preserve">Figure 4.7</w:t>
      </w:r>
      <w:r>
        <w:t xml:space="preserve">. Treatment means ± 1 standard error of cumulative aboveground net C flux, TBCA, and the residual belowground C flux (</w:t>
      </w:r>
      <m:oMath>
        <m:sSub>
          <m:e>
            <m:r>
              <m:rPr>
                <m:sty m:val="p"/>
              </m:rPr>
              <m:t>F</m:t>
            </m:r>
          </m:e>
          <m:sub>
            <m:r>
              <m:rPr/>
              <m:t>c</m:t>
            </m:r>
            <m:r>
              <m:rPr/>
              <m:t>,</m:t>
            </m:r>
            <m:r>
              <m:rPr/>
              <m:t>r</m:t>
            </m:r>
          </m:sub>
        </m:sSub>
      </m:oMath>
      <w:r>
        <w:t xml:space="preserve">).</w:t>
      </w:r>
    </w:p>
    <w:p>
      <w:pPr>
        <w:pStyle w:val="BodyText"/>
      </w:pPr>
      <w:r>
        <w:br w:type="textWrapping"/>
      </w:r>
      <w:r>
        <w:rPr>
          <w:b/>
        </w:rPr>
        <w:t xml:space="preserve">Figure 4.8</w:t>
      </w:r>
      <w:r>
        <w:t xml:space="preserve">. Total belowground C allocation as a function of cumulative aboveground net C flux across the final eleven months of the experiment.</w:t>
      </w:r>
      <w:r>
        <w:br w:type="textWrapping"/>
      </w:r>
      <w:r>
        <w:rPr>
          <w:b/>
        </w:rPr>
        <w:t xml:space="preserve">Figure 4.S1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w:t>
      </w:r>
    </w:p>
    <w:p>
      <w:pPr>
        <w:pStyle w:val="BodyText"/>
      </w:pPr>
      <w:r>
        <w:br w:type="textWrapping"/>
      </w:r>
      <w:r>
        <w:rPr>
          <w:b/>
        </w:rPr>
        <w:t xml:space="preserve">Figure 4.S2</w:t>
      </w:r>
      <w:r>
        <w:t xml:space="preserve">. Cumulative aboveground net C flux and additive C allocation of individual tree components tree components from 15 April 2008 to 16 March 2009. Panels represent each individual WTC.</w:t>
      </w:r>
    </w:p>
    <w:p>
      <w:pPr>
        <w:pStyle w:val="Heading1"/>
      </w:pPr>
      <w:bookmarkStart w:id="28" w:name="list-of-abbreviations"/>
      <w:bookmarkEnd w:id="28"/>
      <w:r>
        <w:t xml:space="preserve">LIST OF ABBREVIATIONS</w:t>
      </w:r>
    </w:p>
    <w:p>
      <w:pPr>
        <w:pStyle w:val="FirstParagraph"/>
      </w:pPr>
      <w:r>
        <w:rPr>
          <w:i/>
        </w:rPr>
        <w:t xml:space="preserve">A</w:t>
      </w:r>
      <w:r>
        <w:rPr>
          <w:vertAlign w:val="subscript"/>
          <w:i/>
        </w:rPr>
        <w:t xml:space="preserve">n</w:t>
      </w:r>
      <w:r>
        <w:t xml:space="preserve"> </w:t>
      </w:r>
      <w:r>
        <w:t xml:space="preserve">Net leaf photosynthesis rate</w:t>
      </w:r>
      <w:r>
        <w:br w:type="textWrapping"/>
      </w:r>
      <w:r>
        <w:t xml:space="preserve">aC</w:t>
      </w:r>
      <w:r>
        <w:rPr>
          <w:vertAlign w:val="subscript"/>
        </w:rPr>
        <w:t xml:space="preserve">a</w:t>
      </w:r>
      <w:r>
        <w:t xml:space="preserve"> </w:t>
      </w:r>
      <w:r>
        <w:t xml:space="preserve">Ambient CO</w:t>
      </w:r>
      <w:r>
        <w:rPr>
          <w:vertAlign w:val="subscript"/>
        </w:rPr>
        <w:t xml:space="preserve">2</w:t>
      </w:r>
      <w:r>
        <w:t xml:space="preserve"> </w:t>
      </w:r>
      <w:r>
        <w:t xml:space="preserve">treatment</w:t>
      </w:r>
      <w:r>
        <w:br w:type="textWrapping"/>
      </w:r>
      <w:r>
        <w:t xml:space="preserve">AC</w:t>
      </w:r>
      <w:r>
        <w:rPr>
          <w:vertAlign w:val="subscript"/>
        </w:rPr>
        <w:t xml:space="preserve">i</w:t>
      </w:r>
      <w:r>
        <w:t xml:space="preserve"> </w:t>
      </w:r>
      <w:r>
        <w:t xml:space="preserve">Photosynthetic CO</w:t>
      </w:r>
      <w:r>
        <w:rPr>
          <w:vertAlign w:val="subscript"/>
        </w:rPr>
        <w:t xml:space="preserve">2</w:t>
      </w:r>
      <w:r>
        <w:t xml:space="preserve"> </w:t>
      </w:r>
      <w:r>
        <w:t xml:space="preserve">response curves</w:t>
      </w:r>
      <w:r>
        <w:br w:type="textWrapping"/>
      </w:r>
      <w:r>
        <w:t xml:space="preserve">A</w:t>
      </w:r>
      <w:r>
        <w:rPr>
          <w:vertAlign w:val="subscript"/>
        </w:rPr>
        <w:t xml:space="preserve">max</w:t>
      </w:r>
      <w:r>
        <w:t xml:space="preserve"> </w:t>
      </w:r>
      <w:r>
        <w:t xml:space="preserve">Leaf net photosynthesis at saturating light and CO</w:t>
      </w:r>
      <w:r>
        <w:rPr>
          <w:vertAlign w:val="subscript"/>
        </w:rPr>
        <w:t xml:space="preserve">2</w:t>
      </w:r>
      <w:r>
        <w:t xml:space="preserve"> </w:t>
      </w:r>
      <w:r>
        <w:t xml:space="preserve">concentration</w:t>
      </w:r>
      <w:r>
        <w:br w:type="textWrapping"/>
      </w:r>
      <w:r>
        <w:t xml:space="preserve">A</w:t>
      </w:r>
      <w:r>
        <w:rPr>
          <w:vertAlign w:val="subscript"/>
        </w:rPr>
        <w:t xml:space="preserve">sat</w:t>
      </w:r>
      <w:r>
        <w:t xml:space="preserve"> </w:t>
      </w:r>
      <w:r>
        <w:t xml:space="preserve">Leaf net photosynthesis at saturating light</w:t>
      </w:r>
      <w:r>
        <w:br w:type="textWrapping"/>
      </w:r>
      <w:r>
        <w:t xml:space="preserve">AT Ambient air temperature treatment</w:t>
      </w:r>
      <w:r>
        <w:br w:type="textWrapping"/>
      </w:r>
      <w:r>
        <w:t xml:space="preserve">C Carbon</w:t>
      </w:r>
      <w:r>
        <w:br w:type="textWrapping"/>
      </w:r>
      <w:r>
        <w:t xml:space="preserve">[CO</w:t>
      </w:r>
      <w:r>
        <w:rPr>
          <w:vertAlign w:val="subscript"/>
        </w:rPr>
        <w:t xml:space="preserve">2</w:t>
      </w:r>
      <w:r>
        <w:t xml:space="preserve">] CO</w:t>
      </w:r>
      <w:r>
        <w:rPr>
          <w:vertAlign w:val="subscript"/>
        </w:rPr>
        <w:t xml:space="preserve">2</w:t>
      </w:r>
      <w:r>
        <w:t xml:space="preserve"> </w:t>
      </w:r>
      <w:r>
        <w:t xml:space="preserve">concentration</w:t>
      </w:r>
      <w:r>
        <w:br w:type="textWrapping"/>
      </w:r>
      <w:r>
        <w:t xml:space="preserve">C</w:t>
      </w:r>
      <w:r>
        <w:rPr>
          <w:vertAlign w:val="subscript"/>
        </w:rPr>
        <w:t xml:space="preserve">a</w:t>
      </w:r>
      <w:r>
        <w:t xml:space="preserve"> </w:t>
      </w:r>
      <w:r>
        <w:t xml:space="preserve">Atmospheric CO</w:t>
      </w:r>
      <w:r>
        <w:rPr>
          <w:vertAlign w:val="subscript"/>
        </w:rPr>
        <w:t xml:space="preserve">2</w:t>
      </w:r>
      <w:r>
        <w:t xml:space="preserve"> </w:t>
      </w:r>
      <w:r>
        <w:t xml:space="preserve">concentration</w:t>
      </w:r>
      <w:r>
        <w:br w:type="textWrapping"/>
      </w:r>
      <m:oMath>
        <m:sSub>
          <m:e>
            <m:r>
              <m:rPr>
                <m:sty m:val="p"/>
              </m:rPr>
              <m:t>C</m:t>
            </m:r>
          </m:e>
          <m:sub>
            <m:r>
              <m:rPr/>
              <m:t>a</m:t>
            </m:r>
            <m:r>
              <m:rPr/>
              <m:t>b</m:t>
            </m:r>
          </m:sub>
        </m:sSub>
      </m:oMath>
      <w:r>
        <w:t xml:space="preserve"> </w:t>
      </w:r>
      <w:r>
        <w:t xml:space="preserve">Aboveground standing crop C mass</w:t>
      </w:r>
      <w:r>
        <w:br w:type="textWrapping"/>
      </w:r>
      <w:r>
        <w:t xml:space="preserve">C</w:t>
      </w:r>
      <w:r>
        <w:rPr>
          <w:vertAlign w:val="subscript"/>
        </w:rPr>
        <w:t xml:space="preserve">day</w:t>
      </w:r>
      <w:r>
        <w:t xml:space="preserve"> </w:t>
      </w:r>
      <w:r>
        <w:t xml:space="preserve">Predicted daily carbon assimilation</w:t>
      </w:r>
      <w:r>
        <w:br w:type="textWrapping"/>
      </w:r>
      <w:r>
        <w:t xml:space="preserve">C</w:t>
      </w:r>
      <w:r>
        <w:rPr>
          <w:vertAlign w:val="subscript"/>
        </w:rPr>
        <w:t xml:space="preserve">i</w:t>
      </w:r>
      <w:r>
        <w:t xml:space="preserve"> </w:t>
      </w:r>
      <w:r>
        <w:t xml:space="preserve">Intercellular CO</w:t>
      </w:r>
      <w:r>
        <w:rPr>
          <w:vertAlign w:val="subscript"/>
        </w:rPr>
        <w:t xml:space="preserve">2</w:t>
      </w:r>
      <w:r>
        <w:t xml:space="preserve"> </w:t>
      </w:r>
      <w:r>
        <w:t xml:space="preserve">concentration (or partial pressure)</w:t>
      </w:r>
      <w:r>
        <w:br w:type="textWrapping"/>
      </w:r>
      <w:r>
        <w:t xml:space="preserve">C</w:t>
      </w:r>
      <w:r>
        <w:rPr>
          <w:vertAlign w:val="subscript"/>
        </w:rPr>
        <w:t xml:space="preserve">c</w:t>
      </w:r>
      <w:r>
        <w:t xml:space="preserve"> </w:t>
      </w:r>
      <w:r>
        <w:t xml:space="preserve">Chloroplastic CO</w:t>
      </w:r>
      <w:r>
        <w:rPr>
          <w:vertAlign w:val="subscript"/>
        </w:rPr>
        <w:t xml:space="preserve">2</w:t>
      </w:r>
      <w:r>
        <w:t xml:space="preserve"> </w:t>
      </w:r>
      <w:r>
        <w:t xml:space="preserve">concentration (or partial pressure)</w:t>
      </w:r>
      <w:r>
        <w:br w:type="textWrapping"/>
      </w:r>
      <m:oMath>
        <m:sSub>
          <m:e>
            <m:r>
              <m:rPr>
                <m:sty m:val="p"/>
              </m:rPr>
              <m:t>C</m:t>
            </m:r>
          </m:e>
          <m:sub>
            <m:r>
              <m:rPr/>
              <m:t>r</m:t>
            </m:r>
            <m:r>
              <m:rPr/>
              <m:t>,</m:t>
            </m:r>
            <m:r>
              <m:rPr/>
              <m:t>T</m:t>
            </m:r>
          </m:sub>
        </m:sSub>
      </m:oMath>
      <w:r>
        <w:t xml:space="preserve"> </w:t>
      </w:r>
      <w:r>
        <w:t xml:space="preserve">Total C mass of roots</w:t>
      </w:r>
      <w:r>
        <w:br w:type="textWrapping"/>
      </w:r>
      <w:r>
        <w:t xml:space="preserve">E Leaf transpiration</w:t>
      </w:r>
      <w:r>
        <w:br w:type="textWrapping"/>
      </w:r>
      <w:r>
        <w:t xml:space="preserve">eC</w:t>
      </w:r>
      <w:r>
        <w:rPr>
          <w:vertAlign w:val="subscript"/>
        </w:rPr>
        <w:t xml:space="preserve">a</w:t>
      </w:r>
      <w:r>
        <w:t xml:space="preserve"> </w:t>
      </w:r>
      <w:r>
        <w:t xml:space="preserve">Elevated CO</w:t>
      </w:r>
      <w:r>
        <w:rPr>
          <w:vertAlign w:val="subscript"/>
        </w:rPr>
        <w:t xml:space="preserve">2</w:t>
      </w:r>
      <w:r>
        <w:t xml:space="preserve"> </w:t>
      </w:r>
      <w:r>
        <w:t xml:space="preserve">treatment</w:t>
      </w:r>
      <w:r>
        <w:br w:type="textWrapping"/>
      </w:r>
      <w:r>
        <w:t xml:space="preserve">ET Elevated air temperature treatment</w:t>
      </w:r>
      <w:r>
        <w:br w:type="textWrapping"/>
      </w:r>
      <w:r>
        <w:t xml:space="preserve">FACE Free-air CO</w:t>
      </w:r>
      <w:r>
        <w:rPr>
          <w:vertAlign w:val="subscript"/>
        </w:rPr>
        <w:t xml:space="preserve">2</w:t>
      </w:r>
      <w:r>
        <w:t xml:space="preserve"> </w:t>
      </w:r>
      <w:r>
        <w:t xml:space="preserve">enrichment experiments</w:t>
      </w:r>
      <w:r>
        <w:br w:type="textWrapping"/>
      </w:r>
      <m:oMath>
        <m:sSub>
          <m:e>
            <m:r>
              <m:rPr>
                <m:sty m:val="p"/>
              </m:rPr>
              <m:t>F</m:t>
            </m:r>
          </m:e>
          <m:sub>
            <m:r>
              <m:rPr/>
              <m:t>c</m:t>
            </m:r>
          </m:sub>
        </m:sSub>
      </m:oMath>
      <w:r>
        <w:t xml:space="preserve"> </w:t>
      </w:r>
      <w:r>
        <w:t xml:space="preserve">Net aboveground carbon uptake</w:t>
      </w:r>
      <w:r>
        <w:br w:type="textWrapping"/>
      </w:r>
      <m:oMath>
        <m:sSub>
          <m:e>
            <m:r>
              <m:rPr>
                <m:sty m:val="p"/>
              </m:rPr>
              <m:t>F</m:t>
            </m:r>
          </m:e>
          <m:sub>
            <m:r>
              <m:rPr/>
              <m:t>c</m:t>
            </m:r>
            <m:r>
              <m:rPr/>
              <m:t>,</m:t>
            </m:r>
            <m:r>
              <m:rPr/>
              <m:t>r</m:t>
            </m:r>
          </m:sub>
        </m:sSub>
      </m:oMath>
      <w:r>
        <w:t xml:space="preserve"> </w:t>
      </w:r>
      <w:r>
        <w:t xml:space="preserve">Residual belowground C flux</w:t>
      </w:r>
      <w:r>
        <w:br w:type="textWrapping"/>
      </w:r>
      <w:r>
        <w:t xml:space="preserve">free freely-rooted</w:t>
      </w:r>
      <w:r>
        <w:br w:type="textWrapping"/>
      </w:r>
      <w:r>
        <w:t xml:space="preserve">FRLD Fine root length density</w:t>
      </w:r>
      <w:r>
        <w:br w:type="textWrapping"/>
      </w:r>
      <w:r>
        <w:t xml:space="preserve">g</w:t>
      </w:r>
      <w:r>
        <w:rPr>
          <w:vertAlign w:val="subscript"/>
        </w:rPr>
        <w:t xml:space="preserve">s</w:t>
      </w:r>
      <w:r>
        <w:t xml:space="preserve"> </w:t>
      </w:r>
      <w:r>
        <w:t xml:space="preserve">Stomatal conductance</w:t>
      </w:r>
      <w:r>
        <w:br w:type="textWrapping"/>
      </w:r>
      <w:r>
        <w:t xml:space="preserve">g</w:t>
      </w:r>
      <w:r>
        <w:rPr>
          <w:vertAlign w:val="subscript"/>
        </w:rPr>
        <w:t xml:space="preserve">m</w:t>
      </w:r>
      <w:r>
        <w:t xml:space="preserve"> </w:t>
      </w:r>
      <w:r>
        <w:t xml:space="preserve">Mesophyll conductance</w:t>
      </w:r>
      <w:r>
        <w:br w:type="textWrapping"/>
      </w:r>
      <w:r>
        <w:t xml:space="preserve">ITE Leaf level instantaneous transpiration efficiency</w:t>
      </w:r>
      <w:r>
        <w:br w:type="textWrapping"/>
      </w:r>
      <w:r>
        <w:t xml:space="preserve">J</w:t>
      </w:r>
      <w:r>
        <w:rPr>
          <w:vertAlign w:val="subscript"/>
        </w:rPr>
        <w:t xml:space="preserve">max</w:t>
      </w:r>
      <w:r>
        <w:t xml:space="preserve"> </w:t>
      </w:r>
      <w:r>
        <w:t xml:space="preserve">Maximum rate of photosynthetic electron transport</w:t>
      </w:r>
      <w:r>
        <w:br w:type="textWrapping"/>
      </w:r>
      <w:r>
        <w:t xml:space="preserve">K</w:t>
      </w:r>
      <w:r>
        <w:rPr>
          <w:vertAlign w:val="subscript"/>
        </w:rPr>
        <w:t xml:space="preserve">l</w:t>
      </w:r>
      <w:r>
        <w:t xml:space="preserve"> </w:t>
      </w:r>
      <w:r>
        <w:t xml:space="preserve">Leaf-specific hydraulic conductance</w:t>
      </w:r>
      <w:r>
        <w:br w:type="textWrapping"/>
      </w:r>
      <w:r>
        <w:t xml:space="preserve">LA Leaf area</w:t>
      </w:r>
      <w:r>
        <w:br w:type="textWrapping"/>
      </w:r>
      <w:r>
        <w:t xml:space="preserve">LMA Leaf mass per unit area</w:t>
      </w:r>
      <w:r>
        <w:br w:type="textWrapping"/>
      </w:r>
      <w:r>
        <w:t xml:space="preserve">LMF Leaf mass fraction</w:t>
      </w:r>
      <w:r>
        <w:br w:type="textWrapping"/>
      </w:r>
      <w:r>
        <w:t xml:space="preserve">N Nitrogen</w:t>
      </w:r>
      <w:r>
        <w:br w:type="textWrapping"/>
      </w:r>
      <w:r>
        <w:t xml:space="preserve">N</w:t>
      </w:r>
      <w:r>
        <w:rPr>
          <w:vertAlign w:val="subscript"/>
        </w:rPr>
        <w:t xml:space="preserve">a</w:t>
      </w:r>
      <w:r>
        <w:t xml:space="preserve"> </w:t>
      </w:r>
      <w:r>
        <w:t xml:space="preserve">Leaf nitrogen on an area basis</w:t>
      </w:r>
      <w:r>
        <w:br w:type="textWrapping"/>
      </w:r>
      <w:r>
        <w:t xml:space="preserve">N</w:t>
      </w:r>
      <w:r>
        <w:rPr>
          <w:vertAlign w:val="subscript"/>
        </w:rPr>
        <w:t xml:space="preserve">f</w:t>
      </w:r>
      <w:r>
        <w:t xml:space="preserve"> </w:t>
      </w:r>
      <w:r>
        <w:t xml:space="preserve">TNC-free leaf nitrogen content</w:t>
      </w:r>
      <w:r>
        <w:br w:type="textWrapping"/>
      </w:r>
      <w:r>
        <w:t xml:space="preserve">PPFD Photosynthetic photon flux density</w:t>
      </w:r>
      <w:r>
        <w:br w:type="textWrapping"/>
      </w:r>
      <w:r>
        <w:t xml:space="preserve">Q</w:t>
      </w:r>
      <w:r>
        <w:rPr>
          <w:vertAlign w:val="subscript"/>
        </w:rPr>
        <w:t xml:space="preserve">10</w:t>
      </w:r>
      <w:r>
        <w:t xml:space="preserve"> </w:t>
      </w:r>
      <w:r>
        <w:t xml:space="preserve">Rate of change in respiration due to 10 °C increase in temperature</w:t>
      </w:r>
      <w:r>
        <w:br w:type="textWrapping"/>
      </w:r>
      <w:r>
        <w:rPr>
          <w:i/>
        </w:rPr>
        <w:t xml:space="preserve">R</w:t>
      </w:r>
      <w:r>
        <w:t xml:space="preserve"> </w:t>
      </w:r>
      <w:r>
        <w:t xml:space="preserve">Leaf dark respiration rate</w:t>
      </w:r>
      <w:r>
        <w:br w:type="textWrapping"/>
      </w:r>
      <w:r>
        <w:t xml:space="preserve">RMF Root mass fraction</w:t>
      </w:r>
      <w:r>
        <w:br w:type="textWrapping"/>
      </w:r>
      <w:r>
        <w:t xml:space="preserve">SLA Specific leaf area</w:t>
      </w:r>
      <w:r>
        <w:br w:type="textWrapping"/>
      </w:r>
      <w:r>
        <w:t xml:space="preserve">SLA</w:t>
      </w:r>
      <w:r>
        <w:rPr>
          <w:vertAlign w:val="subscript"/>
        </w:rPr>
        <w:t xml:space="preserve">f</w:t>
      </w:r>
      <w:r>
        <w:t xml:space="preserve"> </w:t>
      </w:r>
      <w:r>
        <w:t xml:space="preserve">TNC-free Specific leaf area</w:t>
      </w:r>
      <w:r>
        <w:br w:type="textWrapping"/>
      </w:r>
      <w:r>
        <w:t xml:space="preserve">SMF Stem mass fraction</w:t>
      </w:r>
      <w:r>
        <w:br w:type="textWrapping"/>
      </w:r>
      <w:r>
        <w:t xml:space="preserve">TBCA Total belowground C allocation</w:t>
      </w:r>
      <w:r>
        <w:br w:type="textWrapping"/>
      </w:r>
      <w:r>
        <w:t xml:space="preserve">TNC Total non-structural carbohydrate</w:t>
      </w:r>
      <w:r>
        <w:br w:type="textWrapping"/>
      </w:r>
      <w:r>
        <w:t xml:space="preserve">TDL Tunable diode laser</w:t>
      </w:r>
      <w:r>
        <w:br w:type="textWrapping"/>
      </w:r>
      <w:r>
        <w:t xml:space="preserve">Vc</w:t>
      </w:r>
      <w:r>
        <w:rPr>
          <w:vertAlign w:val="subscript"/>
        </w:rPr>
        <w:t xml:space="preserve">max</w:t>
      </w:r>
      <w:r>
        <w:t xml:space="preserve"> </w:t>
      </w:r>
      <w:r>
        <w:t xml:space="preserve">Maximum rate of rubisco carboxylation</w:t>
      </w:r>
      <w:r>
        <w:br w:type="textWrapping"/>
      </w:r>
      <w:r>
        <w:t xml:space="preserve">VPD Vapour pressure deficit</w:t>
      </w:r>
      <w:r>
        <w:br w:type="textWrapping"/>
      </w:r>
      <w:r>
        <w:t xml:space="preserve">VPDB Standard Vienna Pee Dee Belemnite</w:t>
      </w:r>
      <w:r>
        <w:br w:type="textWrapping"/>
      </w:r>
      <w:r>
        <w:t xml:space="preserve">WUE Water-use efficiency</w:t>
      </w:r>
      <w:r>
        <w:br w:type="textWrapping"/>
      </w:r>
      <w:r>
        <w:t xml:space="preserve">WTC Whole-tree chambers</w:t>
      </w:r>
      <w:r>
        <w:br w:type="textWrapping"/>
      </w:r>
      <m:oMath>
        <m:r>
          <m:rPr/>
          <m:t>δ</m:t>
        </m:r>
      </m:oMath>
      <w:r>
        <w:rPr>
          <w:vertAlign w:val="superscript"/>
        </w:rPr>
        <w:t xml:space="preserve">13</w:t>
      </w:r>
      <w:r>
        <w:t xml:space="preserve">C C isotope ratios of 13^C to 12^C expressed relative to standard Vienna Pee Dee Belemnite</w:t>
      </w:r>
      <w:r>
        <w:br w:type="textWrapping"/>
      </w:r>
      <m:oMath>
        <m:r>
          <m:rPr/>
          <m:t>Δ</m:t>
        </m:r>
      </m:oMath>
      <w:r>
        <w:t xml:space="preserve"> </w:t>
      </w:r>
      <w:r>
        <w:t xml:space="preserve">C isotope discrimination during C3 photosynthesis</w:t>
      </w:r>
      <w:r>
        <w:br w:type="textWrapping"/>
      </w:r>
      <m:oMath>
        <m:r>
          <m:rPr/>
          <m:t>Ψ</m:t>
        </m:r>
      </m:oMath>
      <w:r>
        <w:rPr>
          <w:vertAlign w:val="subscript"/>
        </w:rPr>
        <w:t xml:space="preserve">l</w:t>
      </w:r>
      <w:r>
        <w:t xml:space="preserve"> </w:t>
      </w:r>
      <w:r>
        <w:t xml:space="preserve">Midday leaf water potential</w:t>
      </w:r>
      <w:r>
        <w:br w:type="textWrapping"/>
      </w:r>
      <m:oMath>
        <m:r>
          <m:rPr/>
          <m:t>Ψ</m:t>
        </m:r>
      </m:oMath>
      <w:r>
        <w:rPr>
          <w:vertAlign w:val="subscript"/>
        </w:rPr>
        <w:t xml:space="preserve">pd</w:t>
      </w:r>
      <w:r>
        <w:t xml:space="preserve"> </w:t>
      </w:r>
      <w:r>
        <w:t xml:space="preserve">Predawn leaf water potential</w:t>
      </w:r>
      <w:r>
        <w:br w:type="textWrapping"/>
      </w:r>
      <m:oMath>
        <m:r>
          <m:rPr/>
          <m:t>σ</m:t>
        </m:r>
      </m:oMath>
      <w:r>
        <w:rPr>
          <w:vertAlign w:val="subscript"/>
        </w:rPr>
        <w:t xml:space="preserve">s</w:t>
      </w:r>
      <w:r>
        <w:t xml:space="preserve"> </w:t>
      </w:r>
      <w:r>
        <w:t xml:space="preserve">Self shading parameter</w:t>
      </w:r>
    </w:p>
    <w:p>
      <w:pPr>
        <w:pStyle w:val="Heading1"/>
      </w:pPr>
      <w:bookmarkStart w:id="29" w:name="abstract"/>
      <w:bookmarkEnd w:id="29"/>
      <w:r>
        <w:t xml:space="preserve">Abstract</w:t>
      </w:r>
    </w:p>
    <w:p>
      <w:pPr>
        <w:pStyle w:val="FirstParagraph"/>
      </w:pPr>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This lack of understanding regarding C uptake and the fate of assimilated C inhibits our ability to precisely test the coordination between canopy photosynthesis and growth. To address these broad ecological questions, this PhD research utilized a diverse set of experiments which manipulated resource availability and climate factors on</w:t>
      </w:r>
      <w:r>
        <w:t xml:space="preserve"> </w:t>
      </w:r>
      <w:r>
        <w:rPr>
          <w:i/>
        </w:rPr>
        <w:t xml:space="preserve">Eucalyptus</w:t>
      </w:r>
      <w:r>
        <w:t xml:space="preserve"> </w:t>
      </w:r>
      <w:r>
        <w:t xml:space="preserve">tree species. My goal was to measure aspects of resource allocation and C uptake across different scales, from leaf to whole tree, to improve understanding of the physiological processes which determine tree growth and the sensitivity of these processes to changing environments.</w:t>
      </w:r>
    </w:p>
    <w:p>
      <w:pPr>
        <w:pStyle w:val="BodyText"/>
      </w:pPr>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freely-rooted seedlings (free). Aboveground growth of seedlings in containers was negatively affected compared to free seedlings soon after the experiment started. Despite large reductions in total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pPr>
        <w:pStyle w:val="BodyText"/>
      </w:pPr>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w:t>
      </w:r>
      <w:r>
        <w:rPr>
          <w:vertAlign w:val="subscript"/>
        </w:rPr>
        <w:t xml:space="preserve">max</w:t>
      </w:r>
      <w:r>
        <w:t xml:space="preserve"> </w:t>
      </w:r>
      <w:r>
        <w:t xml:space="preserve">and J</w:t>
      </w:r>
      <w:r>
        <w:rPr>
          <w:vertAlign w:val="subscript"/>
        </w:rPr>
        <w:t xml:space="preserve">max</w:t>
      </w:r>
      <w:r>
        <w:t xml:space="preserve">)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(within minutes),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likely enables shade leaves to respond quickly to sunflecks and possibly represents a new mechanism underpinning leaf gas exchange responses to light. This capacity of shade leaves to adjust their physiological behavior and increase C uptake when sunflecks occur likely plays significant role in whole tree C uptake for some tree species, albeit at the cost or reduced water-use efficiency.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pPr>
        <w:pStyle w:val="BodyText"/>
      </w:pPr>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under treatments of two [CO</w:t>
      </w:r>
      <w:r>
        <w:rPr>
          <w:vertAlign w:val="subscript"/>
        </w:rPr>
        <w:t xml:space="preserve">2</w:t>
      </w:r>
      <w:r>
        <w:t xml:space="preserve">] (380 ppm and 620 ppm) and two watering regimes (well-watered and a four-month drought) in factorial combination. Additionally, we utilized a novel approach to calculate total belowground C allocation (TBCA) for each WTC as the residual between the measured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pPr>
        <w:pStyle w:val="BodyText"/>
      </w:pPr>
      <w:r>
        <w:br w:type="textWrapping"/>
      </w:r>
      <w:r>
        <w:t xml:space="preserve">In conclusion, this PhD research addressed interrelated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regarding water use. Results from this work reveal how quantifying the fate of photosynthetic C among tissue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w:t>
      </w:r>
      <w:r>
        <w:t xml:space="preserve"> </w:t>
      </w:r>
      <w:r>
        <w:rPr>
          <w:i/>
        </w:rPr>
        <w:t xml:space="preserve">Eucalyptus</w:t>
      </w:r>
      <w:r>
        <w:t xml:space="preserve"> </w:t>
      </w:r>
      <w:r>
        <w:t xml:space="preserve">tree species essential for reconciling the impacts of resource availability and global climate change on Australian ecosystems and the productivity of</w:t>
      </w:r>
      <w:r>
        <w:t xml:space="preserve"> </w:t>
      </w:r>
      <w:r>
        <w:rPr>
          <w:i/>
        </w:rPr>
        <w:t xml:space="preserve">Eucalyptus</w:t>
      </w:r>
      <w:r>
        <w:t xml:space="preserve"> </w:t>
      </w:r>
      <w:r>
        <w:t xml:space="preserve">plantation forests.</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58509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