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br w:type="textWrapping"/>
      </w:r>
      <w:r>
        <w:br w:type="textWrapping"/>
      </w:r>
      <w:r>
        <w:rPr>
          <w:b/>
        </w:rPr>
        <w:t xml:space="preserve">Resource allocation</w:t>
      </w:r>
      <w:r>
        <w:rPr>
          <w:b/>
        </w:rPr>
        <w:t xml:space="preserve"> </w:t>
      </w:r>
      <w:r>
        <w:rPr>
          <w:i/>
          <w:b/>
        </w:rPr>
        <w:t xml:space="preserve">Eucalpytus</w:t>
      </w:r>
      <w:r>
        <w:br w:type="textWrapping"/>
      </w:r>
      <w:r>
        <w:br w:type="textWrapping"/>
      </w:r>
      <w:r>
        <w:br w:type="textWrapping"/>
      </w:r>
      <w:r>
        <w:br w:type="textWrapping"/>
      </w:r>
      <w:r>
        <w:rPr>
          <w:b/>
        </w:rPr>
        <w:t xml:space="preserve">By</w:t>
      </w:r>
    </w:p>
    <w:p>
      <w:pPr>
        <w:pStyle w:val="BodyText"/>
      </w:pPr>
      <w:r>
        <w:br w:type="textWrapping"/>
      </w:r>
      <w:r>
        <w:rPr>
          <w:b/>
        </w:rPr>
        <w:t xml:space="preserve">Courtney Campany</w:t>
      </w:r>
      <w:r>
        <w:br w:type="textWrapping"/>
      </w:r>
      <w:r>
        <w:br w:type="textWrapping"/>
      </w:r>
      <w:r>
        <w:br w:type="textWrapping"/>
      </w:r>
      <w:r>
        <w:br w:type="textWrapping"/>
      </w:r>
      <w:r>
        <w:rPr>
          <w:b/>
        </w:rPr>
        <w:t xml:space="preserve">A thesis submitted in fulfilment of the requirements</w:t>
      </w:r>
      <w:r>
        <w:br w:type="textWrapping"/>
      </w:r>
      <w:r>
        <w:rPr>
          <w:b/>
        </w:rPr>
        <w:t xml:space="preserve">for the degree of Doctor of Philosophy</w:t>
      </w:r>
      <w:r>
        <w:br w:type="textWrapping"/>
      </w:r>
      <w:r>
        <w:br w:type="textWrapping"/>
      </w:r>
      <w:r>
        <w:br w:type="textWrapping"/>
      </w:r>
      <w:r>
        <w:drawing>
          <wp:inline>
            <wp:extent cx="2743200" cy="1828800"/>
            <wp:effectExtent b="0" l="0" r="0" t="0"/>
            <wp:docPr descr="" id="1" name="Picture"/>
            <a:graphic>
              <a:graphicData uri="http://schemas.openxmlformats.org/drawingml/2006/picture">
                <pic:pic>
                  <pic:nvPicPr>
                    <pic:cNvPr descr="thesis_start_files/figure-docx/concept-1.png" id="0" name="Picture"/>
                    <pic:cNvPicPr>
                      <a:picLocks noChangeArrowheads="1" noChangeAspect="1"/>
                    </pic:cNvPicPr>
                  </pic:nvPicPr>
                  <pic:blipFill>
                    <a:blip r:embed="rId21"/>
                    <a:stretch>
                      <a:fillRect/>
                    </a:stretch>
                  </pic:blipFill>
                  <pic:spPr bwMode="auto">
                    <a:xfrm>
                      <a:off x="0" y="0"/>
                      <a:ext cx="2743200" cy="1828800"/>
                    </a:xfrm>
                    <a:prstGeom prst="rect">
                      <a:avLst/>
                    </a:prstGeom>
                    <a:noFill/>
                    <a:ln w="9525">
                      <a:noFill/>
                      <a:headEnd/>
                      <a:tailEnd/>
                    </a:ln>
                  </pic:spPr>
                </pic:pic>
              </a:graphicData>
            </a:graphic>
          </wp:inline>
        </w:drawing>
      </w:r>
    </w:p>
    <w:p>
      <w:pPr>
        <w:pStyle w:val="BodyText"/>
      </w:pPr>
      <w:r>
        <w:br w:type="textWrapping"/>
      </w:r>
      <w:r>
        <w:rPr>
          <w:b/>
        </w:rPr>
        <w:t xml:space="preserve">2015</w:t>
      </w:r>
    </w:p>
    <w:p>
      <w:pPr>
        <w:pStyle w:val="Heading1"/>
      </w:pPr>
      <w:bookmarkStart w:id="22" w:name="acknowledgements"/>
      <w:bookmarkEnd w:id="22"/>
      <w:r>
        <w:t xml:space="preserve">Acknowledgements</w:t>
      </w:r>
    </w:p>
    <w:p>
      <w:pPr>
        <w:pStyle w:val="Heading1"/>
      </w:pPr>
      <w:bookmarkStart w:id="23" w:name="statement-of-authentication"/>
      <w:bookmarkEnd w:id="23"/>
      <w:r>
        <w:t xml:space="preserve">Statement of Authentication</w:t>
      </w:r>
    </w:p>
    <w:p>
      <w:pPr>
        <w:pStyle w:val="FirstParagraph"/>
      </w:pPr>
      <w:r>
        <w:br w:type="textWrapping"/>
      </w:r>
      <w:r>
        <w:br w:type="textWrapping"/>
      </w:r>
      <w:r>
        <w:br w:type="textWrapping"/>
      </w:r>
      <w:r>
        <w:br w:type="textWrapping"/>
      </w:r>
      <w:r>
        <w:t xml:space="preserve">The work presented in this thesis is, to the best of my knowledge and belief, original except as acknowledged in the text. I hereby declare that I have not submitted this material, either in full or in part, for a degree at this or any other institution.</w:t>
      </w:r>
    </w:p>
    <w:p>
      <w:pPr>
        <w:pStyle w:val="Heading1"/>
      </w:pPr>
      <w:bookmarkStart w:id="24" w:name="table-of-contents"/>
      <w:bookmarkEnd w:id="24"/>
      <w:r>
        <w:t xml:space="preserve">Table of Contents</w:t>
      </w:r>
    </w:p>
    <w:p>
      <w:pPr>
        <w:pStyle w:val="Heading1"/>
      </w:pPr>
      <w:bookmarkStart w:id="25" w:name="list-of-tables"/>
      <w:bookmarkEnd w:id="25"/>
      <w:r>
        <w:t xml:space="preserve">LIST OF TABLES</w:t>
      </w:r>
    </w:p>
    <w:p>
      <w:pPr>
        <w:pStyle w:val="FirstParagraph"/>
      </w:pPr>
      <w:r>
        <w:rPr>
          <w:b/>
        </w:rPr>
        <w:t xml:space="preserve">Table 2.1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2.2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pPr>
        <w:pStyle w:val="BodyText"/>
      </w:pPr>
      <w:r>
        <w:br w:type="textWrapping"/>
      </w:r>
      <w:r>
        <w:rPr>
          <w:b/>
        </w:rPr>
        <w:t xml:space="preserve">Table 2.3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2.S1</w:t>
      </w:r>
      <w:r>
        <w:t xml:space="preserve">. Seedling growth model default parameters.</w:t>
      </w:r>
    </w:p>
    <w:p>
      <w:pPr>
        <w:pStyle w:val="BodyText"/>
      </w:pPr>
      <w:r>
        <w:br w:type="textWrapping"/>
      </w:r>
      <w:r>
        <w:rPr>
          <w:b/>
        </w:rPr>
        <w:t xml:space="preserve">Table 3.1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t>δ</m:t>
        </m:r>
      </m:oMath>
      <w:r>
        <w:rPr>
          <w:vertAlign w:val="superscript"/>
        </w:rPr>
        <w:t xml:space="preserve">13</w:t>
      </w:r>
      <w:r>
        <w:t xml:space="preserve">C,</w:t>
      </w:r>
      <w:r>
        <w:t xml:space="preserve"> </w:t>
      </w:r>
      <m:oMath>
        <m:r>
          <m:rPr/>
          <m:t>Ψ</m:t>
        </m:r>
      </m:oMath>
      <w:r>
        <w:rPr>
          <w:vertAlign w:val="subscript"/>
        </w:rPr>
        <w:t xml:space="preserve">pd</w:t>
      </w:r>
      <w:r>
        <w:t xml:space="preserve">,</w:t>
      </w:r>
      <w:r>
        <w:t xml:space="preserve"> </w:t>
      </w:r>
      <m:oMath>
        <m:r>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pPr>
        <w:pStyle w:val="BodyText"/>
      </w:pPr>
      <w:r>
        <w:br w:type="textWrapping"/>
      </w:r>
      <w:r>
        <w:rPr>
          <w:b/>
        </w:rPr>
        <w:t xml:space="preserve">Table 3.2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BodyText"/>
      </w:pPr>
      <w:r>
        <w:br w:type="textWrapping"/>
      </w:r>
      <w:r>
        <w:rPr>
          <w:b/>
        </w:rPr>
        <w:t xml:space="preserve">Table 4.1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t>c</m:t>
            </m:r>
            <m:r>
              <m:rPr/>
              <m:t>,</m:t>
            </m:r>
            <m:r>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CO</w:t>
      </w:r>
      <w:r>
        <w:rPr>
          <w:vertAlign w:val="subscript"/>
        </w:rPr>
        <w:t xml:space="preserve">2</w:t>
      </w:r>
      <w:r>
        <w:t xml:space="preserve"> </w:t>
      </w:r>
      <w:r>
        <w:t xml:space="preserve">* drought interactions. P values represent overall differences of CO</w:t>
      </w:r>
      <w:r>
        <w:rPr>
          <w:vertAlign w:val="subscript"/>
        </w:rPr>
        <w:t xml:space="preserve">2</w:t>
      </w:r>
      <w:r>
        <w:t xml:space="preserve"> </w:t>
      </w:r>
      <w:r>
        <w:t xml:space="preserve">or drought main effects and the CO</w:t>
      </w:r>
      <w:r>
        <w:rPr>
          <w:vertAlign w:val="subscript"/>
        </w:rPr>
        <w:t xml:space="preserve">2</w:t>
      </w:r>
      <w:r>
        <w:t xml:space="preserve"> </w:t>
      </w:r>
      <w:r>
        <w:t xml:space="preserve">* drought interaction.</w:t>
      </w:r>
    </w:p>
    <w:p>
      <w:pPr>
        <w:pStyle w:val="Heading1"/>
      </w:pPr>
      <w:bookmarkStart w:id="26" w:name="list-of-figures"/>
      <w:bookmarkEnd w:id="26"/>
      <w:r>
        <w:t xml:space="preserve">LIST OF FIGURES</w:t>
      </w:r>
    </w:p>
    <w:p>
      <w:pPr>
        <w:pStyle w:val="FirstParagraph"/>
      </w:pPr>
      <w:r>
        <w:rPr>
          <w:b/>
        </w:rPr>
        <w:t xml:space="preserve">Figure 2.1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pPr>
        <w:pStyle w:val="BodyText"/>
      </w:pPr>
      <w:r>
        <w:br w:type="textWrapping"/>
      </w:r>
      <w:r>
        <w:rPr>
          <w:b/>
        </w:rPr>
        <w:t xml:space="preserve">Figure 2.2</w:t>
      </w:r>
      <w:r>
        <w:t xml:space="preserve">. Daily maximum and minimum temperature (a), total daily PPFD (b), and daily maximum vapour pressure deficit (c) across the experiment duration in 2013.</w:t>
      </w:r>
    </w:p>
    <w:p>
      <w:pPr>
        <w:pStyle w:val="BodyText"/>
      </w:pPr>
      <w:r>
        <w:br w:type="textWrapping"/>
      </w:r>
      <w:r>
        <w:rPr>
          <w:b/>
        </w:rPr>
        <w:t xml:space="preserve">Figure 2.3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pPr>
        <w:pStyle w:val="BodyText"/>
      </w:pPr>
      <w:r>
        <w:br w:type="textWrapping"/>
      </w:r>
      <w:r>
        <w:rPr>
          <w:b/>
        </w:rPr>
        <w:t xml:space="preserve">Figure 2.4</w:t>
      </w:r>
      <w:r>
        <w:t xml:space="preserve">. Soil volume treatment means ± standard error, across all measurement campaigns (n = 6), of light saturated rates of photosynthesis at 25°C. Different letters represent significant differences between treatments.</w:t>
      </w:r>
    </w:p>
    <w:p>
      <w:pPr>
        <w:pStyle w:val="BodyText"/>
      </w:pPr>
      <w:r>
        <w:br w:type="textWrapping"/>
      </w:r>
      <w:r>
        <w:rPr>
          <w:b/>
        </w:rPr>
        <w:t xml:space="preserve">Figure 2.5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pPr>
        <w:pStyle w:val="BodyText"/>
      </w:pPr>
      <w:r>
        <w:br w:type="textWrapping"/>
      </w:r>
      <w:r>
        <w:rPr>
          <w:b/>
        </w:rPr>
        <w:t xml:space="preserve">Figure 2.6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pPr>
        <w:pStyle w:val="BodyText"/>
      </w:pPr>
      <w:r>
        <w:br w:type="textWrapping"/>
      </w:r>
      <w:r>
        <w:rPr>
          <w:b/>
        </w:rPr>
        <w:t xml:space="preserve">Figure 2.S1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BodyText"/>
      </w:pPr>
      <w:r>
        <w:br w:type="textWrapping"/>
      </w:r>
      <w:r>
        <w:rPr>
          <w:b/>
        </w:rPr>
        <w:t xml:space="preserve">Figure 3.1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pPr>
        <w:pStyle w:val="BodyText"/>
      </w:pPr>
      <w:r>
        <w:br w:type="textWrapping"/>
      </w:r>
      <w:r>
        <w:rPr>
          <w:b/>
        </w:rPr>
        <w:t xml:space="preserve">Figure 3.2</w:t>
      </w:r>
      <w:r>
        <w:t xml:space="preserve">. (a) AC</w:t>
      </w:r>
      <w:r>
        <w:rPr>
          <w:vertAlign w:val="subscript"/>
        </w:rPr>
        <w:t xml:space="preserve">i</w:t>
      </w:r>
      <w:r>
        <w:t xml:space="preserve"> </w:t>
      </w:r>
      <w:r>
        <w:t xml:space="preserve">curves for sun and shade leaves at elevated (ET) and ambient (AT) temperature treatments. AC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pPr>
        <w:pStyle w:val="BodyText"/>
      </w:pPr>
      <w:r>
        <w:br w:type="textWrapping"/>
      </w:r>
      <w:r>
        <w:rPr>
          <w:b/>
        </w:rPr>
        <w:t xml:space="preserve">Figure 3.3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pPr>
        <w:pStyle w:val="BodyText"/>
      </w:pPr>
      <w:r>
        <w:br w:type="textWrapping"/>
      </w:r>
      <w:r>
        <w:rPr>
          <w:b/>
        </w:rPr>
        <w:t xml:space="preserve">Figure 3.4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pPr>
        <w:pStyle w:val="BodyText"/>
      </w:pPr>
      <w:r>
        <w:br w:type="textWrapping"/>
      </w:r>
      <w:r>
        <w:rPr>
          <w:b/>
        </w:rPr>
        <w:t xml:space="preserve">Figure 3.5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pPr>
        <w:pStyle w:val="BodyText"/>
      </w:pPr>
      <w:r>
        <w:br w:type="textWrapping"/>
      </w:r>
      <w:r>
        <w:rPr>
          <w:b/>
        </w:rPr>
        <w:t xml:space="preserve">Figure 3.6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[-@evans1986carbon]</w:t>
      </w:r>
      <w:r>
        <w:t xml:space="preserve">.</w:t>
      </w:r>
    </w:p>
    <w:p>
      <w:pPr>
        <w:pStyle w:val="BodyText"/>
      </w:pPr>
      <w:r>
        <w:br w:type="textWrapping"/>
      </w:r>
      <w:r>
        <w:rPr>
          <w:b/>
        </w:rPr>
        <w:t xml:space="preserve">Figure 3.7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pPr>
        <w:pStyle w:val="BodyText"/>
      </w:pPr>
      <w:r>
        <w:br w:type="textWrapping"/>
      </w:r>
      <w:r>
        <w:rPr>
          <w:b/>
        </w:rPr>
        <w:t xml:space="preserve">Figure 3.S1</w:t>
      </w:r>
      <w:r>
        <w:t xml:space="preserve">. Daily maximum and minimum temperature (a) and total daily PPFD (b) for each chamber across the experiment duration.</w:t>
      </w:r>
    </w:p>
    <w:p>
      <w:pPr>
        <w:pStyle w:val="BodyText"/>
      </w:pPr>
      <w:r>
        <w:br w:type="textWrapping"/>
      </w:r>
      <w:r>
        <w:rPr>
          <w:b/>
        </w:rPr>
        <w:t xml:space="preserve">Figure 3.S2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rPr>
          <w:b/>
        </w:rPr>
        <w:t xml:space="preserve">Figure 3.S3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pPr>
        <w:pStyle w:val="BodyText"/>
      </w:pPr>
      <w:r>
        <w:br w:type="textWrapping"/>
      </w:r>
      <w:r>
        <w:rPr>
          <w:b/>
        </w:rPr>
        <w:t xml:space="preserve">Figure 3.S4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BodyText"/>
      </w:pPr>
      <w:r>
        <w:rPr>
          <w:b/>
        </w:rPr>
        <w:t xml:space="preserve">Figure 4.1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t>c</m:t>
            </m:r>
            <m:r>
              <m:rPr/>
              <m:t>,</m:t>
            </m:r>
            <m:r>
              <m:rPr/>
              <m:t>T</m:t>
            </m:r>
          </m:sub>
        </m:sSub>
      </m:oMath>
      <w:r>
        <w:t xml:space="preserve"> </w:t>
      </w:r>
      <w:r>
        <w:t xml:space="preserve">and total aboveground C mass.</w:t>
      </w:r>
    </w:p>
    <w:p>
      <w:pPr>
        <w:pStyle w:val="BodyText"/>
      </w:pPr>
      <w:r>
        <w:br w:type="textWrapping"/>
      </w:r>
      <w:r>
        <w:rPr>
          <w:b/>
        </w:rPr>
        <w:t xml:space="preserve">Figure 4.2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pPr>
        <w:pStyle w:val="BodyText"/>
      </w:pPr>
      <w:r>
        <w:br w:type="textWrapping"/>
      </w:r>
      <w:r>
        <w:rPr>
          <w:b/>
        </w:rPr>
        <w:t xml:space="preserve">Figure 4.3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[-@barton2012effects]</w:t>
      </w:r>
      <w:r>
        <w:t xml:space="preserve">. Color and line type distinguish the treatment combination for each WTC.</w:t>
      </w:r>
    </w:p>
    <w:p>
      <w:pPr>
        <w:pStyle w:val="BodyText"/>
      </w:pPr>
      <w:r>
        <w:br w:type="textWrapping"/>
      </w:r>
      <w:r>
        <w:rPr>
          <w:b/>
        </w:rPr>
        <w:t xml:space="preserve">Figure 4.4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t>c</m:t>
            </m:r>
            <m:r>
              <m:rPr/>
              <m:t>,</m:t>
            </m:r>
            <m:r>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pPr>
        <w:pStyle w:val="BodyText"/>
      </w:pPr>
      <w:r>
        <w:br w:type="textWrapping"/>
      </w:r>
      <w:r>
        <w:rPr>
          <w:b/>
        </w:rPr>
        <w:t xml:space="preserve">Figure 4.5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pPr>
        <w:pStyle w:val="BodyText"/>
      </w:pPr>
      <w:r>
        <w:br w:type="textWrapping"/>
      </w:r>
      <w:r>
        <w:rPr>
          <w:b/>
        </w:rPr>
        <w:t xml:space="preserve">Figure 4.6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pPr>
        <w:pStyle w:val="BodyText"/>
      </w:pPr>
      <w:r>
        <w:br w:type="textWrapping"/>
      </w:r>
      <w:r>
        <w:rPr>
          <w:b/>
        </w:rPr>
        <w:t xml:space="preserve">Figure 4.7</w:t>
      </w:r>
      <w:r>
        <w:t xml:space="preserve">. Treatment means ± 1 standard error of cumulative aboveground net C flux, TBCA, and the residual belowground C flux (</w:t>
      </w:r>
      <m:oMath>
        <m:sSub>
          <m:e>
            <m:r>
              <m:rPr>
                <m:sty m:val="p"/>
              </m:rPr>
              <m:t>F</m:t>
            </m:r>
          </m:e>
          <m:sub>
            <m:r>
              <m:rPr/>
              <m:t>c</m:t>
            </m:r>
            <m:r>
              <m:rPr/>
              <m:t>,</m:t>
            </m:r>
            <m:r>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t>c</m:t>
            </m:r>
            <m:r>
              <m:rPr/>
              <m:t>,</m:t>
            </m:r>
            <m:r>
              <m:rPr/>
              <m:t>r</m:t>
            </m:r>
          </m:sub>
        </m:sSub>
      </m:oMath>
      <w:r>
        <w:t xml:space="preserve"> </w:t>
      </w:r>
      <w:r>
        <w:t xml:space="preserve">were calculated as the residual between TBCA and root C mass predicted on the last date of the eleven month period.</w:t>
      </w:r>
    </w:p>
    <w:p>
      <w:pPr>
        <w:pStyle w:val="BodyText"/>
      </w:pPr>
      <w:r>
        <w:br w:type="textWrapping"/>
      </w:r>
      <w:r>
        <w:rPr>
          <w:b/>
        </w:rPr>
        <w:t xml:space="preserve">Figure 4.8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pPr>
        <w:pStyle w:val="BodyText"/>
      </w:pPr>
      <w:r>
        <w:br w:type="textWrapping"/>
      </w:r>
      <w:r>
        <w:rPr>
          <w:b/>
        </w:rPr>
        <w:t xml:space="preserve">Figure 4.S1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pPr>
        <w:pStyle w:val="BodyText"/>
      </w:pPr>
      <w:r>
        <w:br w:type="textWrapping"/>
      </w:r>
      <w:r>
        <w:rPr>
          <w:b/>
        </w:rPr>
        <w:t xml:space="preserve">Figure 4.S2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27" w:name="list-of-abbreviations"/>
      <w:bookmarkEnd w:id="27"/>
      <w:r>
        <w:t xml:space="preserve">LIST OF ABBREVIATIONS</w:t>
      </w:r>
    </w:p>
    <w:p>
      <w:pPr>
        <w:pStyle w:val="FirstParagraph"/>
      </w:pPr>
      <w:r>
        <w:rPr>
          <w:i/>
        </w:rPr>
        <w:t xml:space="preserve">A</w:t>
      </w:r>
      <w:r>
        <w:rPr>
          <w:vertAlign w:val="subscript"/>
          <w:i/>
        </w:rPr>
        <w:t xml:space="preserve">n</w:t>
      </w:r>
      <w:r>
        <w:t xml:space="preserve"> </w:t>
      </w:r>
      <w:r>
        <w:t xml:space="preserve">Net leaf photosynthesis rate</w:t>
      </w:r>
      <w:r>
        <w:br w:type="textWrapping"/>
      </w:r>
      <w:r>
        <w:t xml:space="preserve">A</w:t>
      </w:r>
      <w:r>
        <w:rPr>
          <w:vertAlign w:val="subscript"/>
        </w:rPr>
        <w:t xml:space="preserve">c</w:t>
      </w:r>
      <w:r>
        <w:t xml:space="preserve"> </w:t>
      </w:r>
      <w:r>
        <w:t xml:space="preserve">Component specific biomass partitioning??</w:t>
      </w:r>
      <w:r>
        <w:br w:type="textWrapping"/>
      </w:r>
      <w:r>
        <w:t xml:space="preserve">aC</w:t>
      </w:r>
      <w:r>
        <w:rPr>
          <w:vertAlign w:val="subscript"/>
        </w:rPr>
        <w:t xml:space="preserve">a</w:t>
      </w:r>
      <w:r>
        <w:t xml:space="preserve"> </w:t>
      </w:r>
      <w:r>
        <w:t xml:space="preserve">Ambient CO</w:t>
      </w:r>
      <w:r>
        <w:rPr>
          <w:vertAlign w:val="subscript"/>
        </w:rPr>
        <w:t xml:space="preserve">2</w:t>
      </w:r>
      <w:r>
        <w:t xml:space="preserve"> </w:t>
      </w:r>
      <w:r>
        <w:t xml:space="preserve">treatment</w:t>
      </w:r>
      <w:r>
        <w:br w:type="textWrapping"/>
      </w:r>
      <w:r>
        <w:t xml:space="preserve">AC</w:t>
      </w:r>
      <w:r>
        <w:rPr>
          <w:vertAlign w:val="subscript"/>
        </w:rPr>
        <w:t xml:space="preserve">i</w:t>
      </w:r>
      <w:r>
        <w:t xml:space="preserve"> </w:t>
      </w:r>
      <w:r>
        <w:t xml:space="preserve">Photosynthetic CO</w:t>
      </w:r>
      <w:r>
        <w:rPr>
          <w:vertAlign w:val="subscript"/>
        </w:rPr>
        <w:t xml:space="preserve">2</w:t>
      </w:r>
      <w:r>
        <w:t xml:space="preserve"> </w:t>
      </w:r>
      <w:r>
        <w:t xml:space="preserve">response curves</w:t>
      </w:r>
      <w:r>
        <w:br w:type="textWrapping"/>
      </w:r>
      <w:r>
        <w:t xml:space="preserve">A~sat Leaf net photosynthesis at saturating light</w:t>
      </w:r>
      <w:r>
        <w:br w:type="textWrapping"/>
      </w:r>
      <w:r>
        <w:t xml:space="preserve">A~max Leaf net photosynthesis at saturating light and CO</w:t>
      </w:r>
      <w:r>
        <w:rPr>
          <w:vertAlign w:val="subscript"/>
        </w:rPr>
        <w:t xml:space="preserve">2</w:t>
      </w:r>
      <w:r>
        <w:t xml:space="preserve"> </w:t>
      </w:r>
      <w:r>
        <w:t xml:space="preserve">concentration</w:t>
      </w:r>
      <w:r>
        <w:br w:type="textWrapping"/>
      </w:r>
      <w:r>
        <w:t xml:space="preserve">AT Ambient air temperature treatment</w:t>
      </w:r>
      <w:r>
        <w:br w:type="textWrapping"/>
      </w:r>
      <w:r>
        <w:t xml:space="preserve">C Carbon</w:t>
      </w:r>
      <w:r>
        <w:br w:type="textWrapping"/>
      </w:r>
      <w:r>
        <w:t xml:space="preserve">[CO</w:t>
      </w:r>
      <w:r>
        <w:rPr>
          <w:vertAlign w:val="subscript"/>
        </w:rPr>
        <w:t xml:space="preserve">2</w:t>
      </w:r>
      <w:r>
        <w:t xml:space="preserve">] CO</w:t>
      </w:r>
      <w:r>
        <w:rPr>
          <w:vertAlign w:val="subscript"/>
        </w:rPr>
        <w:t xml:space="preserve">2</w:t>
      </w:r>
      <w:r>
        <w:t xml:space="preserve"> </w:t>
      </w:r>
      <w:r>
        <w:t xml:space="preserve">concentration</w:t>
      </w:r>
      <w:r>
        <w:br w:type="textWrapping"/>
      </w:r>
      <w:r>
        <w:t xml:space="preserve">C</w:t>
      </w:r>
      <w:r>
        <w:rPr>
          <w:vertAlign w:val="subscript"/>
        </w:rPr>
        <w:t xml:space="preserve">a</w:t>
      </w:r>
      <w:r>
        <w:t xml:space="preserve"> </w:t>
      </w:r>
      <w:r>
        <w:t xml:space="preserve">Atmospheric CO</w:t>
      </w:r>
      <w:r>
        <w:rPr>
          <w:vertAlign w:val="subscript"/>
        </w:rPr>
        <w:t xml:space="preserve">2</w:t>
      </w:r>
      <w:r>
        <w:t xml:space="preserve"> </w:t>
      </w:r>
      <w:r>
        <w:t xml:space="preserve">concentration</w:t>
      </w:r>
      <w:r>
        <w:br w:type="textWrapping"/>
      </w:r>
      <m:oMath>
        <m:sSub>
          <m:e>
            <m:r>
              <m:rPr>
                <m:sty m:val="p"/>
              </m:rPr>
              <m:t>C</m:t>
            </m:r>
          </m:e>
          <m:sub>
            <m:r>
              <m:rPr/>
              <m:t>a</m:t>
            </m:r>
            <m:r>
              <m:rPr/>
              <m:t>b</m:t>
            </m:r>
          </m:sub>
        </m:sSub>
      </m:oMath>
      <w:r>
        <w:t xml:space="preserve"> </w:t>
      </w:r>
      <w:r>
        <w:t xml:space="preserve">Aboveground standing crop C mass</w:t>
      </w:r>
      <w:r>
        <w:br w:type="textWrapping"/>
      </w:r>
      <w:r>
        <w:t xml:space="preserve">C</w:t>
      </w:r>
      <w:r>
        <w:rPr>
          <w:vertAlign w:val="subscript"/>
        </w:rPr>
        <w:t xml:space="preserve">day</w:t>
      </w:r>
      <w:r>
        <w:t xml:space="preserve"> </w:t>
      </w:r>
      <w:r>
        <w:t xml:space="preserve">Predicted daily carbon assimilation</w:t>
      </w:r>
      <w:r>
        <w:br w:type="textWrapping"/>
      </w:r>
      <w:r>
        <w:t xml:space="preserve">C</w:t>
      </w:r>
      <w:r>
        <w:rPr>
          <w:vertAlign w:val="subscript"/>
        </w:rPr>
        <w:t xml:space="preserve">i</w:t>
      </w:r>
      <w:r>
        <w:t xml:space="preserve"> </w:t>
      </w:r>
      <w:r>
        <w:t xml:space="preserve">Intercellular CO</w:t>
      </w:r>
      <w:r>
        <w:rPr>
          <w:vertAlign w:val="subscript"/>
        </w:rPr>
        <w:t xml:space="preserve">2</w:t>
      </w:r>
      <w:r>
        <w:t xml:space="preserve"> </w:t>
      </w:r>
      <w:r>
        <w:t xml:space="preserve">concentration (or partial pressure)</w:t>
      </w:r>
      <w:r>
        <w:br w:type="textWrapping"/>
      </w:r>
      <w:r>
        <w:t xml:space="preserve">C</w:t>
      </w:r>
      <w:r>
        <w:rPr>
          <w:vertAlign w:val="subscript"/>
        </w:rPr>
        <w:t xml:space="preserve">c</w:t>
      </w:r>
      <w:r>
        <w:t xml:space="preserve"> </w:t>
      </w:r>
      <w:r>
        <w:t xml:space="preserve">Chloroplastic CO</w:t>
      </w:r>
      <w:r>
        <w:rPr>
          <w:vertAlign w:val="subscript"/>
        </w:rPr>
        <w:t xml:space="preserve">2</w:t>
      </w:r>
      <w:r>
        <w:t xml:space="preserve"> </w:t>
      </w:r>
      <w:r>
        <w:t xml:space="preserve">concentration (or partial pressure)</w:t>
      </w:r>
      <w:r>
        <w:br w:type="textWrapping"/>
      </w:r>
      <m:oMath>
        <m:sSub>
          <m:e>
            <m:r>
              <m:rPr>
                <m:sty m:val="p"/>
              </m:rPr>
              <m:t>C</m:t>
            </m:r>
          </m:e>
          <m:sub>
            <m:r>
              <m:rPr/>
              <m:t>r</m:t>
            </m:r>
            <m:r>
              <m:rPr/>
              <m:t>,</m:t>
            </m:r>
            <m:r>
              <m:rPr/>
              <m:t>T</m:t>
            </m:r>
          </m:sub>
        </m:sSub>
      </m:oMath>
      <w:r>
        <w:t xml:space="preserve"> </w:t>
      </w:r>
      <w:r>
        <w:t xml:space="preserve">Total C mass of roots</w:t>
      </w:r>
      <w:r>
        <w:br w:type="textWrapping"/>
      </w:r>
      <w:r>
        <w:t xml:space="preserve">E Leaf transpiration</w:t>
      </w:r>
      <w:r>
        <w:br w:type="textWrapping"/>
      </w:r>
      <w:r>
        <w:t xml:space="preserve">eC</w:t>
      </w:r>
      <w:r>
        <w:rPr>
          <w:vertAlign w:val="subscript"/>
        </w:rPr>
        <w:t xml:space="preserve">a</w:t>
      </w:r>
      <w:r>
        <w:t xml:space="preserve"> </w:t>
      </w:r>
      <w:r>
        <w:t xml:space="preserve">Elevated CO</w:t>
      </w:r>
      <w:r>
        <w:rPr>
          <w:vertAlign w:val="subscript"/>
        </w:rPr>
        <w:t xml:space="preserve">2</w:t>
      </w:r>
      <w:r>
        <w:t xml:space="preserve"> </w:t>
      </w:r>
      <w:r>
        <w:t xml:space="preserve">treatment</w:t>
      </w:r>
      <w:r>
        <w:br w:type="textWrapping"/>
      </w:r>
      <w:r>
        <w:t xml:space="preserve">ET Elevated air temperature treatment</w:t>
      </w:r>
      <w:r>
        <w:br w:type="textWrapping"/>
      </w:r>
      <w:r>
        <w:t xml:space="preserve">FACE Free-air C0</w:t>
      </w:r>
      <w:r>
        <w:rPr>
          <w:vertAlign w:val="subscript"/>
        </w:rPr>
        <w:t xml:space="preserve">2</w:t>
      </w:r>
      <w:r>
        <w:t xml:space="preserve"> </w:t>
      </w:r>
      <w:r>
        <w:t xml:space="preserve">enrichment experiments</w:t>
      </w:r>
      <w:r>
        <w:br w:type="textWrapping"/>
      </w:r>
      <m:oMath>
        <m:sSub>
          <m:e>
            <m:r>
              <m:rPr>
                <m:sty m:val="p"/>
              </m:rPr>
              <m:t>F</m:t>
            </m:r>
          </m:e>
          <m:sub>
            <m:r>
              <m:rPr/>
              <m:t>c</m:t>
            </m:r>
          </m:sub>
        </m:sSub>
      </m:oMath>
      <w:r>
        <w:t xml:space="preserve"> </w:t>
      </w:r>
      <w:r>
        <w:t xml:space="preserve">Net aboveground carbon uptake</w:t>
      </w:r>
      <w:r>
        <w:br w:type="textWrapping"/>
      </w:r>
      <m:oMath>
        <m:sSub>
          <m:e>
            <m:r>
              <m:rPr>
                <m:sty m:val="p"/>
              </m:rPr>
              <m:t>F</m:t>
            </m:r>
          </m:e>
          <m:sub>
            <m:r>
              <m:rPr/>
              <m:t>c</m:t>
            </m:r>
            <m:r>
              <m:rPr/>
              <m:t>,</m:t>
            </m:r>
            <m:r>
              <m:rPr/>
              <m:t>r</m:t>
            </m:r>
          </m:sub>
        </m:sSub>
      </m:oMath>
      <w:r>
        <w:t xml:space="preserve"> </w:t>
      </w:r>
      <w:r>
        <w:t xml:space="preserve">Residual belowground C flux</w:t>
      </w:r>
      <w:r>
        <w:br w:type="textWrapping"/>
      </w:r>
      <w:r>
        <w:t xml:space="preserve">free naturally planted</w:t>
      </w:r>
      <w:r>
        <w:br w:type="textWrapping"/>
      </w:r>
      <w:r>
        <w:t xml:space="preserve">FRLD Fine root length density</w:t>
      </w:r>
      <w:r>
        <w:br w:type="textWrapping"/>
      </w:r>
      <w:r>
        <w:t xml:space="preserve">g</w:t>
      </w:r>
      <w:r>
        <w:rPr>
          <w:vertAlign w:val="subscript"/>
        </w:rPr>
        <w:t xml:space="preserve">s</w:t>
      </w:r>
      <w:r>
        <w:t xml:space="preserve"> </w:t>
      </w:r>
      <w:r>
        <w:t xml:space="preserve">Stomatal conductance</w:t>
      </w:r>
      <w:r>
        <w:br w:type="textWrapping"/>
      </w:r>
      <w:r>
        <w:t xml:space="preserve">g</w:t>
      </w:r>
      <w:r>
        <w:rPr>
          <w:vertAlign w:val="subscript"/>
        </w:rPr>
        <w:t xml:space="preserve">m</w:t>
      </w:r>
      <w:r>
        <w:t xml:space="preserve"> </w:t>
      </w:r>
      <w:r>
        <w:t xml:space="preserve">Mesophyll conductance</w:t>
      </w:r>
      <w:r>
        <w:br w:type="textWrapping"/>
      </w:r>
      <w:r>
        <w:t xml:space="preserve">ITE Leaf level instantaneous transpiration efficiency</w:t>
      </w:r>
      <w:r>
        <w:br w:type="textWrapping"/>
      </w:r>
      <w:r>
        <w:t xml:space="preserve">J</w:t>
      </w:r>
      <w:r>
        <w:rPr>
          <w:vertAlign w:val="subscript"/>
        </w:rPr>
        <w:t xml:space="preserve">max</w:t>
      </w:r>
      <w:r>
        <w:t xml:space="preserve"> </w:t>
      </w:r>
      <w:r>
        <w:t xml:space="preserve">Maximum rate of photosynthetic electron transport</w:t>
      </w:r>
      <w:r>
        <w:br w:type="textWrapping"/>
      </w:r>
      <w:r>
        <w:t xml:space="preserve">K</w:t>
      </w:r>
      <w:r>
        <w:rPr>
          <w:vertAlign w:val="subscript"/>
        </w:rPr>
        <w:t xml:space="preserve">l</w:t>
      </w:r>
      <w:r>
        <w:t xml:space="preserve"> </w:t>
      </w:r>
      <w:r>
        <w:t xml:space="preserve">Leaf-specific hydraulic conductance</w:t>
      </w:r>
      <w:r>
        <w:br w:type="textWrapping"/>
      </w:r>
      <w:r>
        <w:t xml:space="preserve">LA Leaf area</w:t>
      </w:r>
      <w:r>
        <w:br w:type="textWrapping"/>
      </w:r>
      <w:r>
        <w:t xml:space="preserve">LMA Leaf mass per unit area</w:t>
      </w:r>
      <w:r>
        <w:br w:type="textWrapping"/>
      </w:r>
      <w:r>
        <w:t xml:space="preserve">LMF Leaf mass fraction</w:t>
      </w:r>
      <w:r>
        <w:br w:type="textWrapping"/>
      </w:r>
      <w:r>
        <w:t xml:space="preserve">N Nitrogen</w:t>
      </w:r>
      <w:r>
        <w:br w:type="textWrapping"/>
      </w:r>
      <w:r>
        <w:t xml:space="preserve">N</w:t>
      </w:r>
      <w:r>
        <w:rPr>
          <w:vertAlign w:val="subscript"/>
        </w:rPr>
        <w:t xml:space="preserve">a</w:t>
      </w:r>
      <w:r>
        <w:t xml:space="preserve"> </w:t>
      </w:r>
      <w:r>
        <w:t xml:space="preserve">Leaf nitrogen on an area basis</w:t>
      </w:r>
      <w:r>
        <w:br w:type="textWrapping"/>
      </w:r>
      <w:r>
        <w:t xml:space="preserve">N</w:t>
      </w:r>
      <w:r>
        <w:rPr>
          <w:vertAlign w:val="subscript"/>
        </w:rPr>
        <w:t xml:space="preserve">f</w:t>
      </w:r>
      <w:r>
        <w:t xml:space="preserve"> </w:t>
      </w:r>
      <w:r>
        <w:t xml:space="preserve">TNC-free leaf nitrogen content</w:t>
      </w:r>
      <w:r>
        <w:br w:type="textWrapping"/>
      </w:r>
      <w:r>
        <w:t xml:space="preserve">PPFD Photosynthetic photon flux density</w:t>
      </w:r>
      <w:r>
        <w:br w:type="textWrapping"/>
      </w:r>
      <w:r>
        <w:t xml:space="preserve">Q</w:t>
      </w:r>
      <w:r>
        <w:rPr>
          <w:vertAlign w:val="subscript"/>
        </w:rPr>
        <w:t xml:space="preserve">10</w:t>
      </w:r>
      <w:r>
        <w:t xml:space="preserve"> </w:t>
      </w:r>
      <w:r>
        <w:t xml:space="preserve">Rate of change in respiration due to 10 °C increase in temperature</w:t>
      </w:r>
      <w:r>
        <w:br w:type="textWrapping"/>
      </w:r>
      <w:r>
        <w:t xml:space="preserve">R Leaf dark respiration rates</w:t>
      </w:r>
      <w:r>
        <w:br w:type="textWrapping"/>
      </w:r>
      <w:r>
        <w:t xml:space="preserve">RMF Root mass fraction</w:t>
      </w:r>
      <w:r>
        <w:br w:type="textWrapping"/>
      </w:r>
      <w:r>
        <w:t xml:space="preserve">SLA Specific leaf area</w:t>
      </w:r>
      <w:r>
        <w:br w:type="textWrapping"/>
      </w:r>
      <w:r>
        <w:t xml:space="preserve">SLA</w:t>
      </w:r>
      <w:r>
        <w:rPr>
          <w:vertAlign w:val="subscript"/>
        </w:rPr>
        <w:t xml:space="preserve">f</w:t>
      </w:r>
      <w:r>
        <w:t xml:space="preserve"> </w:t>
      </w:r>
      <w:r>
        <w:t xml:space="preserve">TNC-free Specific leaf area</w:t>
      </w:r>
      <w:r>
        <w:br w:type="textWrapping"/>
      </w:r>
      <w:r>
        <w:t xml:space="preserve">SMF Stem mass fraction</w:t>
      </w:r>
      <w:r>
        <w:br w:type="textWrapping"/>
      </w:r>
      <w:r>
        <w:t xml:space="preserve">TBCA Total belowground carbon allocation</w:t>
      </w:r>
      <w:r>
        <w:br w:type="textWrapping"/>
      </w:r>
      <w:r>
        <w:t xml:space="preserve">TNC Total non-structural carbohydrate</w:t>
      </w:r>
      <w:r>
        <w:br w:type="textWrapping"/>
      </w:r>
      <w:r>
        <w:t xml:space="preserve">TDL Tunable diode laser</w:t>
      </w:r>
      <w:r>
        <w:br w:type="textWrapping"/>
      </w:r>
      <w:r>
        <w:t xml:space="preserve">Vc</w:t>
      </w:r>
      <w:r>
        <w:rPr>
          <w:vertAlign w:val="subscript"/>
        </w:rPr>
        <w:t xml:space="preserve">max</w:t>
      </w:r>
      <w:r>
        <w:t xml:space="preserve"> </w:t>
      </w:r>
      <w:r>
        <w:t xml:space="preserve">Maximum rate of rubisco carboxylation</w:t>
      </w:r>
      <w:r>
        <w:br w:type="textWrapping"/>
      </w:r>
      <w:r>
        <w:t xml:space="preserve">VPD Vapour pressure deficit</w:t>
      </w:r>
      <w:r>
        <w:br w:type="textWrapping"/>
      </w:r>
      <w:r>
        <w:t xml:space="preserve">VPDP standard Vienna Pee Dee Belemnite</w:t>
      </w:r>
      <w:r>
        <w:br w:type="textWrapping"/>
      </w:r>
      <w:r>
        <w:t xml:space="preserve">WUE Water-use efficiency</w:t>
      </w:r>
      <w:r>
        <w:br w:type="textWrapping"/>
      </w:r>
      <w:r>
        <w:t xml:space="preserve">WTC whole-tree chambers</w:t>
      </w:r>
      <w:r>
        <w:br w:type="textWrapping"/>
      </w:r>
      <m:oMath>
        <m:r>
          <m:rPr/>
          <m:t>δ</m:t>
        </m:r>
      </m:oMath>
      <w:r>
        <w:t xml:space="preserve"> </w:t>
      </w:r>
      <w:r>
        <w:t xml:space="preserve">isotope discrimination</w:t>
      </w:r>
      <w:r>
        <w:br w:type="textWrapping"/>
      </w:r>
      <m:oMath>
        <m:r>
          <m:rPr/>
          <m:t>Δ</m:t>
        </m:r>
      </m:oMath>
      <w:r>
        <w:t xml:space="preserve"> </w:t>
      </w:r>
      <w:r>
        <w:t xml:space="preserve">Carbon isotope discrimination during C3 photosynthesis</w:t>
      </w:r>
      <w:r>
        <w:br w:type="textWrapping"/>
      </w:r>
      <m:oMath>
        <m:r>
          <m:rPr/>
          <m:t>Ψ</m:t>
        </m:r>
      </m:oMath>
      <w:r>
        <w:rPr>
          <w:vertAlign w:val="subscript"/>
        </w:rPr>
        <w:t xml:space="preserve">l</w:t>
      </w:r>
      <w:r>
        <w:t xml:space="preserve"> </w:t>
      </w:r>
      <w:r>
        <w:t xml:space="preserve">Midday leaf water potential</w:t>
      </w:r>
      <w:r>
        <w:br w:type="textWrapping"/>
      </w:r>
      <m:oMath>
        <m:r>
          <m:rPr/>
          <m:t>Ψ</m:t>
        </m:r>
      </m:oMath>
      <w:r>
        <w:rPr>
          <w:vertAlign w:val="subscript"/>
        </w:rPr>
        <w:t xml:space="preserve">pd</w:t>
      </w:r>
      <w:r>
        <w:t xml:space="preserve"> </w:t>
      </w:r>
      <w:r>
        <w:t xml:space="preserve">Predawn leaf water potential</w:t>
      </w:r>
      <w:r>
        <w:br w:type="textWrapping"/>
      </w:r>
      <m:oMath>
        <m:r>
          <m:rPr/>
          <m:t>σ</m:t>
        </m:r>
      </m:oMath>
      <w:r>
        <w:rPr>
          <w:vertAlign w:val="subscript"/>
        </w:rPr>
        <w:t xml:space="preserve">s</w:t>
      </w:r>
      <w:r>
        <w:t xml:space="preserve"> </w:t>
      </w:r>
      <w:r>
        <w:t xml:space="preserve">Self shading parameter</w:t>
      </w:r>
    </w:p>
    <w:p>
      <w:pPr>
        <w:pStyle w:val="Heading1"/>
      </w:pPr>
      <w:bookmarkStart w:id="28" w:name="abstract"/>
      <w:bookmarkEnd w:id="28"/>
      <w:r>
        <w:t xml:space="preserve">Abstract</w:t>
      </w:r>
    </w:p>
    <w:p>
      <w:pPr>
        <w:pStyle w:val="FirstParagraph"/>
      </w:pPr>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factors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pPr>
        <w:pStyle w:val="BodyText"/>
      </w:pPr>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pPr>
        <w:pStyle w:val="BodyText"/>
      </w:pPr>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w:t>
      </w:r>
      <w:r>
        <w:rPr>
          <w:vertAlign w:val="subscript"/>
        </w:rPr>
        <w:t xml:space="preserve">max</w:t>
      </w:r>
      <w:r>
        <w:t xml:space="preserve"> </w:t>
      </w:r>
      <w:r>
        <w:t xml:space="preserve">and J</w:t>
      </w:r>
      <w:r>
        <w:rPr>
          <w:vertAlign w:val="subscript"/>
        </w:rPr>
        <w:t xml:space="preserve">max</w:t>
      </w:r>
      <w:r>
        <w:t xml:space="preserve">)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pPr>
        <w:pStyle w:val="BodyText"/>
      </w:pPr>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pPr>
        <w:pStyle w:val="BodyText"/>
      </w:pPr>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e9b88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