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 Eucalyptus tereticornis grown in drought in CO</w:t>
      </w:r>
      <w:r>
        <w:rPr>
          <w:vertAlign w:val="subscript"/>
        </w:rPr>
        <w:t xml:space="preserve">2</w:t>
      </w:r>
      <w:r>
        <w:t xml:space="preserve">-enriched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 13C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w:t>
      </w:r>
    </w:p>
    <w:p>
      <w:pPr>
        <w:pStyle w:val="Bibliography"/>
      </w:pPr>
      <w:r>
        <w:t xml:space="preserve">Drake BG, Gonz</w:t>
      </w:r>
      <w:r>
        <w:t xml:space="preserve">à</w:t>
      </w:r>
      <w:r>
        <w:t xml:space="preserve">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10:e0143346.</w:t>
      </w:r>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physiology:tpr030.</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w:t>
      </w:r>
      <w:r>
        <w:t xml:space="preserve">ü</w:t>
      </w:r>
      <w:r>
        <w:t xml:space="preserve">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w:t>
      </w:r>
      <w:r>
        <w:rPr>
          <w:vertAlign w:val="subscript"/>
        </w:rPr>
        <w:t xml:space="preserve">2</w:t>
      </w:r>
      <w:r>
        <w:t xml:space="preserve">]-induced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Concentration and</w:t>
      </w:r>
      <w:r>
        <w:t xml:space="preserve"> </w:t>
      </w:r>
      <m:oMath>
        <m:r>
          <m:rPr>
            <m:sty m:val="p"/>
          </m:rPr>
          <m:t>σ</m:t>
        </m:r>
      </m:oMath>
      <w:r>
        <w:t xml:space="preserve">13C of leaf carbohydrates in relation to gas exchange in</w:t>
      </w:r>
      <w:r>
        <w:t xml:space="preserve"> </w:t>
      </w:r>
      <w:r>
        <w:rPr>
          <w:i/>
        </w:rPr>
        <w:t xml:space="preserve">Quercus robur</w:t>
      </w:r>
      <w:r>
        <w:t xml:space="preserve"> </w:t>
      </w:r>
      <w:r>
        <w:t xml:space="preserve">under elevated CO</w:t>
      </w:r>
      <w:r>
        <w:rPr>
          <w:vertAlign w:val="subscript"/>
        </w:rPr>
        <w:t xml:space="preserve">2</w:t>
      </w:r>
      <w:r>
        <w:t xml:space="preserve"> </w:t>
      </w:r>
      <w:r>
        <w:t xml:space="preserve">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8:e54231.</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 Dacrydium cupressinum 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t xml:space="preserve">13C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6733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b1db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