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r>
        <w:t xml:space="preserve">photosynthesis, growth, sink regulation, carbon allocation, soil volume</w:t>
      </w:r>
    </w:p>
    <w:p>
      <w:pPr>
        <w:pStyle w:val="Heading1"/>
      </w:pPr>
      <w:bookmarkStart w:id="37" w:name="introduction"/>
      <w:bookmarkEnd w:id="37"/>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w:t>
      </w:r>
      <w:r>
        <w:t xml:space="preserve">ü</w:t>
      </w:r>
      <w:r>
        <w:t xml:space="preserve">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w:t>
      </w:r>
      <w:r>
        <w:t xml:space="preserve">ü</w:t>
      </w:r>
      <w:r>
        <w:t xml:space="preserve">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w:t>
      </w:r>
      <w:r>
        <w:t xml:space="preserve">ü</w:t>
      </w:r>
      <w:r>
        <w:t xml:space="preserve">hler, et al. 2012)</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r>
        <w:t xml:space="preserve">photosynthesis, stomatal conductance, mesophyll conductance, shade, leaf optimal behavior</w:t>
      </w:r>
    </w:p>
    <w:p>
      <w:pPr>
        <w:pStyle w:val="Heading1"/>
      </w:pPr>
      <w:bookmarkStart w:id="62" w:name="introduction-1"/>
      <w:bookmarkEnd w:id="62"/>
      <w:r>
        <w:t xml:space="preserve">Introduction</w:t>
      </w:r>
    </w:p>
    <w:p>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w:t>
      </w:r>
      <w:r>
        <w:t xml:space="preserve">De Pury</w:t>
      </w:r>
      <w:r>
        <w:t xml:space="preserve"> </w:t>
      </w:r>
      <w:r>
        <w:t xml:space="preserve">and Farquhar 1997, Linderson et al. 2012)</w:t>
      </w:r>
      <w:r>
        <w:t xml:space="preserve">.</w:t>
      </w:r>
    </w:p>
    <w:p>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r>
        <w:br w:type="textWrapping"/>
      </w:r>
      <w:r>
        <w:t xml:space="preserve">1. If whole tree canopies are optimized for C gain, then leaf N, hydraulic conductance and biochemical photosynthetic capacity are predicted to be higher in sun leaves compared to shade leaves.</w:t>
      </w:r>
    </w:p>
    <w:p>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sty m:val="p"/>
          </m:rPr>
          <m:t>Δ</m:t>
        </m:r>
      </m:oMath>
      <w:r>
        <w:rPr>
          <w:vertAlign w:val="subscript"/>
        </w:rPr>
        <w:t xml:space="preserve">obs</w:t>
      </w:r>
      <w:r>
        <w:t xml:space="preserve">) is calculated from Evans et al.</w:t>
      </w:r>
      <w:r>
        <w:t xml:space="preserve"> </w:t>
      </w:r>
      <w:r>
        <w:t xml:space="preserve">(1986)</w:t>
      </w:r>
      <w:r>
        <w:t xml:space="preserve">:</w:t>
      </w:r>
    </w:p>
    <w:p>
      <w:r>
        <w:br w:type="textWrapping"/>
      </w:r>
      <w:r>
        <w:t xml:space="preserve">(2)</w:t>
      </w:r>
    </w:p>
    <w:p>
      <w:r>
        <w:t xml:space="preserve">where:</w:t>
      </w:r>
    </w:p>
    <w:p>
      <w:r>
        <w:br w:type="textWrapping"/>
      </w:r>
      <w:r>
        <w:t xml:space="preserve">(3)</w:t>
      </w:r>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r>
        <w:br w:type="textWrapping"/>
      </w:r>
      <w:r>
        <w:t xml:space="preserve">Second, C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r>
        <w:br w:type="textWrapping"/>
      </w:r>
      <w:r>
        <w:t xml:space="preserve">(4)</w:t>
      </w:r>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r>
        <w:br w:type="textWrapping"/>
      </w:r>
      <w:r>
        <w:t xml:space="preserve">(6)</w:t>
      </w:r>
    </w:p>
    <w:p>
      <w:r>
        <w:br w:type="textWrapping"/>
      </w:r>
      <w:r>
        <w:t xml:space="preserve">(7)</w:t>
      </w:r>
    </w:p>
    <w:p>
      <w:r>
        <w:br w:type="textWrapping"/>
      </w:r>
      <w:r>
        <w:t xml:space="preserve">(8)</w:t>
      </w:r>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r>
        <w:br w:type="textWrapping"/>
      </w:r>
      <w:r>
        <w:t xml:space="preserve">(10)</w:t>
      </w:r>
    </w:p>
    <w:p>
      <w:r>
        <w:t xml:space="preserve">where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r>
        <w:br w:type="textWrapping"/>
      </w:r>
      <w:r>
        <w:t xml:space="preserve">(11)</w:t>
      </w:r>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 °C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pPr>
        <w:pStyle w:val="Heading2"/>
      </w:pPr>
      <w:bookmarkStart w:id="67" w:name="leaf-chemistry-and-hydraulic-parameters"/>
      <w:bookmarkEnd w:id="67"/>
      <w:r>
        <w:t xml:space="preserve">Leaf chemistry and hydraulic parameters</w:t>
      </w:r>
    </w:p>
    <w:p>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sty m:val="p"/>
              </m:rPr>
              <m:t>Ψ</m:t>
            </m:r>
          </m:e>
          <m:sub>
            <m:r>
              <m:rPr>
                <m:sty m:val="p"/>
              </m:rPr>
              <m:t>p</m:t>
            </m:r>
            <m:r>
              <m:rPr>
                <m:sty m:val="p"/>
              </m:rPr>
              <m:t>d</m:t>
            </m:r>
          </m:sub>
        </m:sSub>
      </m:oMath>
      <w:r>
        <w:t xml:space="preserve">. Predawn leaf water potential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r>
        <w:br w:type="textWrapping"/>
      </w:r>
      <w:r>
        <w:t xml:space="preserve">(12)</w:t>
      </w:r>
    </w:p>
    <w:p>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r>
        <w:t xml:space="preserve">Differences in experimental parameters to either the warming treatment or leaf type were analysed by mixed-effects models in R</w:t>
      </w:r>
      <w:r>
        <w:t xml:space="preserve"> </w:t>
      </w:r>
      <w:r>
        <w:t xml:space="preserve">(</w:t>
      </w:r>
      <w:r>
        <w:t xml:space="preserve">R Development Core Team</w:t>
      </w:r>
      <w:r>
        <w:t xml:space="preserve"> </w:t>
      </w:r>
      <w:r>
        <w:t xml:space="preserve">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r>
        <w:br w:type="textWrapping"/>
      </w:r>
      <w:r>
        <w:t xml:space="preserve">Bulk-leaf</w:t>
      </w:r>
      <w:r>
        <w:t xml:space="preserve"> </w:t>
      </w:r>
      <m:oMath>
        <m:r>
          <m:rPr>
            <m:sty m:val="p"/>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sty m:val="p"/>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r>
        <w:t xml:space="preserve">The observed carbon isotope discrimination (</w:t>
      </w:r>
      <m:oMath>
        <m:nary>
          <m:naryPr>
            <m:chr m:val="Δ"/>
            <m:limLoc m:val="subSup"/>
            <m:supHide m:val="off"/>
            <m:supHide m:val="off"/>
          </m:naryPr>
          <m:e/>
          <m:sub>
            <m:r>
              <m:rPr>
                <m:sty m:val="p"/>
              </m:rPr>
              <m:t>o</m:t>
            </m:r>
          </m:sub>
          <m:sup/>
        </m:nary>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sty m:val="p"/>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nary>
          <m:naryPr>
            <m:chr m:val="Δ"/>
            <m:limLoc m:val="subSup"/>
            <m:supHide m:val="off"/>
            <m:supHide m:val="off"/>
          </m:naryPr>
          <m:e/>
          <m:sub>
            <m:r>
              <m:rPr>
                <m:sty m:val="p"/>
              </m:rPr>
              <m:t>o</m:t>
            </m:r>
          </m:sub>
          <m:sup/>
        </m:nary>
      </m:oMath>
      <w:r>
        <w:t xml:space="preserve"> </w:t>
      </w:r>
      <w:r>
        <w:t xml:space="preserve">(69.7±0.4%) and varied little across measurement temperatures, leaf types, or warming treatments. The remainder</w:t>
      </w:r>
      <w:r>
        <w:t xml:space="preserve"> </w:t>
      </w:r>
      <m:oMath>
        <m:nary>
          <m:naryPr>
            <m:chr m:val="Δ"/>
            <m:limLoc m:val="subSup"/>
            <m:supHide m:val="off"/>
            <m:supHide m:val="off"/>
          </m:naryPr>
          <m:e/>
          <m:sub>
            <m:r>
              <m:rPr>
                <m:sty m:val="p"/>
              </m:rPr>
              <m:t>o</m:t>
            </m:r>
          </m:sub>
          <m:sup/>
        </m:nary>
      </m:oMath>
      <w:r>
        <w:t xml:space="preserve"> </w:t>
      </w:r>
      <w:r>
        <w:t xml:space="preserve">consists of the contributions of g</w:t>
      </w:r>
      <w:r>
        <w:rPr>
          <w:vertAlign w:val="subscript"/>
        </w:rPr>
        <w:t xml:space="preserve">s</w:t>
      </w:r>
      <w:r>
        <w:t xml:space="preserve">, respiration and photorespiration to discrimination.</w:t>
      </w:r>
    </w:p>
    <w:p>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w:t>
      </w:r>
      <w:r>
        <w:t xml:space="preserve">Von Caemmerer</w:t>
      </w:r>
      <w:r>
        <w:t xml:space="preserve"> </w:t>
      </w:r>
      <w:r>
        <w:t xml:space="preserve">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sty m:val="p"/>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w:t>
      </w:r>
      <w:r>
        <w:t xml:space="preserve">ü</w:t>
      </w:r>
      <w:r>
        <w:t xml:space="preserve">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w:t>
      </w:r>
      <w:r>
        <w:t xml:space="preserve"> </w:t>
      </w:r>
      <w:r>
        <w:t xml:space="preserve">De Pury</w:t>
      </w:r>
      <w:r>
        <w:t xml:space="preserve"> </w:t>
      </w:r>
      <w:r>
        <w:t xml:space="preserve">and Farquhar 1997)</w:t>
      </w:r>
      <w:r>
        <w:t xml:space="preserve">.</w:t>
      </w:r>
    </w:p>
    <w:p>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w:t>
      </w:r>
      <w:r>
        <w:t xml:space="preserve">De Pury</w:t>
      </w:r>
      <w:r>
        <w:t xml:space="preserve"> </w:t>
      </w:r>
      <w:r>
        <w:t xml:space="preserve">and Farquhar 1997)</w:t>
      </w:r>
      <w:r>
        <w:t xml:space="preserve">.</w:t>
      </w:r>
    </w:p>
    <w:p>
      <w:pPr>
        <w:pStyle w:val="Heading2"/>
      </w:pPr>
      <w:bookmarkStart w:id="78" w:name="conclusions-2"/>
      <w:bookmarkEnd w:id="78"/>
      <w:r>
        <w:t xml:space="preserve">Conclusions</w:t>
      </w:r>
    </w:p>
    <w:p>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S1</w:t>
      </w:r>
      <w:r>
        <w:t xml:space="preserve">. Daily maximum and minimum temperature (a) and total daily PPFD (b) for each chamber across the experiment duration.</w:t>
      </w:r>
    </w:p>
    <w:p>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w:t>
      </w:r>
      <w:r>
        <w:t xml:space="preserve">ä</w:t>
      </w:r>
      <w:r>
        <w:t xml:space="preserve">kel</w:t>
      </w:r>
      <w:r>
        <w:t xml:space="preserve">ä</w:t>
      </w:r>
      <w:r>
        <w:t xml:space="preserve"> </w:t>
      </w:r>
      <w:r>
        <w:t xml:space="preserve">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w:t>
      </w:r>
      <w:r>
        <w:t xml:space="preserve">De Kauwe</w:t>
      </w:r>
      <w:r>
        <w:t xml:space="preserve"> </w:t>
      </w:r>
      <w:r>
        <w:t xml:space="preserve">et al. 2014, Fatichi et al. 2014)</w:t>
      </w:r>
      <w:r>
        <w:t xml:space="preserve">. As a result, there is continued need to empirically measure patterns of tree C allocation under multi-factor global change manipulations to better understand shifts in future forest C balance.</w:t>
      </w:r>
    </w:p>
    <w:p>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sty m:val="p"/>
              </m:rPr>
              <m:t>c</m:t>
            </m:r>
            <m:r>
              <m:rPr>
                <m:sty m:val="p"/>
              </m:rPr>
              <m:t>,</m:t>
            </m:r>
            <m:r>
              <m:rPr>
                <m:sty m:val="p"/>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sty m:val="p"/>
              </m:rPr>
              <m:t>c</m:t>
            </m:r>
            <m:r>
              <m:rPr>
                <m:sty m:val="p"/>
              </m:rPr>
              <m:t>,</m:t>
            </m:r>
            <m:r>
              <m:rPr>
                <m:sty m:val="p"/>
              </m:rPr>
              <m:t>d</m:t>
            </m:r>
          </m:sub>
        </m:sSub>
      </m:oMath>
      <w:r>
        <w:t xml:space="preserve"> </w:t>
      </w:r>
      <w:r>
        <w:t xml:space="preserve">was summed over the flux monitoring period (</w:t>
      </w:r>
      <m:oMath>
        <m:sSub>
          <m:e>
            <m:r>
              <m:rPr>
                <m:sty m:val="p"/>
              </m:rPr>
              <m:t>F</m:t>
            </m:r>
          </m:e>
          <m:sub>
            <m:r>
              <m:rPr>
                <m:sty m:val="p"/>
              </m:rPr>
              <m:t>c</m:t>
            </m:r>
            <m:r>
              <m:rPr>
                <m:sty m:val="p"/>
              </m:rPr>
              <m:t>,</m:t>
            </m:r>
            <m:r>
              <m:rPr>
                <m:sty m:val="p"/>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sty m:val="p"/>
              </m:rPr>
              <m:t>ρ</m:t>
            </m:r>
          </m:e>
          <m:sub>
            <m:r>
              <m:rPr>
                <m:sty m:val="p"/>
              </m:rPr>
              <m:t>b</m:t>
            </m:r>
            <m:r>
              <m:rPr>
                <m:sty m:val="p"/>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sty m:val="p"/>
              </m:rPr>
              <m:t>ρ</m:t>
            </m:r>
          </m:e>
          <m:sub>
            <m:r>
              <m:rPr>
                <m:sty m:val="p"/>
              </m:rPr>
              <m:t>b</m:t>
            </m:r>
            <m:r>
              <m:rPr>
                <m:sty m:val="p"/>
              </m:rPr>
              <m:t>o</m:t>
            </m:r>
          </m:sub>
        </m:sSub>
      </m:oMath>
      <w:r>
        <w:t xml:space="preserve"> </w:t>
      </w:r>
      <w:r>
        <w:t xml:space="preserve">did not change through time.</w:t>
      </w:r>
    </w:p>
    <w:p>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sty m:val="p"/>
              </m:rPr>
              <m:t>ρ</m:t>
            </m:r>
          </m:e>
          <m:sub>
            <m:r>
              <m:rPr>
                <m:sty m:val="p"/>
              </m:rPr>
              <m:t>b</m:t>
            </m:r>
            <m:r>
              <m:rPr>
                <m:sty m:val="p"/>
              </m:rPr>
              <m:t>o</m:t>
            </m:r>
          </m:sub>
        </m:sSub>
      </m:oMath>
      <w:r>
        <w:t xml:space="preserve">.</w:t>
      </w:r>
    </w:p>
    <w:p>
      <w:pPr>
        <w:pStyle w:val="Heading2"/>
      </w:pPr>
      <w:bookmarkStart w:id="93" w:name="branch-carbon-mass"/>
      <w:bookmarkEnd w:id="93"/>
      <w:r>
        <w:t xml:space="preserve">Branch carbon mass</w:t>
      </w:r>
    </w:p>
    <w:p>
      <w:r>
        <w:t xml:space="preserve">Measured dry mass, length and basal area of all harvested branches was used to determine the branch wood density (</w:t>
      </w:r>
      <m:oMath>
        <m:sSub>
          <m:e>
            <m:r>
              <m:rPr>
                <m:sty m:val="p"/>
              </m:rPr>
              <m:t>ρ</m:t>
            </m:r>
          </m:e>
          <m:sub>
            <m:r>
              <m:rPr>
                <m:sty m:val="p"/>
              </m:rPr>
              <m:t>b</m:t>
            </m:r>
            <m:r>
              <m:rPr>
                <m:sty m:val="p"/>
              </m:rPr>
              <m:t>r</m:t>
            </m:r>
          </m:sub>
        </m:sSub>
      </m:oMath>
      <w:r>
        <w:t xml:space="preserve">) as well as a geometric shape factor</w:t>
      </w:r>
      <w:r>
        <w:t xml:space="preserve"> </w:t>
      </w:r>
      <w:r>
        <w:t xml:space="preserve">(</w:t>
      </w:r>
      <m:oMath>
        <m:r>
          <m:rPr>
            <m:sty m:val="p"/>
          </m:rPr>
          <m:t>ϕ</m:t>
        </m:r>
      </m:oMath>
      <w:r>
        <w:t xml:space="preserve">, see M</w:t>
      </w:r>
      <w:r>
        <w:t xml:space="preserve">ä</w:t>
      </w:r>
      <w:r>
        <w:t xml:space="preserve">kel</w:t>
      </w:r>
      <w:r>
        <w:t xml:space="preserve">ä</w:t>
      </w:r>
      <w:r>
        <w:t xml:space="preserve"> </w:t>
      </w:r>
      <w:r>
        <w:t xml:space="preserve">1997)</w:t>
      </w:r>
      <w:r>
        <w:t xml:space="preserve"> </w:t>
      </w:r>
      <w:r>
        <w:t xml:space="preserve">for each WTC tree by rearranging the equation:</w:t>
      </w:r>
    </w:p>
    <w:p>
      <w:r>
        <w:br w:type="textWrapping"/>
      </w:r>
      <w:r>
        <w:t xml:space="preserve">(1)</w:t>
      </w:r>
    </w:p>
    <w:p>
      <w:r>
        <w:t xml:space="preserve">where</w:t>
      </w:r>
      <w:r>
        <w:t xml:space="preserve"> </w:t>
      </w:r>
      <m:oMath>
        <m:sSub>
          <m:e>
            <m:r>
              <m:rPr>
                <m:sty m:val="p"/>
              </m:rPr>
              <m:t>M</m:t>
            </m:r>
          </m:e>
          <m:sub>
            <m:r>
              <m:rPr>
                <m:sty m:val="p"/>
              </m:rPr>
              <m:t>b</m:t>
            </m:r>
            <m:r>
              <m:rPr>
                <m:sty m:val="p"/>
              </m:rPr>
              <m:t>r</m:t>
            </m:r>
          </m:sub>
        </m:sSub>
      </m:oMath>
      <w:r>
        <w:t xml:space="preserve"> </w:t>
      </w:r>
      <w:r>
        <w:t xml:space="preserve">is summed dry mass of all harvested branches,</w:t>
      </w:r>
      <w:r>
        <w:t xml:space="preserve"> </w:t>
      </w:r>
      <m:oMath>
        <m:sSub>
          <m:e>
            <m:r>
              <m:rPr>
                <m:sty m:val="p"/>
              </m:rPr>
              <m:t>L</m:t>
            </m:r>
          </m:e>
          <m:sub>
            <m:r>
              <m:rPr>
                <m:sty m:val="p"/>
              </m:rPr>
              <m:t>b</m:t>
            </m:r>
            <m:r>
              <m:rPr>
                <m:sty m:val="p"/>
              </m:rPr>
              <m:t>r</m:t>
            </m:r>
          </m:sub>
        </m:sSub>
      </m:oMath>
      <w:r>
        <w:t xml:space="preserve"> </w:t>
      </w:r>
      <w:r>
        <w:t xml:space="preserve">is summed branch length (cm),</w:t>
      </w:r>
      <w:r>
        <w:t xml:space="preserve"> </w:t>
      </w:r>
      <m:oMath>
        <m:sSub>
          <m:e>
            <m:r>
              <m:rPr>
                <m:sty m:val="p"/>
              </m:rPr>
              <m:t>A</m:t>
            </m:r>
          </m:e>
          <m:sub>
            <m:r>
              <m:rPr>
                <m:sty m:val="p"/>
              </m:rPr>
              <m:t>b</m:t>
            </m:r>
            <m:r>
              <m:rPr>
                <m:sty m:val="p"/>
              </m:rPr>
              <m:t>r</m:t>
            </m:r>
          </m:sub>
        </m:sSub>
      </m:oMath>
      <w:r>
        <w:t xml:space="preserve"> </w:t>
      </w:r>
      <w:r>
        <w:t xml:space="preserve">is summed branch basal area (cm</w:t>
      </w:r>
      <w:r>
        <w:rPr>
          <w:vertAlign w:val="superscript"/>
        </w:rPr>
        <w:t xml:space="preserve">3</w:t>
      </w:r>
      <w:r>
        <w:t xml:space="preserve">),</w:t>
      </w:r>
      <w:r>
        <w:t xml:space="preserve"> </w:t>
      </w:r>
      <m:oMath>
        <m:sSub>
          <m:e>
            <m:r>
              <m:rPr>
                <m:sty m:val="p"/>
              </m:rPr>
              <m:t>ρ</m:t>
            </m:r>
          </m:e>
          <m:sub>
            <m:r>
              <m:rPr>
                <m:sty m:val="p"/>
              </m:rPr>
              <m:t>b</m:t>
            </m:r>
            <m:r>
              <m:rPr>
                <m:sty m:val="p"/>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sty m:val="p"/>
          </m:rPr>
          <m:t>ϕ</m:t>
        </m:r>
      </m:oMath>
      <w:r>
        <w:t xml:space="preserve"> </w:t>
      </w:r>
      <w:r>
        <w:t xml:space="preserve">corrects branch volume estimates to an intermediate shape between a cone and a cylinder</w:t>
      </w:r>
      <w:r>
        <w:t xml:space="preserve"> </w:t>
      </w:r>
      <w:r>
        <w:t xml:space="preserve">(M</w:t>
      </w:r>
      <w:r>
        <w:t xml:space="preserve">ä</w:t>
      </w:r>
      <w:r>
        <w:t xml:space="preserve">kel</w:t>
      </w:r>
      <w:r>
        <w:t xml:space="preserve">ä</w:t>
      </w:r>
      <w:r>
        <w:t xml:space="preserve"> </w:t>
      </w:r>
      <w:r>
        <w:t xml:space="preserve">1997)</w:t>
      </w:r>
      <w:r>
        <w:t xml:space="preserve">. The ratio of measured</w:t>
      </w:r>
      <w:r>
        <w:t xml:space="preserve"> </w:t>
      </w:r>
      <m:oMath>
        <m:sSub>
          <m:e>
            <m:r>
              <m:rPr>
                <m:sty m:val="p"/>
              </m:rPr>
              <m:t>M</m:t>
            </m:r>
          </m:e>
          <m:sub>
            <m:r>
              <m:rPr>
                <m:sty m:val="p"/>
              </m:rPr>
              <m:t>b</m:t>
            </m:r>
            <m:r>
              <m:rPr>
                <m:sty m:val="p"/>
              </m:rPr>
              <m:t>r</m:t>
            </m:r>
          </m:sub>
        </m:sSub>
      </m:oMath>
      <w:r>
        <w:t xml:space="preserve"> </w:t>
      </w:r>
      <w:r>
        <w:t xml:space="preserve">to</w:t>
      </w:r>
      <w:r>
        <w:t xml:space="preserve"> </w:t>
      </w:r>
      <m:oMath>
        <m:sSub>
          <m:e>
            <m:r>
              <m:rPr>
                <m:sty m:val="p"/>
              </m:rPr>
              <m:t>L</m:t>
            </m:r>
          </m:e>
          <m:sub>
            <m:r>
              <m:rPr>
                <m:sty m:val="p"/>
              </m:rPr>
              <m:t>b</m:t>
            </m:r>
            <m:r>
              <m:rPr>
                <m:sty m:val="p"/>
              </m:rPr>
              <m:t>r</m:t>
            </m:r>
          </m:sub>
        </m:sSub>
        <m:sSub>
          <m:e>
            <m:r>
              <m:rPr>
                <m:sty m:val="p"/>
              </m:rPr>
              <m:t>A</m:t>
            </m:r>
          </m:e>
          <m:sub>
            <m:r>
              <m:rPr>
                <m:sty m:val="p"/>
              </m:rPr>
              <m:t>b</m:t>
            </m:r>
            <m:r>
              <m:rPr>
                <m:sty m:val="p"/>
              </m:rPr>
              <m:t>r</m:t>
            </m:r>
          </m:sub>
        </m:sSub>
      </m:oMath>
      <w:r>
        <w:t xml:space="preserve"> </w:t>
      </w:r>
      <w:r>
        <w:t xml:space="preserve">was used to generate a WTC-specific</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w:t>
      </w:r>
    </w:p>
    <w:p>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sty m:val="p"/>
              </m:rPr>
              <m:t>b</m:t>
            </m:r>
            <m:r>
              <m:rPr>
                <m:sty m:val="p"/>
              </m:rPr>
              <m:t>r</m:t>
            </m:r>
          </m:sub>
        </m:sSub>
      </m:oMath>
      <w:r>
        <w:t xml:space="preserve"> </w:t>
      </w:r>
      <w:r>
        <w:t xml:space="preserve">and</w:t>
      </w:r>
      <w:r>
        <w:t xml:space="preserve"> </w:t>
      </w:r>
      <m:oMath>
        <m:sSub>
          <m:e>
            <m:r>
              <m:rPr>
                <m:sty m:val="p"/>
              </m:rPr>
              <m:t>A</m:t>
            </m:r>
          </m:e>
          <m:sub>
            <m:r>
              <m:rPr>
                <m:sty m:val="p"/>
              </m:rPr>
              <m:t>b</m:t>
            </m:r>
            <m:r>
              <m:rPr>
                <m:sty m:val="p"/>
              </m:rPr>
              <m:t>r</m:t>
            </m:r>
          </m:sub>
        </m:sSub>
      </m:oMath>
      <w:r>
        <w:t xml:space="preserve"> </w:t>
      </w:r>
      <w:r>
        <w:t xml:space="preserve">for individual branches with</w:t>
      </w:r>
      <w:r>
        <w:t xml:space="preserve"> </w:t>
      </w:r>
      <m:oMath>
        <m:sSub>
          <m:e>
            <m:r>
              <m:rPr>
                <m:sty m:val="p"/>
              </m:rPr>
              <m:t>ϕ</m:t>
            </m:r>
          </m:e>
          <m:sub>
            <m:r>
              <m:rPr>
                <m:sty m:val="p"/>
              </m:rPr>
              <m:t>b</m:t>
            </m:r>
            <m:r>
              <m:rPr>
                <m:sty m:val="p"/>
              </m:rPr>
              <m:t>r</m:t>
            </m:r>
          </m:sub>
        </m:sSub>
      </m:oMath>
      <m:oMath>
        <m:sSub>
          <m:e>
            <m:r>
              <m:rPr>
                <m:sty m:val="p"/>
              </m:rPr>
              <m:t>ρ</m:t>
            </m:r>
          </m:e>
          <m:sub>
            <m:r>
              <m:rPr>
                <m:sty m:val="p"/>
              </m:rPr>
              <m:t>b</m:t>
            </m:r>
            <m:r>
              <m:rPr>
                <m:sty m:val="p"/>
              </m:rPr>
              <m:t>r</m:t>
            </m:r>
          </m:sub>
        </m:sSub>
      </m:oMath>
      <w:r>
        <w:t xml:space="preserve"> </w:t>
      </w:r>
      <w:r>
        <w:t xml:space="preserve">specific to each WTC. We assumed that</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r>
        <w:br w:type="textWrapping"/>
      </w:r>
      <w:r>
        <w:t xml:space="preserve">(2)</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r>
        <w:br w:type="textWrapping"/>
      </w:r>
      <w:r>
        <w:t xml:space="preserve">(3)</w:t>
      </w:r>
    </w:p>
    <w:p>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sty m:val="p"/>
              </m:rPr>
              <m:t>L</m:t>
            </m:r>
            <m:r>
              <m:rPr>
                <m:sty m:val="p"/>
              </m:rPr>
              <m:t>,</m:t>
            </m:r>
            <m:r>
              <m:rPr>
                <m:sty m:val="p"/>
              </m:rPr>
              <m:t>T</m:t>
            </m:r>
          </m:sub>
        </m:sSub>
      </m:oMath>
      <w:r>
        <w:t xml:space="preserve"> </w:t>
      </w:r>
      <w:r>
        <w:t xml:space="preserve">and</w:t>
      </w:r>
      <w:r>
        <w:t xml:space="preserve"> </w:t>
      </w:r>
      <m:oMath>
        <m:sSub>
          <m:e>
            <m:r>
              <m:rPr>
                <m:sty m:val="p"/>
              </m:rPr>
              <m:t>A</m:t>
            </m:r>
          </m:e>
          <m:sub>
            <m:r>
              <m:rPr>
                <m:sty m:val="p"/>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r>
        <w:t xml:space="preserve">Tissue specific C allocation represents the fraction of net canopy C uptake distributed to a given tissue, which determines the change in biomass of that tissue through time such that:</w:t>
      </w:r>
    </w:p>
    <w:p>
      <w:r>
        <w:br w:type="textWrapping"/>
      </w:r>
      <w:r>
        <w:t xml:space="preserve">(4)</w:t>
      </w:r>
    </w:p>
    <w:p>
      <w:r>
        <w:t xml:space="preserve">where</w:t>
      </w:r>
      <w:r>
        <w:t xml:space="preserve"> </w:t>
      </w:r>
      <m:oMath>
        <m:sSub>
          <m:e>
            <m:r>
              <m:rPr>
                <m:sty m:val="p"/>
              </m:rPr>
              <m:t>M</m:t>
            </m:r>
          </m:e>
          <m:sub>
            <m:r>
              <m:rPr>
                <m:sty m:val="p"/>
              </m:rPr>
              <m:t>c</m:t>
            </m:r>
          </m:sub>
        </m:sSub>
      </m:oMath>
      <w:r>
        <w:t xml:space="preserve"> </w:t>
      </w:r>
      <w:r>
        <w:t xml:space="preserve">is the standing C mass of a component (g C),</w:t>
      </w:r>
      <w:r>
        <w:t xml:space="preserve"> </w:t>
      </w:r>
      <m:oMath>
        <m:sSub>
          <m:e>
            <m:r>
              <m:rPr>
                <m:sty m:val="p"/>
              </m:rPr>
              <m:t>a</m:t>
            </m:r>
          </m:e>
          <m:sub>
            <m:r>
              <m:rPr>
                <m:sty m:val="p"/>
              </m:rPr>
              <m:t>c</m:t>
            </m:r>
          </m:sub>
        </m:sSub>
      </m:oMath>
      <w:r>
        <w:t xml:space="preserve"> </w:t>
      </w:r>
      <w:r>
        <w:t xml:space="preserve">is the allocation to that component (0-1) and</w:t>
      </w:r>
      <w:r>
        <w:t xml:space="preserve"> </w:t>
      </w:r>
      <m:oMath>
        <m:sSub>
          <m:e>
            <m:r>
              <m:rPr>
                <m:sty m:val="p"/>
              </m:rPr>
              <m:t>λ</m:t>
            </m:r>
          </m:e>
          <m:sub>
            <m:r>
              <m:rPr>
                <m:sty m:val="p"/>
              </m:rPr>
              <m:t>c</m:t>
            </m:r>
          </m:sub>
        </m:sSub>
      </m:oMath>
      <w:r>
        <w:t xml:space="preserve"> </w:t>
      </w:r>
      <w:r>
        <w:t xml:space="preserve">is the component specific turnover (d</w:t>
      </w:r>
      <w:r>
        <w:rPr>
          <w:vertAlign w:val="superscript"/>
        </w:rPr>
        <w:t xml:space="preserve">-1</w:t>
      </w:r>
      <w:r>
        <w:t xml:space="preserve">).</w:t>
      </w:r>
    </w:p>
    <w:p>
      <w:r>
        <w:br w:type="textWrapping"/>
      </w:r>
      <w:r>
        <w:t xml:space="preserve">Here, total C allocation to leaves and aboveground wood (branches + bole) could be estimated from the sums of tissue C mass, net aboveground C flux and tissue turnover for each day of the experiment such that:</w:t>
      </w:r>
    </w:p>
    <w:p>
      <w:r>
        <w:br w:type="textWrapping"/>
      </w:r>
      <w:r>
        <w:t xml:space="preserve">(5)</w:t>
      </w:r>
    </w:p>
    <w:p>
      <w:r>
        <w:t xml:space="preserve">where</w:t>
      </w:r>
      <w:r>
        <w:t xml:space="preserve"> </w:t>
      </w:r>
      <m:oMath>
        <m:sSub>
          <m:e>
            <m:r>
              <m:rPr>
                <m:sty m:val="p"/>
              </m:rPr>
              <m:t>M</m:t>
            </m:r>
          </m:e>
          <m:sub>
            <m:r>
              <m:rPr>
                <m:sty m:val="p"/>
              </m:rPr>
              <m:t>c</m:t>
            </m:r>
            <m:r>
              <m:rPr>
                <m:sty m:val="p"/>
              </m:rPr>
              <m:t>,</m:t>
            </m:r>
            <m:r>
              <m:rPr>
                <m:sty m:val="p"/>
              </m:rPr>
              <m:t>T</m:t>
            </m:r>
          </m:sub>
        </m:sSub>
      </m:oMath>
      <w:r>
        <w:t xml:space="preserve"> </w:t>
      </w:r>
      <w:r>
        <w:t xml:space="preserve">is the total dry C mass of either leaves or wood and</w:t>
      </w:r>
      <w:r>
        <w:t xml:space="preserve"> </w:t>
      </w:r>
      <m:oMath>
        <m:sSub>
          <m:e>
            <m:r>
              <m:rPr>
                <m:sty m:val="p"/>
              </m:rPr>
              <m:t>F</m:t>
            </m:r>
          </m:e>
          <m:sub>
            <m:r>
              <m:rPr>
                <m:sty m:val="p"/>
              </m:rPr>
              <m:t>c</m:t>
            </m:r>
            <m:r>
              <m:rPr>
                <m:sty m:val="p"/>
              </m:rPr>
              <m:t>,</m:t>
            </m:r>
            <m:r>
              <m:rPr>
                <m:sty m:val="p"/>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sty m:val="p"/>
              </m:rPr>
              <m:t>l</m:t>
            </m:r>
          </m:sub>
        </m:sSub>
      </m:oMath>
      <w:r>
        <w:t xml:space="preserve">) was determined by combining measurements of harvested dry C mass of leaves (</w:t>
      </w:r>
      <m:oMath>
        <m:sSub>
          <m:e>
            <m:r>
              <m:rPr>
                <m:sty m:val="p"/>
              </m:rPr>
              <m:t>M</m:t>
            </m:r>
          </m:e>
          <m:sub>
            <m:r>
              <m:rPr>
                <m:sty m:val="p"/>
              </m:rPr>
              <m:t>l</m:t>
            </m:r>
            <m:r>
              <m:rPr>
                <m:sty m:val="p"/>
              </m:rPr>
              <m:t>,</m:t>
            </m:r>
            <m:r>
              <m:rPr>
                <m:sty m:val="p"/>
              </m:rPr>
              <m:t>T</m:t>
            </m:r>
          </m:sub>
        </m:sSub>
      </m:oMath>
      <w:r>
        <w:t xml:space="preserve">) with</w:t>
      </w:r>
      <w:r>
        <w:t xml:space="preserve"> </w:t>
      </w:r>
      <m:oMath>
        <m:sSub>
          <m:e>
            <m:r>
              <m:rPr>
                <m:sty m:val="p"/>
              </m:rPr>
              <m:t>F</m:t>
            </m:r>
          </m:e>
          <m:sub>
            <m:r>
              <m:rPr>
                <m:sty m:val="p"/>
              </m:rPr>
              <m:t>c</m:t>
            </m:r>
            <m:r>
              <m:rPr>
                <m:sty m:val="p"/>
              </m:rPr>
              <m:t>,</m:t>
            </m:r>
            <m:r>
              <m:rPr>
                <m:sty m:val="p"/>
              </m:rPr>
              <m:t>T</m:t>
            </m:r>
          </m:sub>
        </m:sSub>
      </m:oMath>
      <w:r>
        <w:t xml:space="preserve"> </w:t>
      </w:r>
      <w:r>
        <w:t xml:space="preserve">and total litterfall (</w:t>
      </w:r>
      <m:oMath>
        <m:sSub>
          <m:e>
            <m:r>
              <m:rPr>
                <m:sty m:val="p"/>
              </m:rPr>
              <m:t>L</m:t>
            </m:r>
          </m:e>
          <m:sub>
            <m:r>
              <m:rPr>
                <m:sty m:val="p"/>
              </m:rPr>
              <m:t>l</m:t>
            </m:r>
            <m:r>
              <m:rPr>
                <m:sty m:val="p"/>
              </m:rPr>
              <m:t>,</m:t>
            </m:r>
            <m:r>
              <m:rPr>
                <m:sty m:val="p"/>
              </m:rPr>
              <m:t>T</m:t>
            </m:r>
          </m:sub>
        </m:sSub>
      </m:oMath>
      <w:r>
        <w:t xml:space="preserve">), giving:</w:t>
      </w:r>
    </w:p>
    <w:p>
      <w:r>
        <w:br w:type="textWrapping"/>
      </w:r>
      <w:r>
        <w:t xml:space="preserve">(6)</w:t>
      </w:r>
    </w:p>
    <w:p>
      <w:r>
        <w:t xml:space="preserve">and then solving for leaf C allocation:</w:t>
      </w:r>
    </w:p>
    <w:p>
      <w:r>
        <w:br w:type="textWrapping"/>
      </w:r>
      <w:r>
        <w:t xml:space="preserve">(7)</w:t>
      </w:r>
    </w:p>
    <w:p>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r>
        <w:br w:type="textWrapping"/>
      </w:r>
      <w:r>
        <w:t xml:space="preserve">(8)</w:t>
      </w:r>
    </w:p>
    <w:p>
      <w:r>
        <w:t xml:space="preserve">where</w:t>
      </w:r>
      <w:r>
        <w:t xml:space="preserve"> </w:t>
      </w:r>
      <m:oMath>
        <m:sSub>
          <m:e>
            <m:r>
              <m:rPr>
                <m:sty m:val="p"/>
              </m:rPr>
              <m:t>C</m:t>
            </m:r>
          </m:e>
          <m:sub>
            <m:r>
              <m:rPr>
                <m:sty m:val="p"/>
              </m:rPr>
              <m:t>a</m:t>
            </m:r>
            <m:r>
              <m:rPr>
                <m:sty m:val="p"/>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sty m:val="p"/>
              </m:rPr>
              <m:t>r</m:t>
            </m:r>
            <m:r>
              <m:rPr>
                <m:sty m:val="p"/>
              </m:rPr>
              <m:t>,</m:t>
            </m:r>
            <m:r>
              <m:rPr>
                <m:sty m:val="p"/>
              </m:rPr>
              <m:t>T</m:t>
            </m:r>
          </m:sub>
        </m:sSub>
      </m:oMath>
      <w:r>
        <w:t xml:space="preserve">) and the residual belowground C flux (</w:t>
      </w:r>
      <m:oMath>
        <m:sSub>
          <m:e>
            <m:r>
              <m:rPr>
                <m:sty m:val="p"/>
              </m:rPr>
              <m:t>F</m:t>
            </m:r>
          </m:e>
          <m:sub>
            <m:r>
              <m:rPr>
                <m:sty m:val="p"/>
              </m:rPr>
              <m:t>c</m:t>
            </m:r>
            <m:r>
              <m:rPr>
                <m:sty m:val="p"/>
              </m:rPr>
              <m:t>,</m:t>
            </m:r>
            <m:r>
              <m:rPr>
                <m:sty m:val="p"/>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sty m:val="p"/>
              </m:rPr>
              <m:t>a</m:t>
            </m:r>
            <m:r>
              <m:rPr>
                <m:sty m:val="p"/>
              </m:rPr>
              <m:t>b</m:t>
            </m:r>
          </m:sub>
        </m:sSub>
      </m:oMath>
      <w:r>
        <w:t xml:space="preserve"> </w:t>
      </w:r>
      <w:r>
        <w:t xml:space="preserve">through time combined with measured daily</w:t>
      </w:r>
      <w:r>
        <w:t xml:space="preserve"> </w:t>
      </w:r>
      <m:oMath>
        <m:sSub>
          <m:e>
            <m:r>
              <m:rPr>
                <m:sty m:val="p"/>
              </m:rPr>
              <m:t>F</m:t>
            </m:r>
          </m:e>
          <m:sub>
            <m:r>
              <m:rPr>
                <m:sty m:val="p"/>
              </m:rPr>
              <m:t>c</m:t>
            </m:r>
            <m:r>
              <m:rPr>
                <m:sty m:val="p"/>
              </m:rPr>
              <m:t>,</m:t>
            </m:r>
            <m:r>
              <m:rPr>
                <m:sty m:val="p"/>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sty m:val="p"/>
              </m:rPr>
              <m:t>c</m:t>
            </m:r>
            <m:r>
              <m:rPr>
                <m:sty m:val="p"/>
              </m:rPr>
              <m:t>,</m:t>
            </m:r>
            <m:r>
              <m:rPr>
                <m:sty m:val="p"/>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sty m:val="p"/>
              </m:rPr>
              <m:t>c</m:t>
            </m:r>
            <m:r>
              <m:rPr>
                <m:sty m:val="p"/>
              </m:rPr>
              <m:t>,</m:t>
            </m:r>
            <m:r>
              <m:rPr>
                <m:sty m:val="p"/>
              </m:rPr>
              <m:t>d</m:t>
            </m:r>
          </m:sub>
        </m:sSub>
      </m:oMath>
      <w:r>
        <w:t xml:space="preserve"> </w:t>
      </w:r>
      <w:r>
        <w:t xml:space="preserve">and carbon allocation.</w:t>
      </w:r>
    </w:p>
    <w:p>
      <w:r>
        <w:t xml:space="preserve">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sty m:val="p"/>
              </m:rPr>
              <m:t>a</m:t>
            </m:r>
            <m:r>
              <m:rPr>
                <m:sty m:val="p"/>
              </m:rPr>
              <m:t>b</m:t>
            </m:r>
          </m:sub>
        </m:sSub>
      </m:oMath>
      <w:r>
        <w:t xml:space="preserve"> </w:t>
      </w:r>
      <w:r>
        <w:t xml:space="preserve">on any given day. The contribution of each aboveground component to 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sty m:val="p"/>
              </m:rPr>
              <m:t>c</m:t>
            </m:r>
            <m:r>
              <m:rPr>
                <m:sty m:val="p"/>
              </m:rPr>
              <m:t>,</m:t>
            </m:r>
            <m:r>
              <m:rPr>
                <m:sty m:val="p"/>
              </m:rPr>
              <m:t>d</m:t>
            </m:r>
            <m:r>
              <m:rPr>
                <m:sty m:val="p"/>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sty m:val="p"/>
              </m:rPr>
              <m:t>r</m:t>
            </m:r>
            <m:r>
              <m:rPr>
                <m:sty m:val="p"/>
              </m:rPr>
              <m:t>,</m:t>
            </m:r>
            <m:r>
              <m:rPr>
                <m:sty m:val="p"/>
              </m:rPr>
              <m:t>T</m:t>
            </m:r>
          </m:sub>
        </m:sSub>
      </m:oMath>
      <w:r>
        <w:t xml:space="preserve"> </w:t>
      </w:r>
      <w:r>
        <w:t xml:space="preserve">from</w:t>
      </w:r>
      <w:r>
        <w:t xml:space="preserve"> </w:t>
      </w:r>
      <m:oMath>
        <m:sSub>
          <m:e>
            <m:r>
              <m:rPr>
                <m:sty m:val="p"/>
              </m:rPr>
              <m:t>C</m:t>
            </m:r>
          </m:e>
          <m:sub>
            <m:r>
              <m:rPr>
                <m:sty m:val="p"/>
              </m:rPr>
              <m:t>a</m:t>
            </m:r>
            <m:r>
              <m:rPr>
                <m:sty m:val="p"/>
              </m:rPr>
              <m:t>b</m:t>
            </m:r>
          </m:sub>
        </m:sSub>
      </m:oMath>
      <w:r>
        <w:t xml:space="preserve"> </w:t>
      </w:r>
      <w:r>
        <w:t xml:space="preserve">on the last day of the 11 month period.</w:t>
      </w:r>
    </w:p>
    <w:p>
      <w:pPr>
        <w:pStyle w:val="Heading2"/>
      </w:pPr>
      <w:bookmarkStart w:id="98" w:name="data-analysis-2"/>
      <w:bookmarkEnd w:id="98"/>
      <w:r>
        <w:t xml:space="preserve">Data analysis</w:t>
      </w:r>
    </w:p>
    <w:p>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w:t>
      </w:r>
      <w:r>
        <w:t xml:space="preserve">R Development Core Team</w:t>
      </w:r>
      <w:r>
        <w:t xml:space="preserve"> </w:t>
      </w:r>
      <w:r>
        <w:t xml:space="preserve">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r>
        <w:t xml:space="preserve">Both whole tree C and</w:t>
      </w:r>
      <w:r>
        <w:t xml:space="preserve"> </w:t>
      </w:r>
      <m:oMath>
        <m:sSub>
          <m:e>
            <m:r>
              <m:rPr>
                <m:sty m:val="p"/>
              </m:rPr>
              <m:t>C</m:t>
            </m:r>
          </m:e>
          <m:sub>
            <m:r>
              <m:rPr>
                <m:sty m:val="p"/>
              </m:rPr>
              <m:t>a</m:t>
            </m:r>
            <m:r>
              <m:rPr>
                <m:sty m:val="p"/>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sty m:val="p"/>
              </m:rPr>
              <m:t>c</m:t>
            </m:r>
            <m:r>
              <m:rPr>
                <m:sty m:val="p"/>
              </m:rPr>
              <m:t>,</m:t>
            </m:r>
            <m:r>
              <m:rPr>
                <m:sty m:val="p"/>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sty m:val="p"/>
              </m:rPr>
              <m:t>a</m:t>
            </m:r>
            <m:r>
              <m:rPr>
                <m:sty m:val="p"/>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sty m:val="p"/>
              </m:rPr>
              <m:t>c</m:t>
            </m:r>
            <m:r>
              <m:rPr>
                <m:sty m:val="p"/>
              </m:rPr>
              <m:t>,</m:t>
            </m:r>
            <m:r>
              <m:rPr>
                <m:sty m:val="p"/>
              </m:rPr>
              <m:t>T</m:t>
            </m:r>
          </m:sub>
        </m:sSub>
      </m:oMath>
      <w:r>
        <w:t xml:space="preserve">.</w:t>
      </w:r>
    </w:p>
    <w:p>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sty m:val="p"/>
              </m:rPr>
              <m:t>c</m:t>
            </m:r>
            <m:r>
              <m:rPr>
                <m:sty m:val="p"/>
              </m:rPr>
              <m:t>,</m:t>
            </m:r>
            <m:r>
              <m:rPr>
                <m:sty m:val="p"/>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r>
        <w:t xml:space="preserve">Treatment effects on tissue C allocation were determined from C mass estimates obtained from allometry over the final eleven months of the experiment and</w:t>
      </w:r>
      <w:r>
        <w:t xml:space="preserve"> </w:t>
      </w:r>
      <m:oMath>
        <m:sSub>
          <m:e>
            <m:r>
              <m:rPr>
                <m:sty m:val="p"/>
              </m:rPr>
              <m:t>F</m:t>
            </m:r>
          </m:e>
          <m:sub>
            <m:r>
              <m:rPr>
                <m:sty m:val="p"/>
              </m:rPr>
              <m:t>c</m:t>
            </m:r>
            <m:r>
              <m:rPr>
                <m:sty m:val="p"/>
              </m:rPr>
              <m:t>,</m:t>
            </m:r>
            <m:r>
              <m:rPr>
                <m:sty m:val="p"/>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sty m:val="p"/>
              </m:rPr>
              <m:t>c</m:t>
            </m:r>
            <m:r>
              <m:rPr>
                <m:sty m:val="p"/>
              </m:rPr>
              <m:t>,</m:t>
            </m:r>
            <m:r>
              <m:rPr>
                <m:sty m:val="p"/>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sty m:val="p"/>
              </m:rPr>
              <m:t>c</m:t>
            </m:r>
            <m:r>
              <m:rPr>
                <m:sty m:val="p"/>
              </m:rPr>
              <m:t>,</m:t>
            </m:r>
            <m:r>
              <m:rPr>
                <m:sty m:val="p"/>
              </m:rPr>
              <m:t>T</m:t>
            </m:r>
          </m:sub>
        </m:sSub>
      </m:oMath>
      <w:r>
        <w:t xml:space="preserve"> </w:t>
      </w:r>
      <w:r>
        <w:t xml:space="preserve">(Figure 6). As mass balance must be achieved, TBCA and the residual belowground C flux (</w:t>
      </w:r>
      <m:oMath>
        <m:sSub>
          <m:e>
            <m:r>
              <m:rPr>
                <m:sty m:val="p"/>
              </m:rPr>
              <m:t>F</m:t>
            </m:r>
          </m:e>
          <m:sub>
            <m:r>
              <m:rPr>
                <m:sty m:val="p"/>
              </m:rPr>
              <m:t>c</m:t>
            </m:r>
            <m:r>
              <m:rPr>
                <m:sty m:val="p"/>
              </m:rPr>
              <m:t>,</m:t>
            </m:r>
            <m:r>
              <m:rPr>
                <m:sty m:val="p"/>
              </m:rPr>
              <m:t>r</m:t>
            </m:r>
          </m:sub>
        </m:sSub>
      </m:oMath>
      <w:r>
        <w:t xml:space="preserve">) were estimated from Figure 6 as residuals between</w:t>
      </w:r>
      <w:r>
        <w:t xml:space="preserve"> </w:t>
      </w:r>
      <m:oMath>
        <m:sSub>
          <m:e>
            <m:r>
              <m:rPr>
                <m:sty m:val="p"/>
              </m:rPr>
              <m:t>F</m:t>
            </m:r>
          </m:e>
          <m:sub>
            <m:r>
              <m:rPr>
                <m:sty m:val="p"/>
              </m:rPr>
              <m:t>c</m:t>
            </m:r>
            <m:r>
              <m:rPr>
                <m:sty m:val="p"/>
              </m:rPr>
              <m:t>,</m:t>
            </m:r>
            <m:r>
              <m:rPr>
                <m:sty m:val="p"/>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sty m:val="p"/>
              </m:rPr>
              <m:t>c</m:t>
            </m:r>
            <m:r>
              <m:rPr>
                <m:sty m:val="p"/>
              </m:rPr>
              <m:t>,</m:t>
            </m:r>
            <m:r>
              <m:rPr>
                <m:sty m:val="p"/>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sty m:val="p"/>
              </m:rPr>
              <m:t>c</m:t>
            </m:r>
            <m:r>
              <m:rPr>
                <m:sty m:val="p"/>
              </m:rPr>
              <m:t>,</m:t>
            </m:r>
            <m:r>
              <m:rPr>
                <m:sty m:val="p"/>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sty m:val="p"/>
              </m:rPr>
              <m:t>c</m:t>
            </m:r>
            <m:r>
              <m:rPr>
                <m:sty m:val="p"/>
              </m:rPr>
              <m:t>,</m:t>
            </m:r>
            <m:r>
              <m:rPr>
                <m:sty m:val="p"/>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w:t>
      </w:r>
      <w:r>
        <w:t xml:space="preserve">De Pury</w:t>
      </w:r>
      <w:r>
        <w:t xml:space="preserve"> </w:t>
      </w:r>
      <w:r>
        <w:t xml:space="preserve">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w:t>
      </w:r>
      <w:r>
        <w:t xml:space="preserve">ö</w:t>
      </w:r>
      <w:r>
        <w:t xml:space="preserve">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w:t>
      </w:r>
      <w:r>
        <w:t xml:space="preserve">ö</w:t>
      </w:r>
      <w:r>
        <w:t xml:space="preserve">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w:t>
      </w:r>
      <w:r>
        <w:t xml:space="preserve">ü</w:t>
      </w:r>
      <w:r>
        <w:t xml:space="preserve">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sty m:val="p"/>
              </m:rPr>
              <m:t>c</m:t>
            </m:r>
            <m:r>
              <m:rPr>
                <m:sty m:val="p"/>
              </m:rPr>
              <m:t>,</m:t>
            </m:r>
            <m:r>
              <m:rPr>
                <m:sty m:val="p"/>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w:t>
      </w:r>
      <w:r>
        <w:t xml:space="preserve">ö</w:t>
      </w:r>
      <w:r>
        <w:t xml:space="preserve">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w:t>
      </w:r>
      <w:r>
        <w:t xml:space="preserve">De Kauwe</w:t>
      </w:r>
      <w:r>
        <w:t xml:space="preserve"> </w:t>
      </w:r>
      <w:r>
        <w:t xml:space="preserve">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w:t>
      </w:r>
      <w:r>
        <w:rPr>
          <w:vertAlign w:val="subscript"/>
        </w:rPr>
        <w:t xml:space="preserve">2</w:t>
      </w:r>
      <w:r>
        <w:t xml:space="preserve">-enriched atmospheres. Functional Plant Biology 34:1137–1149.</w:t>
      </w:r>
    </w:p>
    <w:p>
      <w:pPr>
        <w:pStyle w:val="Bibliography"/>
      </w:pPr>
      <w:r>
        <w:t xml:space="preserve">Australia’s State of the Forests Report (2013).</w:t>
      </w:r>
      <w:r>
        <w:t xml:space="preserve"> </w:t>
      </w:r>
      <w:hyperlink r:id="rId113">
        <w:r>
          <w:rPr>
            <w:rStyle w:val="Link"/>
          </w:rPr>
          <w:t xml:space="preserve">http://www.agriculture.gov.au/abares/forestsaustralia</w:t>
        </w:r>
      </w:hyperlink>
      <w:r>
        <w:t xml:space="preserve"> </w:t>
      </w:r>
      <w:r>
        <w:t xml:space="preserve">(1 January 2015, date last accessed ).</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Measuring tree root respiration using</w:t>
      </w:r>
      <w:r>
        <w:t xml:space="preserve"> </w:t>
      </w:r>
      <w:r>
        <w:rPr>
          <w:vertAlign w:val="superscript"/>
        </w:rPr>
        <w:t xml:space="preserve">13</w:t>
      </w:r>
      <w:r>
        <w:t xml:space="preserve">C natural abundance: rooting medium matters. New Phytologist 167:297–307.</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114">
        <w:r>
          <w:rPr>
            <w:rStyle w:val="Link"/>
          </w:rPr>
          <w:t xml:space="preserve">http://www.remkoduursma.com/yplantqmc, https://www.bitbucket.org/remkoduursma/yplantqmc/</w:t>
        </w:r>
      </w:hyperlink>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w:t>
      </w:r>
    </w:p>
    <w:p>
      <w:pPr>
        <w:pStyle w:val="Bibliography"/>
      </w:pPr>
      <w:r>
        <w:t xml:space="preserve">Drake BG, Gonz</w:t>
      </w:r>
      <w:r>
        <w:t xml:space="preserve">à</w:t>
      </w:r>
      <w:r>
        <w:t xml:space="preserve">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10:e0143346.</w:t>
      </w:r>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w:t>
      </w:r>
      <w:r>
        <w:t xml:space="preserve"> </w:t>
      </w:r>
      <w:r>
        <w:rPr>
          <w:i/>
        </w:rPr>
        <w:t xml:space="preserve">Eucalyptus saligna</w:t>
      </w:r>
      <w:r>
        <w:t xml:space="preserve">. Tree physiology:tpr030.</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w:t>
      </w:r>
      <w:r>
        <w:t xml:space="preserve"> </w:t>
      </w:r>
      <w:r>
        <w:t xml:space="preserve">Von Caemmerer</w:t>
      </w:r>
      <w:r>
        <w:t xml:space="preserve"> </w:t>
      </w:r>
      <w:r>
        <w:t xml:space="preserve">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w:t>
      </w:r>
      <w:r>
        <w:t xml:space="preserve">ó</w:t>
      </w:r>
      <w:r>
        <w:t xml:space="preserve"> </w:t>
      </w:r>
      <w:r>
        <w:t xml:space="preserve">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w:t>
      </w:r>
      <w:r>
        <w:t xml:space="preserve">ó</w:t>
      </w:r>
      <w:r>
        <w:t xml:space="preserve"> </w:t>
      </w:r>
      <w:r>
        <w:t xml:space="preserve">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w:t>
      </w:r>
      <w:r>
        <w:t xml:space="preserve">ö</w:t>
      </w:r>
      <w:r>
        <w:t xml:space="preserve">rner C, H</w:t>
      </w:r>
      <w:r>
        <w:t xml:space="preserve">ä</w:t>
      </w:r>
      <w:r>
        <w:t xml:space="preserve">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w:t>
      </w:r>
      <w:r>
        <w:rPr>
          <w:vertAlign w:val="subscript"/>
        </w:rPr>
        <w:t xml:space="preserve">2</w:t>
      </w:r>
      <w:r>
        <w:t xml:space="preserve"> </w:t>
      </w:r>
      <w:r>
        <w:t xml:space="preserve">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11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K</w:t>
      </w:r>
      <w:r>
        <w:t xml:space="preserve">ö</w:t>
      </w:r>
      <w:r>
        <w:t xml:space="preserve">rner C, Asshoff R, Bignucolo O, H</w:t>
      </w:r>
      <w:r>
        <w:t xml:space="preserve">ä</w:t>
      </w:r>
      <w:r>
        <w:t xml:space="preserve">ttenschwiler S, Keel SG, Pel</w:t>
      </w:r>
      <w:r>
        <w:t xml:space="preserve">á</w:t>
      </w:r>
      <w:r>
        <w:t xml:space="preserve">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w:t>
      </w:r>
      <w:r>
        <w:t xml:space="preserve">ü</w:t>
      </w:r>
      <w:r>
        <w:t xml:space="preserve">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w:t>
      </w:r>
      <w:r>
        <w:t xml:space="preserve"> </w:t>
      </w:r>
      <w:r>
        <w:t xml:space="preserve">X, Lacointe A, Escobar-Guti</w:t>
      </w:r>
      <w:r>
        <w:t xml:space="preserve">é</w:t>
      </w:r>
      <w:r>
        <w:t xml:space="preserve">rrez A,</w:t>
      </w:r>
      <w:r>
        <w:t xml:space="preserve"> </w:t>
      </w:r>
      <w:r>
        <w:t xml:space="preserve">Le Diz</w:t>
      </w:r>
      <w:r>
        <w:t xml:space="preserve">è</w:t>
      </w:r>
      <w:r>
        <w:t xml:space="preserve">s</w:t>
      </w:r>
      <w:r>
        <w:t xml:space="preserve"> </w:t>
      </w:r>
      <w:r>
        <w:t xml:space="preserve">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w:t>
      </w:r>
      <w:r>
        <w:t xml:space="preserve">ä</w:t>
      </w:r>
      <w:r>
        <w:t xml:space="preserve">rm</w:t>
      </w:r>
      <w:r>
        <w:t xml:space="preserve">ä</w:t>
      </w:r>
      <w:r>
        <w:t xml:space="preserve"> </w:t>
      </w:r>
      <w:r>
        <w:t xml:space="preserve">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w:t>
      </w:r>
      <w:r>
        <w:t xml:space="preserve">ä</w:t>
      </w:r>
      <w:r>
        <w:t xml:space="preserve">kel</w:t>
      </w:r>
      <w:r>
        <w:t xml:space="preserve">ä</w:t>
      </w:r>
      <w:r>
        <w:t xml:space="preserve"> </w:t>
      </w:r>
      <w:r>
        <w:t xml:space="preserve">A (1997) A carbon balance model of growth and self-pruning in trees based on structural relationships. Forest Science 43:7–24.</w:t>
      </w:r>
    </w:p>
    <w:p>
      <w:pPr>
        <w:pStyle w:val="Bibliography"/>
      </w:pPr>
      <w:r>
        <w:t xml:space="preserve">M</w:t>
      </w:r>
      <w:r>
        <w:t xml:space="preserve">ä</w:t>
      </w:r>
      <w:r>
        <w:t xml:space="preserve">kel</w:t>
      </w:r>
      <w:r>
        <w:t xml:space="preserve">ä</w:t>
      </w:r>
      <w:r>
        <w:t xml:space="preserve"> </w:t>
      </w:r>
      <w:r>
        <w:t xml:space="preserve">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w:t>
      </w:r>
      <w:r>
        <w:t xml:space="preserve">ä</w:t>
      </w:r>
      <w:r>
        <w:t xml:space="preserve">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w:t>
      </w:r>
      <w:r>
        <w:t xml:space="preserve">á</w:t>
      </w:r>
      <w:r>
        <w:t xml:space="preserve">ndez R, Maestro-Mart</w:t>
      </w:r>
      <w:r>
        <w:t xml:space="preserve">í</w:t>
      </w:r>
      <w:r>
        <w:t xml:space="preserve">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Concentration and</w:t>
      </w:r>
      <w:r>
        <w:t xml:space="preserve"> </w:t>
      </w:r>
      <m:oMath>
        <m:r>
          <m:rPr>
            <m:sty m:val="p"/>
          </m:rPr>
          <m:t>σ</m:t>
        </m:r>
      </m:oMath>
      <w:r>
        <w:rPr>
          <w:vertAlign w:val="superscript"/>
        </w:rPr>
        <w:t xml:space="preserve">13</w:t>
      </w:r>
      <w:r>
        <w:t xml:space="preserve">C of leaf carbohydrates in relation to gas exchange in</w:t>
      </w:r>
      <w:r>
        <w:t xml:space="preserve"> </w:t>
      </w:r>
      <w:r>
        <w:rPr>
          <w:i/>
        </w:rPr>
        <w:t xml:space="preserve">Quercus robur</w:t>
      </w:r>
      <w:r>
        <w:t xml:space="preserve"> </w:t>
      </w:r>
      <w:r>
        <w:t xml:space="preserve">under elevated CO</w:t>
      </w:r>
      <w:r>
        <w:rPr>
          <w:vertAlign w:val="subscript"/>
        </w:rPr>
        <w:t xml:space="preserve">2</w:t>
      </w:r>
      <w:r>
        <w:t xml:space="preserve"> </w:t>
      </w:r>
      <w:r>
        <w:t xml:space="preserve">and drought. Journal of Experimental Botany 48:1547–1556.</w:t>
      </w:r>
    </w:p>
    <w:p>
      <w:pPr>
        <w:pStyle w:val="Bibliography"/>
      </w:pPr>
      <w:r>
        <w:t xml:space="preserve">Piel C, Frak E,</w:t>
      </w:r>
      <w:r>
        <w:t xml:space="preserve"> </w:t>
      </w:r>
      <w:r>
        <w:t xml:space="preserve">Le Roux</w:t>
      </w:r>
      <w:r>
        <w:t xml:space="preserve"> </w:t>
      </w:r>
      <w:r>
        <w:t xml:space="preserve">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7">
        <w:r>
          <w:rPr>
            <w:rStyle w:val="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w:t>
      </w:r>
      <w:r>
        <w:t xml:space="preserve">ü</w:t>
      </w:r>
      <w:r>
        <w:t xml:space="preserve">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w:t>
      </w:r>
      <w:r>
        <w:t xml:space="preserve"> </w:t>
      </w:r>
      <w:r>
        <w:t xml:space="preserve">Van Berkel</w:t>
      </w:r>
      <w:r>
        <w:t xml:space="preserve"> </w:t>
      </w:r>
      <w:r>
        <w:t xml:space="preserve">Y, Baxter R,</w:t>
      </w:r>
      <w:r>
        <w:t xml:space="preserve"> </w:t>
      </w:r>
      <w:r>
        <w:t xml:space="preserve">Den Hertog</w:t>
      </w:r>
      <w:r>
        <w:t xml:space="preserve"> </w:t>
      </w:r>
      <w:r>
        <w:t xml:space="preserve">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118">
        <w:r>
          <w:rPr>
            <w:rStyle w:val="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8:e54231.</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w:t>
      </w:r>
      <w:r>
        <w:t xml:space="preserve"> </w:t>
      </w:r>
      <w:r>
        <w:t xml:space="preserve">Von Caemmerer</w:t>
      </w:r>
      <w:r>
        <w:t xml:space="preserve"> </w:t>
      </w:r>
      <w:r>
        <w:t xml:space="preserve">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 Forests.</w:t>
      </w:r>
      <w:r>
        <w:t xml:space="preserve"> </w:t>
      </w:r>
      <w:hyperlink r:id="rId119">
        <w:r>
          <w:rPr>
            <w:rStyle w:val="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Estimation of canopy average mesophyll conductance using</w:t>
      </w:r>
      <w:r>
        <w:t xml:space="preserve"> </w:t>
      </w:r>
      <m:oMath>
        <m:r>
          <m:rPr>
            <m:sty m:val="p"/>
          </m:rPr>
          <m:t>δ</m:t>
        </m:r>
      </m:oMath>
      <w:r>
        <w:rPr>
          <w:vertAlign w:val="superscript"/>
        </w:rPr>
        <w:t xml:space="preserve">13</w:t>
      </w:r>
      <w:r>
        <w:t xml:space="preserve">C of phloem contents.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w:t>
      </w:r>
      <w:r>
        <w:t xml:space="preserve">ä</w:t>
      </w:r>
      <w:r>
        <w:t xml:space="preserve">kel</w:t>
      </w:r>
      <w:r>
        <w:t xml:space="preserve">ä</w:t>
      </w:r>
      <w:r>
        <w:t xml:space="preserve"> </w:t>
      </w:r>
      <w:r>
        <w:t xml:space="preserve">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w:t>
      </w:r>
      <w:r>
        <w:t xml:space="preserve"> </w:t>
      </w:r>
      <w:r>
        <w:t xml:space="preserve">S, Evans JR (2014) Temperature responses of mesophyll conductance differ greatly between species. Plant, cell &amp; environment</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w:t>
      </w:r>
      <w:r>
        <w:rPr>
          <w:i/>
        </w:rPr>
        <w:t xml:space="preserve">Pinus taeda</w:t>
      </w:r>
      <w:r>
        <w:t xml:space="preserve"> </w:t>
      </w:r>
      <w:r>
        <w:t xml:space="preserve">L.) stand using</w:t>
      </w:r>
      <w:r>
        <w:t xml:space="preserve"> </w:t>
      </w:r>
      <w:r>
        <w:rPr>
          <w:vertAlign w:val="superscript"/>
        </w:rPr>
        <w:t xml:space="preserve">13</w:t>
      </w:r>
      <w:r>
        <w:t xml:space="preserve">C labeling and shade treatments. Tree physiology 32:799–813.</w:t>
      </w:r>
    </w:p>
    <w:p>
      <w:pPr>
        <w:pStyle w:val="Bibliography"/>
      </w:pPr>
      <w:r>
        <w:t xml:space="preserve">Warren CR, L</w:t>
      </w:r>
      <w:r>
        <w:t xml:space="preserve">ö</w:t>
      </w:r>
      <w:r>
        <w:t xml:space="preserve">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fb48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6194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