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overview"/>
      <w:bookmarkEnd w:id="23"/>
      <w:r>
        <w:t xml:space="preserve">1.1 Overview</w:t>
      </w:r>
    </w:p>
    <w:p>
      <w:pPr>
        <w:pStyle w:val="Heading2"/>
      </w:pPr>
      <w:bookmarkStart w:id="24" w:name="resource-allocation-in-plants"/>
      <w:bookmarkEnd w:id="24"/>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5" w:name="resource-allocation-theory"/>
      <w:bookmarkEnd w:id="25"/>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6" w:name="tree-canopy-resource-gradients"/>
      <w:bookmarkEnd w:id="26"/>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7" w:name="fate-of-assimilated-carbon"/>
      <w:bookmarkEnd w:id="27"/>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8" w:name="eucalyptus-tree-species-as-model-for-research"/>
      <w:bookmarkEnd w:id="28"/>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9" w:name="current-knowledge-gaps"/>
      <w:bookmarkEnd w:id="29"/>
      <w:r>
        <w:t xml:space="preserve">1.2 Current Knowledge Gaps</w:t>
      </w:r>
    </w:p>
    <w:p>
      <w:pPr>
        <w:pStyle w:val="Heading2"/>
      </w:pPr>
      <w:bookmarkStart w:id="30" w:name="resource-allocation-in-trees"/>
      <w:bookmarkEnd w:id="30"/>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31" w:name="coupling-of-photosynthesis-and-tree-growth"/>
      <w:bookmarkEnd w:id="31"/>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2" w:name="within-canopy-resource-utilization"/>
      <w:bookmarkEnd w:id="32"/>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3" w:name="thesis-objectives"/>
      <w:bookmarkEnd w:id="33"/>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4" w:name="thesis-outline"/>
      <w:bookmarkEnd w:id="34"/>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5" w:name="reproducible-reseach"/>
      <w:bookmarkEnd w:id="35"/>
      <w:r>
        <w:t xml:space="preserve">1.5 Reproducible Reseach</w:t>
      </w:r>
    </w:p>
    <w:p>
      <w:pPr>
        <w:pStyle w:val="FirstParagraph"/>
      </w:pPr>
      <w:r>
        <w:t xml:space="preserve">Science is driven by data, yet it is a challenge to ensure that reported experimental data are appropriately described, standardized, archived and openly available</w:t>
      </w:r>
      <w:r>
        <w:t xml:space="preserve"> </w:t>
      </w:r>
      <w:r>
        <w:t xml:space="preserve">(Hanson et al. 2011)</w:t>
      </w:r>
      <w:r>
        <w:t xml:space="preserve">. Reproducibility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6">
        <w:r>
          <w:rPr>
            <w:rStyle w:val="Hyperlink"/>
          </w:rPr>
          <w:t xml:space="preserve">https://github.com/CourtneyCampany</w:t>
        </w:r>
      </w:hyperlink>
      <w:r>
        <w:t xml:space="preserve">.</w:t>
      </w:r>
    </w:p>
    <w:p>
      <w:pPr>
        <w:pStyle w:val="Heading1"/>
      </w:pPr>
      <w:bookmarkStart w:id="37" w:name="synthesis"/>
      <w:bookmarkEnd w:id="37"/>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8" w:name="where-does-the-carbon-go"/>
      <w:bookmarkEnd w:id="38"/>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9" w:name="when-do-photosynthesis-and-growth-not-add-up"/>
      <w:bookmarkEnd w:id="39"/>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40" w:name="are-whole-canopies-optimized-for-carbon-gain"/>
      <w:bookmarkEnd w:id="40"/>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41" w:name="conclusions"/>
      <w:bookmarkEnd w:id="41"/>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42" w:name="eucalyptus-forests"/>
      <w:bookmarkEnd w:id="42"/>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43" w:name="chapter-2-text"/>
      <w:bookmarkEnd w:id="43"/>
      <w:r>
        <w:t xml:space="preserve">chapter 2 text</w:t>
      </w:r>
    </w:p>
    <w:p>
      <w:pPr>
        <w:pStyle w:val="Heading1"/>
      </w:pPr>
      <w:bookmarkStart w:id="44" w:name="abstract-1"/>
      <w:bookmarkEnd w:id="44"/>
      <w:r>
        <w:t xml:space="preserve">Abstract</w:t>
      </w:r>
    </w:p>
    <w:p>
      <w:pPr>
        <w:pStyle w:val="FirstParagraph"/>
      </w:pPr>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45" w:name="keywords"/>
      <w:bookmarkEnd w:id="45"/>
      <w:r>
        <w:t xml:space="preserve">Keywords</w:t>
      </w:r>
    </w:p>
    <w:p>
      <w:pPr>
        <w:pStyle w:val="FirstParagraph"/>
      </w:pPr>
      <w:r>
        <w:t xml:space="preserve">photosynthesis, growth, sink regulation, carbon allocation, soil volume</w:t>
      </w:r>
    </w:p>
    <w:p>
      <w:pPr>
        <w:pStyle w:val="Heading1"/>
      </w:pPr>
      <w:bookmarkStart w:id="46" w:name="introduction"/>
      <w:bookmarkEnd w:id="46"/>
      <w:r>
        <w:t xml:space="preserve">Introduction</w:t>
      </w:r>
    </w:p>
    <w:p>
      <w:pPr>
        <w:pStyle w:val="FirstParagraph"/>
      </w:pPr>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pPr>
        <w:pStyle w:val="BodyText"/>
      </w:pPr>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pPr>
        <w:pStyle w:val="BodyText"/>
      </w:pPr>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pPr>
        <w:pStyle w:val="BodyText"/>
      </w:pPr>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Bühler,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pPr>
        <w:pStyle w:val="BodyText"/>
      </w:pPr>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pPr>
        <w:pStyle w:val="BodyText"/>
      </w:pPr>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pPr>
        <w:pStyle w:val="BodyText"/>
      </w:pPr>
      <w:r>
        <w:t xml:space="preserve">2). As the finite pool of rooting volume and soil nutrients will decline faster in trees growing in small containers, we expected reductions in partitioning to fine root mass relative to tree size with decreasing container size.</w:t>
      </w:r>
    </w:p>
    <w:p>
      <w:pPr>
        <w:pStyle w:val="BodyText"/>
      </w:pPr>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pPr>
        <w:pStyle w:val="BodyText"/>
      </w:pPr>
      <w:r>
        <w:t xml:space="preserve">4). Last, observed seedling mass was expected to correspond to growth model mass predicted from a simple C balance model taking into account measured rates of photosynthesis.</w:t>
      </w:r>
    </w:p>
    <w:p>
      <w:pPr>
        <w:pStyle w:val="Heading1"/>
      </w:pPr>
      <w:bookmarkStart w:id="47" w:name="materials-and-methods"/>
      <w:bookmarkEnd w:id="47"/>
      <w:r>
        <w:t xml:space="preserve">Materials and Methods</w:t>
      </w:r>
    </w:p>
    <w:p>
      <w:pPr>
        <w:pStyle w:val="Heading2"/>
      </w:pPr>
      <w:bookmarkStart w:id="48" w:name="experimental-design"/>
      <w:bookmarkEnd w:id="48"/>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9" w:name="growth-and-morphology-metrics"/>
      <w:bookmarkEnd w:id="49"/>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50" w:name="photosynthetic-parameters"/>
      <w:bookmarkEnd w:id="50"/>
      <w:r>
        <w:t xml:space="preserve">Photosynthetic parameters</w:t>
      </w:r>
    </w:p>
    <w:p>
      <w:pPr>
        <w:pStyle w:val="FirstParagraph"/>
      </w:pPr>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51" w:name="leaf-water-potential"/>
      <w:bookmarkEnd w:id="51"/>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52" w:name="leaf-root-and-soil-chemistry"/>
      <w:bookmarkEnd w:id="52"/>
      <w:r>
        <w:t xml:space="preserve">Leaf, root and soil chemistry</w:t>
      </w:r>
    </w:p>
    <w:p>
      <w:pPr>
        <w:pStyle w:val="FirstParagraph"/>
      </w:pPr>
      <w:r>
        <w:t xml:space="preserve">Leaves used in each gas exchange measurements and subsamples of harvested roots were dried to a constant mass and milled for analysis of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53" w:name="seedling-growth-model"/>
      <w:bookmarkEnd w:id="53"/>
      <w:r>
        <w:t xml:space="preserve">Seedling growth model</w:t>
      </w:r>
    </w:p>
    <w:p>
      <w:pPr>
        <w:pStyle w:val="FirstParagraph"/>
      </w:pPr>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pPr>
        <w:pStyle w:val="BodyText"/>
      </w:pPr>
      <w:r>
        <w:br w:type="textWrapping"/>
      </w:r>
      <w:r>
        <w:t xml:space="preserve">(1)</w:t>
      </w:r>
    </w:p>
    <w:p>
      <w:pPr>
        <w:pStyle w:val="BodyText"/>
      </w:pPr>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t>σ</m:t>
        </m:r>
      </m:oMath>
      <w:r>
        <w:rPr>
          <w:vertAlign w:val="subscript"/>
        </w:rPr>
        <w:t xml:space="preserve">s</w:t>
      </w:r>
      <w:r>
        <w:t xml:space="preserve"> </w:t>
      </w:r>
      <w:r>
        <w:t xml:space="preserve">is a self shading parameter (explained below),</w:t>
      </w:r>
      <w:r>
        <w:t xml:space="preserve"> </w:t>
      </w:r>
      <m:oMath>
        <m:r>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pPr>
        <w:pStyle w:val="BodyText"/>
      </w:pPr>
      <w:r>
        <w:br w:type="textWrapping"/>
      </w:r>
      <w:r>
        <w:t xml:space="preserve">(2)</w:t>
      </w:r>
    </w:p>
    <w:p>
      <w:pPr>
        <w:pStyle w:val="BodyText"/>
      </w:pPr>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pPr>
        <w:pStyle w:val="BodyText"/>
      </w:pPr>
      <w:r>
        <w:br w:type="textWrapping"/>
      </w:r>
      <w:r>
        <w:t xml:space="preserve">(3)</w:t>
      </w:r>
    </w:p>
    <w:p>
      <w:pPr>
        <w:pStyle w:val="BodyText"/>
      </w:pPr>
      <w:r>
        <w:t xml:space="preserve">where A</w:t>
      </w:r>
      <w:r>
        <w:rPr>
          <w:vertAlign w:val="subscript"/>
        </w:rPr>
        <w:t xml:space="preserve">c</w:t>
      </w:r>
      <w:r>
        <w:t xml:space="preserve"> </w:t>
      </w:r>
      <w:r>
        <w:t xml:space="preserve">is the component specific biomass partitioning to whole plant biomass (%) and</w:t>
      </w:r>
      <w:r>
        <w:t xml:space="preserve"> </w:t>
      </w:r>
      <m:oMath>
        <m:r>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pPr>
        <w:pStyle w:val="BodyText"/>
      </w:pPr>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(Duursma)</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pPr>
        <w:pStyle w:val="BodyText"/>
      </w:pPr>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pPr>
        <w:pStyle w:val="BodyText"/>
      </w:pPr>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54" w:name="data-analysis"/>
      <w:bookmarkEnd w:id="54"/>
      <w:r>
        <w:t xml:space="preserve">Data analysis</w:t>
      </w:r>
    </w:p>
    <w:p>
      <w:pPr>
        <w:pStyle w:val="FirstParagraph"/>
      </w:pPr>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55" w:name="results"/>
      <w:bookmarkEnd w:id="55"/>
      <w:r>
        <w:t xml:space="preserve">Results</w:t>
      </w:r>
    </w:p>
    <w:p>
      <w:pPr>
        <w:pStyle w:val="Heading2"/>
      </w:pPr>
      <w:bookmarkStart w:id="56" w:name="growth-and-morphology"/>
      <w:bookmarkEnd w:id="56"/>
      <w:r>
        <w:t xml:space="preserve">Growth and morphology</w:t>
      </w:r>
    </w:p>
    <w:p>
      <w:pPr>
        <w:pStyle w:val="FirstParagraph"/>
      </w:pPr>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pPr>
        <w:pStyle w:val="BodyText"/>
      </w:pPr>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t>x</m:t>
            </m:r>
          </m:e>
        </m:bar>
      </m:oMath>
      <w:r>
        <w:t xml:space="preserve"> </w:t>
      </w:r>
      <w:r>
        <w:t xml:space="preserve">= 0.904, 95% CI = [0.846,1.119]) and a near identical ratio of leaf to fine root mass (Figure 3c).</w:t>
      </w:r>
    </w:p>
    <w:p>
      <w:pPr>
        <w:pStyle w:val="BodyText"/>
      </w:pPr>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57" w:name="leaf-and-root-chemistry"/>
      <w:bookmarkEnd w:id="57"/>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58" w:name="gas-exchange-and-photosynthetic-parameters"/>
      <w:bookmarkEnd w:id="58"/>
      <w:r>
        <w:t xml:space="preserve">Gas exchange and photosynthetic parameters</w:t>
      </w:r>
    </w:p>
    <w:p>
      <w:pPr>
        <w:pStyle w:val="FirstParagraph"/>
      </w:pPr>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pPr>
        <w:pStyle w:val="BodyText"/>
      </w:pPr>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4.5 %), with minimal decreases from pre-planting value (</w:t>
      </w:r>
      <m:oMath>
        <m:bar>
          <m:barPr>
            <m:pos m:val="top"/>
          </m:barPr>
          <m:e>
            <m:r>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9" w:name="modelling-seedling-biomass"/>
      <w:bookmarkEnd w:id="59"/>
      <w:r>
        <w:t xml:space="preserve">Modelling seedling biomass</w:t>
      </w:r>
    </w:p>
    <w:p>
      <w:pPr>
        <w:pStyle w:val="FirstParagraph"/>
      </w:pPr>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pPr>
        <w:pStyle w:val="BodyText"/>
      </w:pPr>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60" w:name="discussion"/>
      <w:bookmarkEnd w:id="60"/>
      <w:r>
        <w:t xml:space="preserve">Discussion</w:t>
      </w:r>
    </w:p>
    <w:p>
      <w:pPr>
        <w:pStyle w:val="FirstParagraph"/>
      </w:pPr>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61" w:name="reductions-in-growth-and-physiology-under-sink-limitation"/>
      <w:bookmarkEnd w:id="61"/>
      <w:r>
        <w:t xml:space="preserve">Reductions in growth and physiology under sink limitation</w:t>
      </w:r>
    </w:p>
    <w:p>
      <w:pPr>
        <w:pStyle w:val="FirstParagraph"/>
      </w:pPr>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Bühler, et al. 2012)</w:t>
      </w:r>
      <w:r>
        <w:t xml:space="preserve">. It was therefore necessary to examine each of these factors to determine if the induced belowground sink limitation actually triggered photosynthetic down regulation.</w:t>
      </w:r>
    </w:p>
    <w:p>
      <w:pPr>
        <w:pStyle w:val="BodyText"/>
      </w:pPr>
      <w:r>
        <w:br w:type="textWrapping"/>
      </w:r>
      <w:r>
        <w:t xml:space="preserve">With high rates of g</w:t>
      </w:r>
      <w:r>
        <w:rPr>
          <w:vertAlign w:val="subscript"/>
        </w:rPr>
        <w:t xml:space="preserve">s</w:t>
      </w:r>
      <w:r>
        <w:t xml:space="preserve">, non-limiting leaf water potential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pPr>
        <w:pStyle w:val="BodyText"/>
      </w:pPr>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62" w:name="biomass-partitioning-under-sink-limitation"/>
      <w:bookmarkEnd w:id="62"/>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pPr>
        <w:pStyle w:val="BodyText"/>
      </w:pPr>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63" w:name="do-reductions-in-photosynthesis-explain-reductions-in-seedling-growth"/>
      <w:bookmarkEnd w:id="63"/>
      <w:r>
        <w:t xml:space="preserve">Do reductions in photosynthesis explain reductions in seedling growth?</w:t>
      </w:r>
    </w:p>
    <w:p>
      <w:pPr>
        <w:pStyle w:val="FirstParagraph"/>
      </w:pPr>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pPr>
        <w:pStyle w:val="BodyText"/>
      </w:pPr>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pPr>
        <w:pStyle w:val="BodyText"/>
      </w:pPr>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64" w:name="conclusions-1"/>
      <w:bookmarkEnd w:id="64"/>
      <w:r>
        <w:t xml:space="preserve">Conclusions</w:t>
      </w:r>
    </w:p>
    <w:p>
      <w:pPr>
        <w:pStyle w:val="FirstParagraph"/>
      </w:pPr>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65" w:name="list-of-tables"/>
      <w:bookmarkEnd w:id="65"/>
      <w:r>
        <w:t xml:space="preserve">List of 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S1</w:t>
      </w:r>
      <w:r>
        <w:t xml:space="preserve">. Seedling growth model default parameters.</w:t>
      </w:r>
    </w:p>
    <w:p>
      <w:pPr>
        <w:pStyle w:val="Heading1"/>
      </w:pPr>
      <w:bookmarkStart w:id="66" w:name="list-of-figures"/>
      <w:bookmarkEnd w:id="66"/>
      <w:r>
        <w:t xml:space="preserve">List of Figures</w:t>
      </w:r>
    </w:p>
    <w:p>
      <w:pPr>
        <w:pStyle w:val="FirstParagraph"/>
      </w:pPr>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67" w:name="tables"/>
      <w:bookmarkEnd w:id="67"/>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68" w:name="chapter-3-text"/>
      <w:bookmarkEnd w:id="68"/>
      <w:r>
        <w:t xml:space="preserve">chapter 3 text</w:t>
      </w:r>
    </w:p>
    <w:p>
      <w:pPr>
        <w:pStyle w:val="Heading1"/>
      </w:pPr>
      <w:bookmarkStart w:id="69" w:name="summary"/>
      <w:bookmarkEnd w:id="69"/>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70" w:name="key-words"/>
      <w:bookmarkEnd w:id="70"/>
      <w:r>
        <w:t xml:space="preserve">Key words</w:t>
      </w:r>
    </w:p>
    <w:p>
      <w:pPr>
        <w:pStyle w:val="FirstParagraph"/>
      </w:pPr>
      <w:r>
        <w:t xml:space="preserve">photosynthesis, stomatal conductance, mesophyll conductance, shade, leaf optimal behavior</w:t>
      </w:r>
    </w:p>
    <w:p>
      <w:pPr>
        <w:pStyle w:val="Heading1"/>
      </w:pPr>
      <w:bookmarkStart w:id="71" w:name="introduction-1"/>
      <w:bookmarkEnd w:id="71"/>
      <w:r>
        <w:t xml:space="preserve">Introduction</w:t>
      </w:r>
    </w:p>
    <w:p>
      <w:pPr>
        <w:pStyle w:val="FirstParagraph"/>
      </w:pPr>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(De Pury and Farquhar 1997, Linderson et al. 2012)</w:t>
      </w:r>
      <w:r>
        <w:t xml:space="preserve">.</w:t>
      </w:r>
    </w:p>
    <w:p>
      <w:pPr>
        <w:pStyle w:val="BodyText"/>
      </w:pPr>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pPr>
        <w:pStyle w:val="BodyText"/>
      </w:pPr>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pPr>
        <w:pStyle w:val="BodyText"/>
      </w:pPr>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pPr>
        <w:pStyle w:val="BodyText"/>
      </w:pPr>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pPr>
        <w:pStyle w:val="BodyText"/>
      </w:pPr>
      <w:r>
        <w:br w:type="textWrapping"/>
      </w:r>
      <w:r>
        <w:t xml:space="preserve">1. If whole tree canopies are optimized for C gain, then leaf N, hydraulic conductance and biochemical photosynthetic capacity are predicted to be higher in sun leaves compared to shade leaves.</w:t>
      </w:r>
    </w:p>
    <w:p>
      <w:pPr>
        <w:pStyle w:val="BodyText"/>
      </w:pPr>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pPr>
        <w:pStyle w:val="BodyText"/>
      </w:pPr>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pPr>
        <w:pStyle w:val="BodyText"/>
      </w:pPr>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72" w:name="materials-and-methods-1"/>
      <w:bookmarkEnd w:id="72"/>
      <w:r>
        <w:t xml:space="preserve">Materials and Methods</w:t>
      </w:r>
    </w:p>
    <w:p>
      <w:pPr>
        <w:pStyle w:val="Heading2"/>
      </w:pPr>
      <w:bookmarkStart w:id="73" w:name="whole-tree-chamber-experimental-design"/>
      <w:bookmarkEnd w:id="73"/>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pPr>
        <w:pStyle w:val="BodyText"/>
      </w:pPr>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74" w:name="leaf-gas-exchange-online-carbon-isotope-discrimination-and-mesophyll-conductance"/>
      <w:bookmarkEnd w:id="74"/>
      <w:r>
        <w:t xml:space="preserve">Leaf gas exchange, online carbon isotope discrimination and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pPr>
        <w:pStyle w:val="BodyText"/>
      </w:pPr>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pPr>
        <w:pStyle w:val="BodyText"/>
      </w:pPr>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obs</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w:r>
        <w:t xml:space="preserve">where:</w:t>
      </w:r>
    </w:p>
    <w:p>
      <w:pPr>
        <w:pStyle w:val="BodyText"/>
      </w:pPr>
      <w:r>
        <w:br w:type="textWrapping"/>
      </w:r>
      <w:r>
        <w:t xml:space="preserve">(3)</w:t>
      </w:r>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pPr>
        <w:pStyle w:val="BodyText"/>
      </w:pPr>
      <w:r>
        <w:br w:type="textWrapping"/>
      </w:r>
      <w:r>
        <w:t xml:space="preserve">(5)</w:t>
      </w:r>
      <w:r>
        <w:br w:type="textWrapping"/>
      </w:r>
      <w:r>
        <w:t xml:space="preserve">(6)</w:t>
      </w:r>
    </w:p>
    <w:p>
      <w:pPr>
        <w:pStyle w:val="BodyText"/>
      </w:pPr>
      <w:r>
        <w:br w:type="textWrapping"/>
      </w:r>
      <w:r>
        <w:t xml:space="preserve">(7)</w:t>
      </w:r>
    </w:p>
    <w:p>
      <w:pPr>
        <w:pStyle w:val="BodyText"/>
      </w:pPr>
      <w:r>
        <w:br w:type="textWrapping"/>
      </w:r>
      <w:r>
        <w:t xml:space="preserve">(8)</w:t>
      </w:r>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pPr>
        <w:pStyle w:val="BodyText"/>
      </w:pPr>
      <w:r>
        <w:br w:type="textWrapping"/>
      </w:r>
      <w:r>
        <w:t xml:space="preserve">(10)</w:t>
      </w:r>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pPr>
        <w:pStyle w:val="BodyText"/>
      </w:pPr>
      <w:r>
        <w:br w:type="textWrapping"/>
      </w:r>
      <w:r>
        <w:t xml:space="preserve">(11)</w:t>
      </w:r>
    </w:p>
    <w:p>
      <w:pPr>
        <w:pStyle w:val="BodyText"/>
      </w:pPr>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75" w:name="biochemical-parameters-of-photosynthesis"/>
      <w:bookmarkEnd w:id="75"/>
      <w:r>
        <w:t xml:space="preserve">Biochemical parameters of photosynthesis</w:t>
      </w:r>
    </w:p>
    <w:p>
      <w:pPr>
        <w:pStyle w:val="FirstParagraph"/>
      </w:pP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at 25 °C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Heading2"/>
      </w:pPr>
      <w:bookmarkStart w:id="76" w:name="leaf-chemistry-and-hydraulic-parameters"/>
      <w:bookmarkEnd w:id="76"/>
      <w:r>
        <w:t xml:space="preserve">Leaf chemistry and hydraulic parameters</w:t>
      </w:r>
    </w:p>
    <w:p>
      <w:pPr>
        <w:pStyle w:val="FirstParagraph"/>
      </w:pPr>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pPr>
        <w:pStyle w:val="BodyText"/>
      </w:pPr>
      <w:r>
        <w:br w:type="textWrapping"/>
      </w:r>
      <w:r>
        <w:t xml:space="preserve">Predawn (</w:t>
      </w:r>
      <m:oMath>
        <m:sSub>
          <m:e>
            <m:r>
              <m:rPr/>
              <m:t>Ψ</m:t>
            </m:r>
          </m:e>
          <m:sub>
            <m:r>
              <m:rPr/>
              <m:t>p</m:t>
            </m:r>
            <m:r>
              <m:rPr/>
              <m:t>d</m:t>
            </m:r>
          </m:sub>
        </m:sSub>
      </m:oMath>
      <w:r>
        <w:t xml:space="preserve">) and midday (</w:t>
      </w:r>
      <m:oMath>
        <m:sSub>
          <m:e>
            <m:r>
              <m:rPr/>
              <m:t>Ψ</m:t>
            </m:r>
          </m:e>
          <m:sub>
            <m:r>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Predawn leaf water potential was measured before sunrise on the same day as gas exchange measurements. Leaves used for gas exchange were immediately sampled for</w:t>
      </w:r>
      <w:r>
        <w:t xml:space="preserve"> </w:t>
      </w:r>
      <m:oMath>
        <m:sSub>
          <m:e>
            <m:r>
              <m:rPr/>
              <m:t>Ψ</m:t>
            </m:r>
          </m:e>
          <m:sub>
            <m:r>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pPr>
        <w:pStyle w:val="BodyText"/>
      </w:pPr>
      <w:r>
        <w:br w:type="textWrapping"/>
      </w:r>
      <w:r>
        <w:t xml:space="preserve">(12)</w:t>
      </w:r>
    </w:p>
    <w:p>
      <w:pPr>
        <w:pStyle w:val="BodyText"/>
      </w:pPr>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77" w:name="data-analysis-1"/>
      <w:bookmarkEnd w:id="77"/>
      <w:r>
        <w:t xml:space="preserve">Data analysis</w:t>
      </w:r>
    </w:p>
    <w:p>
      <w:pPr>
        <w:pStyle w:val="FirstParagraph"/>
      </w:pPr>
      <w:r>
        <w:t xml:space="preserve">Differences in experimental parameters to either the warming treatment or leaf type were analysed by mixed-effects models in R</w:t>
      </w:r>
      <w:r>
        <w:t xml:space="preserve"> </w:t>
      </w:r>
      <w:r>
        <w:t xml:space="preserve">(R Development Core Team 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2015)</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78" w:name="results-1"/>
      <w:bookmarkEnd w:id="78"/>
      <w:r>
        <w:t xml:space="preserve">Results</w:t>
      </w:r>
    </w:p>
    <w:p>
      <w:pPr>
        <w:pStyle w:val="Heading2"/>
      </w:pPr>
      <w:bookmarkStart w:id="79" w:name="leaf-resource-distribution"/>
      <w:bookmarkEnd w:id="79"/>
      <w:r>
        <w:t xml:space="preserve">Leaf resource distribution</w:t>
      </w:r>
    </w:p>
    <w:p>
      <w:pPr>
        <w:pStyle w:val="FirstParagraph"/>
      </w:pPr>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80" w:name="photosynthetic-capacity-and-leaf-photosynthesis-rates"/>
      <w:bookmarkEnd w:id="80"/>
      <w:r>
        <w:t xml:space="preserve">Photosynthetic capacity and leaf photosynthesis rates</w:t>
      </w:r>
    </w:p>
    <w:p>
      <w:pPr>
        <w:pStyle w:val="FirstParagraph"/>
      </w:pP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81" w:name="stomatal-conductance-and-leaf-water-use-efficiency"/>
      <w:bookmarkEnd w:id="81"/>
      <w:r>
        <w:t xml:space="preserve">Stomatal conductance and leaf water-use efficiency</w:t>
      </w:r>
    </w:p>
    <w:p>
      <w:pPr>
        <w:pStyle w:val="FirstParagraph"/>
      </w:pPr>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(higher water-use efficiency) and higher N investment in sun leaves.</w:t>
      </w:r>
    </w:p>
    <w:p>
      <w:pPr>
        <w:pStyle w:val="Heading2"/>
      </w:pPr>
      <w:bookmarkStart w:id="82" w:name="leaf-carbon-isotope-discrimination-and-mesophyll-conductance"/>
      <w:bookmarkEnd w:id="82"/>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w:t>
      </w:r>
      <w:r>
        <w:t xml:space="preserve"> </w:t>
      </w:r>
      <m:oMath>
        <m:sSub>
          <m:e>
            <m:r>
              <m:rPr/>
              <m:t>Δ</m:t>
            </m:r>
          </m:e>
          <m:sub>
            <m:r>
              <m:rPr/>
              <m:t>o</m:t>
            </m:r>
          </m:sub>
        </m:sSub>
      </m:oMath>
      <w:r>
        <w:t xml:space="preserve"> </w:t>
      </w:r>
      <w:r>
        <w:t xml:space="preserve">consists of the contributions of g</w:t>
      </w:r>
      <w:r>
        <w:rPr>
          <w:vertAlign w:val="subscript"/>
        </w:rPr>
        <w:t xml:space="preserve">s</w:t>
      </w:r>
      <w:r>
        <w:t xml:space="preserve">, respiration and photorespiration to discrimination.</w:t>
      </w:r>
    </w:p>
    <w:p>
      <w:pPr>
        <w:pStyle w:val="BodyText"/>
      </w:pPr>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83" w:name="variation-in-intercellular-and-chloroplastic-co2-concentrations"/>
      <w:bookmarkEnd w:id="83"/>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(Von Caemmerer 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84" w:name="discussion-1"/>
      <w:bookmarkEnd w:id="84"/>
      <w:r>
        <w:t xml:space="preserve">Discussion</w:t>
      </w:r>
    </w:p>
    <w:p>
      <w:pPr>
        <w:pStyle w:val="FirstParagraph"/>
      </w:pPr>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85" w:name="resource-distribution-and-photosynthetic-capacity"/>
      <w:bookmarkEnd w:id="85"/>
      <w:r>
        <w:t xml:space="preserve">Resource distribution and photosynthetic capacity</w:t>
      </w:r>
    </w:p>
    <w:p>
      <w:pPr>
        <w:pStyle w:val="FirstParagraph"/>
      </w:pPr>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pPr>
        <w:pStyle w:val="BodyText"/>
      </w:pPr>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pPr>
        <w:pStyle w:val="BodyText"/>
      </w:pPr>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86" w:name="physiological-behaviour-of-sun-and-shade-leaves"/>
      <w:bookmarkEnd w:id="86"/>
      <w:r>
        <w:t xml:space="preserve">Physiological behaviour of sun and shade leaves</w:t>
      </w:r>
    </w:p>
    <w:p>
      <w:pPr>
        <w:pStyle w:val="FirstParagraph"/>
      </w:pPr>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pPr>
        <w:pStyle w:val="BodyText"/>
      </w:pPr>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(Küppers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 De Pury and Farquhar 1997)</w:t>
      </w:r>
      <w:r>
        <w:t xml:space="preserve">.</w:t>
      </w:r>
    </w:p>
    <w:p>
      <w:pPr>
        <w:pStyle w:val="BodyText"/>
      </w:pPr>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and Farquhar 1997)</w:t>
      </w:r>
      <w:r>
        <w:t xml:space="preserve">.</w:t>
      </w:r>
    </w:p>
    <w:p>
      <w:pPr>
        <w:pStyle w:val="Heading2"/>
      </w:pPr>
      <w:bookmarkStart w:id="87" w:name="conclusions-2"/>
      <w:bookmarkEnd w:id="87"/>
      <w:r>
        <w:t xml:space="preserve">Conclusions</w:t>
      </w:r>
    </w:p>
    <w:p>
      <w:pPr>
        <w:pStyle w:val="FirstParagraph"/>
      </w:pPr>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88" w:name="list-of-tables-1"/>
      <w:bookmarkEnd w:id="88"/>
      <w:r>
        <w:t xml:space="preserve">List of 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9" w:name="list-of-figures-1"/>
      <w:bookmarkEnd w:id="89"/>
      <w:r>
        <w:t xml:space="preserve">List of Figures</w:t>
      </w:r>
    </w:p>
    <w:p>
      <w:pPr>
        <w:pStyle w:val="FirstParagraph"/>
      </w:pPr>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S1</w:t>
      </w:r>
      <w:r>
        <w:t xml:space="preserve">. Daily maximum and minimum temperature (a) and total daily PPFD (b) for each chamber across the experiment duration.</w:t>
      </w:r>
    </w:p>
    <w:p>
      <w:pPr>
        <w:pStyle w:val="BodyText"/>
      </w:pPr>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90" w:name="tables-1"/>
      <w:bookmarkEnd w:id="90"/>
      <w:r>
        <w:t xml:space="preserve">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91" w:name="chapter-4-text"/>
      <w:bookmarkEnd w:id="91"/>
      <w:r>
        <w:t xml:space="preserve">CHapter 4 text</w:t>
      </w:r>
    </w:p>
    <w:p>
      <w:pPr>
        <w:pStyle w:val="Heading1"/>
      </w:pPr>
      <w:bookmarkStart w:id="92" w:name="abstract-2"/>
      <w:bookmarkEnd w:id="92"/>
      <w:r>
        <w:t xml:space="preserve">Abstract</w:t>
      </w:r>
    </w:p>
    <w:p>
      <w:pPr>
        <w:pStyle w:val="FirstParagraph"/>
      </w:pPr>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93" w:name="key-words-1"/>
      <w:bookmarkEnd w:id="93"/>
      <w:r>
        <w:t xml:space="preserve">Key Words</w:t>
      </w:r>
    </w:p>
    <w:p>
      <w:pPr>
        <w:pStyle w:val="FirstParagraph"/>
      </w:pPr>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94" w:name="introduction-2"/>
      <w:bookmarkEnd w:id="94"/>
      <w:r>
        <w:t xml:space="preserve">Introduction</w:t>
      </w:r>
    </w:p>
    <w:p>
      <w:pPr>
        <w:pStyle w:val="FirstParagraph"/>
      </w:pPr>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pPr>
        <w:pStyle w:val="BodyText"/>
      </w:pPr>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Mäkelä 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(De Kauwe et al. 2014, Fatichi et al. 2014)</w:t>
      </w:r>
      <w:r>
        <w:t xml:space="preserve">. As a result, there is continued need to empirically measure patterns of tree C allocation under multi-factor global change manipulations to better understand shifts in future forest C balance.</w:t>
      </w:r>
    </w:p>
    <w:p>
      <w:pPr>
        <w:pStyle w:val="BodyText"/>
      </w:pPr>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pPr>
        <w:pStyle w:val="BodyText"/>
      </w:pPr>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pPr>
        <w:pStyle w:val="BodyText"/>
      </w:pPr>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pPr>
        <w:pStyle w:val="BodyText"/>
      </w:pPr>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pPr>
        <w:pStyle w:val="BodyText"/>
      </w:pPr>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pPr>
        <w:pStyle w:val="BodyText"/>
      </w:pPr>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pPr>
        <w:pStyle w:val="BodyText"/>
      </w:pPr>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pPr>
        <w:pStyle w:val="BodyText"/>
      </w:pPr>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95" w:name="methods"/>
      <w:bookmarkEnd w:id="95"/>
      <w:r>
        <w:t xml:space="preserve">Methods</w:t>
      </w:r>
    </w:p>
    <w:p>
      <w:pPr>
        <w:pStyle w:val="Heading2"/>
      </w:pPr>
      <w:bookmarkStart w:id="96" w:name="terminology"/>
      <w:bookmarkEnd w:id="96"/>
      <w:r>
        <w:t xml:space="preserve">Terminology</w:t>
      </w:r>
    </w:p>
    <w:p>
      <w:pPr>
        <w:pStyle w:val="FirstParagraph"/>
      </w:pPr>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97" w:name="whole-tree-chamber-experiment"/>
      <w:bookmarkEnd w:id="97"/>
      <w:r>
        <w:t xml:space="preserve">Whole tree chamber experiment</w:t>
      </w:r>
    </w:p>
    <w:p>
      <w:pPr>
        <w:pStyle w:val="FirstParagraph"/>
      </w:pPr>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98" w:name="aboveground-chamber-co2-flux"/>
      <w:bookmarkEnd w:id="98"/>
      <w:r>
        <w:t xml:space="preserve">Aboveground chamber CO</w:t>
      </w:r>
      <w:r>
        <w:rPr>
          <w:vertAlign w:val="subscript"/>
        </w:rPr>
        <w:t xml:space="preserve">2</w:t>
      </w:r>
      <w:r>
        <w:t xml:space="preserve"> </w:t>
      </w:r>
      <w:r>
        <w:t xml:space="preserve">flux</w:t>
      </w:r>
    </w:p>
    <w:p>
      <w:pPr>
        <w:pStyle w:val="FirstParagraph"/>
      </w:pPr>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t>c</m:t>
            </m:r>
            <m:r>
              <m:rPr/>
              <m:t>,</m:t>
            </m:r>
            <m:r>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t>c</m:t>
            </m:r>
            <m:r>
              <m:rPr/>
              <m:t>,</m:t>
            </m:r>
            <m:r>
              <m:rPr/>
              <m:t>d</m:t>
            </m:r>
          </m:sub>
        </m:sSub>
      </m:oMath>
      <w:r>
        <w:t xml:space="preserve"> </w:t>
      </w:r>
      <w:r>
        <w:t xml:space="preserve">was summed over the flux monitoring period (</w:t>
      </w:r>
      <m:oMath>
        <m:sSub>
          <m:e>
            <m:r>
              <m:rPr>
                <m:sty m:val="p"/>
              </m:rPr>
              <m:t>F</m:t>
            </m:r>
          </m:e>
          <m:sub>
            <m:r>
              <m:rPr/>
              <m:t>c</m:t>
            </m:r>
            <m:r>
              <m:rPr/>
              <m:t>,</m:t>
            </m:r>
            <m:r>
              <m:rPr/>
              <m:t>T</m:t>
            </m:r>
          </m:sub>
        </m:sSub>
      </m:oMath>
      <w:r>
        <w:t xml:space="preserve">) to compare to tree C mass, leaf area and C allocation above and belowground.</w:t>
      </w:r>
    </w:p>
    <w:p>
      <w:pPr>
        <w:pStyle w:val="Heading2"/>
      </w:pPr>
      <w:bookmarkStart w:id="99" w:name="harvested-tree-carbon-mass"/>
      <w:bookmarkEnd w:id="99"/>
      <w:r>
        <w:t xml:space="preserve">Harvested tree carbon mass</w:t>
      </w:r>
    </w:p>
    <w:p>
      <w:pPr>
        <w:pStyle w:val="FirstParagraph"/>
      </w:pPr>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pPr>
        <w:pStyle w:val="BodyText"/>
      </w:pPr>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pPr>
        <w:pStyle w:val="BodyText"/>
      </w:pPr>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100" w:name="tree-allometry-surveys"/>
      <w:bookmarkEnd w:id="100"/>
      <w:r>
        <w:t xml:space="preserve">Tree allometry surveys</w:t>
      </w:r>
    </w:p>
    <w:p>
      <w:pPr>
        <w:pStyle w:val="FirstParagraph"/>
      </w:pPr>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101" w:name="bole-carbon-mass"/>
      <w:bookmarkEnd w:id="101"/>
      <w:r>
        <w:t xml:space="preserve">Bole carbon mass</w:t>
      </w:r>
    </w:p>
    <w:p>
      <w:pPr>
        <w:pStyle w:val="FirstParagraph"/>
      </w:pPr>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t>ρ</m:t>
            </m:r>
          </m:e>
          <m:sub>
            <m:r>
              <m:rPr/>
              <m:t>b</m:t>
            </m:r>
            <m:r>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t>ρ</m:t>
            </m:r>
          </m:e>
          <m:sub>
            <m:r>
              <m:rPr/>
              <m:t>b</m:t>
            </m:r>
            <m:r>
              <m:rPr/>
              <m:t>o</m:t>
            </m:r>
          </m:sub>
        </m:sSub>
      </m:oMath>
      <w:r>
        <w:t xml:space="preserve"> </w:t>
      </w:r>
      <w:r>
        <w:t xml:space="preserve">did not change through time.</w:t>
      </w:r>
    </w:p>
    <w:p>
      <w:pPr>
        <w:pStyle w:val="BodyText"/>
      </w:pPr>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t>ρ</m:t>
            </m:r>
          </m:e>
          <m:sub>
            <m:r>
              <m:rPr/>
              <m:t>b</m:t>
            </m:r>
            <m:r>
              <m:rPr/>
              <m:t>o</m:t>
            </m:r>
          </m:sub>
        </m:sSub>
      </m:oMath>
      <w:r>
        <w:t xml:space="preserve">.</w:t>
      </w:r>
    </w:p>
    <w:p>
      <w:pPr>
        <w:pStyle w:val="Heading2"/>
      </w:pPr>
      <w:bookmarkStart w:id="102" w:name="branch-carbon-mass"/>
      <w:bookmarkEnd w:id="102"/>
      <w:r>
        <w:t xml:space="preserve">Branch carbon mass</w:t>
      </w:r>
    </w:p>
    <w:p>
      <w:pPr>
        <w:pStyle w:val="FirstParagraph"/>
      </w:pPr>
      <w:r>
        <w:t xml:space="preserve">Measured dry mass, length and basal area of all harvested branches was used to determine the branch wood density (</w:t>
      </w:r>
      <m:oMath>
        <m:sSub>
          <m:e>
            <m:r>
              <m:rPr/>
              <m:t>ρ</m:t>
            </m:r>
          </m:e>
          <m:sub>
            <m:r>
              <m:rPr/>
              <m:t>b</m:t>
            </m:r>
            <m:r>
              <m:rPr/>
              <m:t>r</m:t>
            </m:r>
          </m:sub>
        </m:sSub>
      </m:oMath>
      <w:r>
        <w:t xml:space="preserve">) as well as a geometric shape factor</w:t>
      </w:r>
      <w:r>
        <w:t xml:space="preserve"> </w:t>
      </w:r>
      <w:r>
        <w:t xml:space="preserve">(</w:t>
      </w:r>
      <m:oMath>
        <m:r>
          <m:rPr/>
          <m:t>ϕ</m:t>
        </m:r>
      </m:oMath>
      <w:r>
        <w:t xml:space="preserve">, see Mäkelä 1997)</w:t>
      </w:r>
      <w:r>
        <w:t xml:space="preserve"> </w:t>
      </w:r>
      <w:r>
        <w:t xml:space="preserve">for each WTC tree by rearranging the equation:</w:t>
      </w:r>
    </w:p>
    <w:p>
      <w:pPr>
        <w:pStyle w:val="BodyText"/>
      </w:pPr>
      <w:r>
        <w:br w:type="textWrapping"/>
      </w:r>
      <w:r>
        <w:t xml:space="preserve">(1)</w:t>
      </w:r>
    </w:p>
    <w:p>
      <w:pPr>
        <w:pStyle w:val="BodyText"/>
      </w:pPr>
      <w:r>
        <w:t xml:space="preserve">where</w:t>
      </w:r>
      <w:r>
        <w:t xml:space="preserve"> </w:t>
      </w:r>
      <m:oMath>
        <m:sSub>
          <m:e>
            <m:r>
              <m:rPr>
                <m:sty m:val="p"/>
              </m:rPr>
              <m:t>M</m:t>
            </m:r>
          </m:e>
          <m:sub>
            <m:r>
              <m:rPr/>
              <m:t>b</m:t>
            </m:r>
            <m:r>
              <m:rPr/>
              <m:t>r</m:t>
            </m:r>
          </m:sub>
        </m:sSub>
      </m:oMath>
      <w:r>
        <w:t xml:space="preserve"> </w:t>
      </w:r>
      <w:r>
        <w:t xml:space="preserve">is summed dry mass of all harvested branches,</w:t>
      </w:r>
      <w:r>
        <w:t xml:space="preserve"> </w:t>
      </w:r>
      <m:oMath>
        <m:sSub>
          <m:e>
            <m:r>
              <m:rPr>
                <m:sty m:val="p"/>
              </m:rPr>
              <m:t>L</m:t>
            </m:r>
          </m:e>
          <m:sub>
            <m:r>
              <m:rPr/>
              <m:t>b</m:t>
            </m:r>
            <m:r>
              <m:rPr/>
              <m:t>r</m:t>
            </m:r>
          </m:sub>
        </m:sSub>
      </m:oMath>
      <w:r>
        <w:t xml:space="preserve"> </w:t>
      </w:r>
      <w:r>
        <w:t xml:space="preserve">is summed branch length (cm),</w:t>
      </w:r>
      <w:r>
        <w:t xml:space="preserve"> </w:t>
      </w:r>
      <m:oMath>
        <m:sSub>
          <m:e>
            <m:r>
              <m:rPr>
                <m:sty m:val="p"/>
              </m:rPr>
              <m:t>A</m:t>
            </m:r>
          </m:e>
          <m:sub>
            <m:r>
              <m:rPr/>
              <m:t>b</m:t>
            </m:r>
            <m:r>
              <m:rPr/>
              <m:t>r</m:t>
            </m:r>
          </m:sub>
        </m:sSub>
      </m:oMath>
      <w:r>
        <w:t xml:space="preserve"> </w:t>
      </w:r>
      <w:r>
        <w:t xml:space="preserve">is summed branch basal area (cm</w:t>
      </w:r>
      <w:r>
        <w:rPr>
          <w:vertAlign w:val="superscript"/>
        </w:rPr>
        <w:t xml:space="preserve">3</w:t>
      </w:r>
      <w:r>
        <w:t xml:space="preserve">),</w:t>
      </w:r>
      <w:r>
        <w:t xml:space="preserve"> </w:t>
      </w:r>
      <m:oMath>
        <m:sSub>
          <m:e>
            <m:r>
              <m:rPr/>
              <m:t>ρ</m:t>
            </m:r>
          </m:e>
          <m:sub>
            <m:r>
              <m:rPr/>
              <m:t>b</m:t>
            </m:r>
            <m:r>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t>ϕ</m:t>
        </m:r>
      </m:oMath>
      <w:r>
        <w:t xml:space="preserve"> </w:t>
      </w:r>
      <w:r>
        <w:t xml:space="preserve">corrects branch volume estimates to an intermediate shape between a cone and a cylinder</w:t>
      </w:r>
      <w:r>
        <w:t xml:space="preserve"> </w:t>
      </w:r>
      <w:r>
        <w:t xml:space="preserve">(Mäkelä 1997)</w:t>
      </w:r>
      <w:r>
        <w:t xml:space="preserve">. The ratio of measured</w:t>
      </w:r>
      <w:r>
        <w:t xml:space="preserve"> </w:t>
      </w:r>
      <m:oMath>
        <m:sSub>
          <m:e>
            <m:r>
              <m:rPr>
                <m:sty m:val="p"/>
              </m:rPr>
              <m:t>M</m:t>
            </m:r>
          </m:e>
          <m:sub>
            <m:r>
              <m:rPr/>
              <m:t>b</m:t>
            </m:r>
            <m:r>
              <m:rPr/>
              <m:t>r</m:t>
            </m:r>
          </m:sub>
        </m:sSub>
      </m:oMath>
      <w:r>
        <w:t xml:space="preserve"> </w:t>
      </w:r>
      <w:r>
        <w:t xml:space="preserve">to</w:t>
      </w:r>
      <w:r>
        <w:t xml:space="preserve"> </w:t>
      </w:r>
      <m:oMath>
        <m:sSub>
          <m:e>
            <m:r>
              <m:rPr/>
              <m:t>L</m:t>
            </m:r>
          </m:e>
          <m:sub>
            <m:r>
              <m:rPr/>
              <m:t>b</m:t>
            </m:r>
            <m:r>
              <m:rPr/>
              <m:t>r</m:t>
            </m:r>
          </m:sub>
        </m:sSub>
        <m:sSub>
          <m:e>
            <m:r>
              <m:rPr/>
              <m:t>A</m:t>
            </m:r>
          </m:e>
          <m:sub>
            <m:r>
              <m:rPr/>
              <m:t>b</m:t>
            </m:r>
            <m:r>
              <m:rPr/>
              <m:t>r</m:t>
            </m:r>
          </m:sub>
        </m:sSub>
      </m:oMath>
      <w:r>
        <w:t xml:space="preserve"> </w:t>
      </w:r>
      <w:r>
        <w:t xml:space="preserve">was used to generate a WTC-specific</w:t>
      </w:r>
      <w:r>
        <w:t xml:space="preserve"> </w:t>
      </w:r>
      <m:oMath>
        <m:r>
          <m:rPr/>
          <m:t>p</m:t>
        </m:r>
        <m:r>
          <m:rPr/>
          <m:t>h</m:t>
        </m:r>
        <m:sSub>
          <m:e>
            <m:r>
              <m:rPr/>
              <m:t>i</m:t>
            </m:r>
          </m:e>
          <m:sub>
            <m:r>
              <m:rPr/>
              <m:t>b</m:t>
            </m:r>
            <m:r>
              <m:rPr/>
              <m:t>r</m:t>
            </m:r>
          </m:sub>
        </m:sSub>
        <m:sSub>
          <m:e>
            <m:r>
              <m:rPr/>
              <m:t>ρ</m:t>
            </m:r>
          </m:e>
          <m:sub>
            <m:r>
              <m:rPr/>
              <m:t>b</m:t>
            </m:r>
            <m:r>
              <m:rPr/>
              <m:t>r</m:t>
            </m:r>
          </m:sub>
        </m:sSub>
      </m:oMath>
      <w:r>
        <w:t xml:space="preserve">.</w:t>
      </w:r>
    </w:p>
    <w:p>
      <w:pPr>
        <w:pStyle w:val="BodyText"/>
      </w:pPr>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t>b</m:t>
            </m:r>
            <m:r>
              <m:rPr/>
              <m:t>r</m:t>
            </m:r>
          </m:sub>
        </m:sSub>
      </m:oMath>
      <w:r>
        <w:t xml:space="preserve"> </w:t>
      </w:r>
      <w:r>
        <w:t xml:space="preserve">and</w:t>
      </w:r>
      <w:r>
        <w:t xml:space="preserve"> </w:t>
      </w:r>
      <m:oMath>
        <m:sSub>
          <m:e>
            <m:r>
              <m:rPr>
                <m:sty m:val="p"/>
              </m:rPr>
              <m:t>A</m:t>
            </m:r>
          </m:e>
          <m:sub>
            <m:r>
              <m:rPr/>
              <m:t>b</m:t>
            </m:r>
            <m:r>
              <m:rPr/>
              <m:t>r</m:t>
            </m:r>
          </m:sub>
        </m:sSub>
      </m:oMath>
      <w:r>
        <w:t xml:space="preserve"> </w:t>
      </w:r>
      <w:r>
        <w:t xml:space="preserve">for individual branches with</w:t>
      </w:r>
      <w:r>
        <w:t xml:space="preserve"> </w:t>
      </w:r>
      <m:oMath>
        <m:sSub>
          <m:e>
            <m:r>
              <m:rPr/>
              <m:t>ϕ</m:t>
            </m:r>
          </m:e>
          <m:sub>
            <m:r>
              <m:rPr/>
              <m:t>b</m:t>
            </m:r>
            <m:r>
              <m:rPr/>
              <m:t>r</m:t>
            </m:r>
          </m:sub>
        </m:sSub>
      </m:oMath>
      <m:oMath>
        <m:sSub>
          <m:e>
            <m:r>
              <m:rPr/>
              <m:t>ρ</m:t>
            </m:r>
          </m:e>
          <m:sub>
            <m:r>
              <m:rPr/>
              <m:t>b</m:t>
            </m:r>
            <m:r>
              <m:rPr/>
              <m:t>r</m:t>
            </m:r>
          </m:sub>
        </m:sSub>
      </m:oMath>
      <w:r>
        <w:t xml:space="preserve"> </w:t>
      </w:r>
      <w:r>
        <w:t xml:space="preserve">specific to each WTC. We assumed that</w:t>
      </w:r>
      <w:r>
        <w:t xml:space="preserve"> </w:t>
      </w:r>
      <m:oMath>
        <m:r>
          <m:rPr/>
          <m:t>p</m:t>
        </m:r>
        <m:r>
          <m:rPr/>
          <m:t>h</m:t>
        </m:r>
        <m:sSub>
          <m:e>
            <m:r>
              <m:rPr/>
              <m:t>i</m:t>
            </m:r>
          </m:e>
          <m:sub>
            <m:r>
              <m:rPr/>
              <m:t>b</m:t>
            </m:r>
            <m:r>
              <m:rPr/>
              <m:t>r</m:t>
            </m:r>
          </m:sub>
        </m:sSub>
        <m:sSub>
          <m:e>
            <m:r>
              <m:rPr/>
              <m:t>ρ</m:t>
            </m:r>
          </m:e>
          <m:sub>
            <m:r>
              <m:rPr/>
              <m:t>b</m:t>
            </m:r>
            <m:r>
              <m:rPr/>
              <m:t>r</m:t>
            </m:r>
          </m:sub>
        </m:sSub>
      </m:oMath>
      <w:r>
        <w:t xml:space="preserve"> </w:t>
      </w:r>
      <w:r>
        <w:t xml:space="preserve">did not change through time. Total dry branch mass at each survey point was the total mass of all individual branches.</w:t>
      </w:r>
    </w:p>
    <w:p>
      <w:pPr>
        <w:pStyle w:val="Heading2"/>
      </w:pPr>
      <w:bookmarkStart w:id="103" w:name="leaf-area-and-carbon-mass"/>
      <w:bookmarkEnd w:id="103"/>
      <w:r>
        <w:t xml:space="preserve">Leaf area and carbon mass</w:t>
      </w:r>
    </w:p>
    <w:p>
      <w:pPr>
        <w:pStyle w:val="FirstParagraph"/>
      </w:pPr>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pPr>
        <w:pStyle w:val="BodyText"/>
      </w:pPr>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pPr>
        <w:pStyle w:val="BodyText"/>
      </w:pPr>
      <w:r>
        <w:br w:type="textWrapping"/>
      </w:r>
      <w:r>
        <w:t xml:space="preserve">(2)</w:t>
      </w:r>
    </w:p>
    <w:p>
      <w:pPr>
        <w:pStyle w:val="BodyText"/>
      </w:pPr>
      <w:r>
        <w:t xml:space="preserve">where</w:t>
      </w:r>
      <w:r>
        <w:t xml:space="preserve"> </w:t>
      </w:r>
      <m:oMath>
        <m:sSub>
          <m:e>
            <m:r>
              <m:rPr>
                <m:sty m:val="p"/>
              </m:rPr>
              <m:t>A</m:t>
            </m:r>
          </m:e>
          <m:sub>
            <m:r>
              <m:rPr/>
              <m:t>L</m:t>
            </m:r>
            <m:r>
              <m:rPr/>
              <m:t>,</m:t>
            </m:r>
            <m:r>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pPr>
        <w:pStyle w:val="BodyText"/>
      </w:pPr>
      <w:r>
        <w:br w:type="textWrapping"/>
      </w:r>
      <w:r>
        <w:t xml:space="preserve">(3)</w:t>
      </w:r>
    </w:p>
    <w:p>
      <w:pPr>
        <w:pStyle w:val="BodyText"/>
      </w:pPr>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t>L</m:t>
            </m:r>
            <m:r>
              <m:rPr/>
              <m:t>,</m:t>
            </m:r>
            <m:r>
              <m:rPr/>
              <m:t>T</m:t>
            </m:r>
          </m:sub>
        </m:sSub>
      </m:oMath>
      <w:r>
        <w:t xml:space="preserve"> </w:t>
      </w:r>
      <w:r>
        <w:t xml:space="preserve">and</w:t>
      </w:r>
      <w:r>
        <w:t xml:space="preserve"> </w:t>
      </w:r>
      <m:oMath>
        <m:sSub>
          <m:e>
            <m:r>
              <m:rPr>
                <m:sty m:val="p"/>
              </m:rPr>
              <m:t>A</m:t>
            </m:r>
          </m:e>
          <m:sub>
            <m:r>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104" w:name="tissue-c-allocation"/>
      <w:bookmarkEnd w:id="104"/>
      <w:r>
        <w:t xml:space="preserve">Tissue C allocation</w:t>
      </w:r>
    </w:p>
    <w:p>
      <w:pPr>
        <w:pStyle w:val="FirstParagraph"/>
      </w:pPr>
      <w:r>
        <w:t xml:space="preserve">Tissue specific C allocation represents the fraction of net canopy C uptake distributed to a given tissue, which determines the change in biomass of that tissue through time such that:</w:t>
      </w:r>
    </w:p>
    <w:p>
      <w:pPr>
        <w:pStyle w:val="BodyText"/>
      </w:pPr>
      <w:r>
        <w:br w:type="textWrapping"/>
      </w:r>
      <w:r>
        <w:t xml:space="preserve">(4)</w:t>
      </w:r>
    </w:p>
    <w:p>
      <w:pPr>
        <w:pStyle w:val="BodyText"/>
      </w:pPr>
      <w:r>
        <w:t xml:space="preserve">where</w:t>
      </w:r>
      <w:r>
        <w:t xml:space="preserve"> </w:t>
      </w:r>
      <m:oMath>
        <m:sSub>
          <m:e>
            <m:r>
              <m:rPr>
                <m:sty m:val="p"/>
              </m:rPr>
              <m:t>M</m:t>
            </m:r>
          </m:e>
          <m:sub>
            <m:r>
              <m:rPr/>
              <m:t>c</m:t>
            </m:r>
          </m:sub>
        </m:sSub>
      </m:oMath>
      <w:r>
        <w:t xml:space="preserve"> </w:t>
      </w:r>
      <w:r>
        <w:t xml:space="preserve">is the standing C mass of a component (g C),</w:t>
      </w:r>
      <w:r>
        <w:t xml:space="preserve"> </w:t>
      </w:r>
      <m:oMath>
        <m:sSub>
          <m:e>
            <m:r>
              <m:rPr>
                <m:sty m:val="p"/>
              </m:rPr>
              <m:t>a</m:t>
            </m:r>
          </m:e>
          <m:sub>
            <m:r>
              <m:rPr/>
              <m:t>c</m:t>
            </m:r>
          </m:sub>
        </m:sSub>
      </m:oMath>
      <w:r>
        <w:t xml:space="preserve"> </w:t>
      </w:r>
      <w:r>
        <w:t xml:space="preserve">is the allocation to that component (0-1) and</w:t>
      </w:r>
      <w:r>
        <w:t xml:space="preserve"> </w:t>
      </w:r>
      <m:oMath>
        <m:sSub>
          <m:e>
            <m:r>
              <m:rPr/>
              <m:t>λ</m:t>
            </m:r>
          </m:e>
          <m:sub>
            <m:r>
              <m:rPr/>
              <m:t>c</m:t>
            </m:r>
          </m:sub>
        </m:sSub>
      </m:oMath>
      <w:r>
        <w:t xml:space="preserve"> </w:t>
      </w:r>
      <w:r>
        <w:t xml:space="preserve">is the component specific turnover (d</w:t>
      </w:r>
      <w:r>
        <w:rPr>
          <w:vertAlign w:val="superscript"/>
        </w:rPr>
        <w:t xml:space="preserve">-1</w:t>
      </w:r>
      <w:r>
        <w:t xml:space="preserve">).</w:t>
      </w:r>
    </w:p>
    <w:p>
      <w:pPr>
        <w:pStyle w:val="BodyText"/>
      </w:pPr>
      <w:r>
        <w:br w:type="textWrapping"/>
      </w:r>
      <w:r>
        <w:t xml:space="preserve">Here, total C allocation to leaves and aboveground wood (branches + bole) could be estimated from the sums of tissue C mass, net aboveground C flux and tissue turnover for each day of the experiment such that:</w:t>
      </w:r>
    </w:p>
    <w:p>
      <w:pPr>
        <w:pStyle w:val="BodyText"/>
      </w:pPr>
      <w:r>
        <w:br w:type="textWrapping"/>
      </w:r>
      <w:r>
        <w:t xml:space="preserve">(5)</w:t>
      </w:r>
    </w:p>
    <w:p>
      <w:pPr>
        <w:pStyle w:val="BodyText"/>
      </w:pPr>
      <w:r>
        <w:t xml:space="preserve">where</w:t>
      </w:r>
      <w:r>
        <w:t xml:space="preserve"> </w:t>
      </w:r>
      <m:oMath>
        <m:sSub>
          <m:e>
            <m:r>
              <m:rPr>
                <m:sty m:val="p"/>
              </m:rPr>
              <m:t>M</m:t>
            </m:r>
          </m:e>
          <m:sub>
            <m:r>
              <m:rPr/>
              <m:t>c</m:t>
            </m:r>
            <m:r>
              <m:rPr/>
              <m:t>,</m:t>
            </m:r>
            <m:r>
              <m:rPr/>
              <m:t>T</m:t>
            </m:r>
          </m:sub>
        </m:sSub>
      </m:oMath>
      <w:r>
        <w:t xml:space="preserve"> </w:t>
      </w:r>
      <w:r>
        <w:t xml:space="preserve">is the total dry C mass of either leaves or wood and</w:t>
      </w:r>
      <w:r>
        <w:t xml:space="preserve"> </w:t>
      </w:r>
      <m:oMath>
        <m:sSub>
          <m:e>
            <m:r>
              <m:rPr>
                <m:sty m:val="p"/>
              </m:rPr>
              <m:t>F</m:t>
            </m:r>
          </m:e>
          <m:sub>
            <m:r>
              <m:rPr/>
              <m:t>c</m:t>
            </m:r>
            <m:r>
              <m:rPr/>
              <m:t>,</m:t>
            </m:r>
            <m:r>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t>l</m:t>
            </m:r>
          </m:sub>
        </m:sSub>
      </m:oMath>
      <w:r>
        <w:t xml:space="preserve">) was determined by combining measurements of harvested dry C mass of leaves (</w:t>
      </w:r>
      <m:oMath>
        <m:sSub>
          <m:e>
            <m:r>
              <m:rPr>
                <m:sty m:val="p"/>
              </m:rPr>
              <m:t>M</m:t>
            </m:r>
          </m:e>
          <m:sub>
            <m:r>
              <m:rPr/>
              <m:t>l</m:t>
            </m:r>
            <m:r>
              <m:rPr/>
              <m:t>,</m:t>
            </m:r>
            <m:r>
              <m:rPr/>
              <m:t>T</m:t>
            </m:r>
          </m:sub>
        </m:sSub>
      </m:oMath>
      <w:r>
        <w:t xml:space="preserve">) with</w:t>
      </w:r>
      <w:r>
        <w:t xml:space="preserve"> </w:t>
      </w:r>
      <m:oMath>
        <m:sSub>
          <m:e>
            <m:r>
              <m:rPr>
                <m:sty m:val="p"/>
              </m:rPr>
              <m:t>F</m:t>
            </m:r>
          </m:e>
          <m:sub>
            <m:r>
              <m:rPr/>
              <m:t>c</m:t>
            </m:r>
            <m:r>
              <m:rPr/>
              <m:t>,</m:t>
            </m:r>
            <m:r>
              <m:rPr/>
              <m:t>T</m:t>
            </m:r>
          </m:sub>
        </m:sSub>
      </m:oMath>
      <w:r>
        <w:t xml:space="preserve"> </w:t>
      </w:r>
      <w:r>
        <w:t xml:space="preserve">and total litterfall (</w:t>
      </w:r>
      <m:oMath>
        <m:sSub>
          <m:e>
            <m:r>
              <m:rPr>
                <m:sty m:val="p"/>
              </m:rPr>
              <m:t>L</m:t>
            </m:r>
          </m:e>
          <m:sub>
            <m:r>
              <m:rPr/>
              <m:t>l</m:t>
            </m:r>
            <m:r>
              <m:rPr/>
              <m:t>,</m:t>
            </m:r>
            <m:r>
              <m:rPr/>
              <m:t>T</m:t>
            </m:r>
          </m:sub>
        </m:sSub>
      </m:oMath>
      <w:r>
        <w:t xml:space="preserve">), giving:</w:t>
      </w:r>
    </w:p>
    <w:p>
      <w:pPr>
        <w:pStyle w:val="BodyText"/>
      </w:pPr>
      <w:r>
        <w:br w:type="textWrapping"/>
      </w:r>
      <w:r>
        <w:t xml:space="preserve">(6)</w:t>
      </w:r>
    </w:p>
    <w:p>
      <w:pPr>
        <w:pStyle w:val="BodyText"/>
      </w:pPr>
      <w:r>
        <w:t xml:space="preserve">and then solving for leaf C allocation:</w:t>
      </w:r>
    </w:p>
    <w:p>
      <w:pPr>
        <w:pStyle w:val="BodyText"/>
      </w:pPr>
      <w:r>
        <w:br w:type="textWrapping"/>
      </w:r>
      <w:r>
        <w:t xml:space="preserve">(7)</w:t>
      </w:r>
    </w:p>
    <w:p>
      <w:pPr>
        <w:pStyle w:val="BodyText"/>
      </w:pPr>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105" w:name="total-belowground-carbon-allocation"/>
      <w:bookmarkEnd w:id="105"/>
      <w:r>
        <w:t xml:space="preserve">Total belowground carbon allocation</w:t>
      </w:r>
    </w:p>
    <w:p>
      <w:pPr>
        <w:pStyle w:val="FirstParagraph"/>
      </w:pPr>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pPr>
        <w:pStyle w:val="BodyText"/>
      </w:pPr>
      <w:r>
        <w:br w:type="textWrapping"/>
      </w:r>
      <w:r>
        <w:t xml:space="preserve">(8)</w:t>
      </w:r>
    </w:p>
    <w:p>
      <w:pPr>
        <w:pStyle w:val="BodyText"/>
      </w:pPr>
      <w:r>
        <w:t xml:space="preserve">where</w:t>
      </w:r>
      <w:r>
        <w:t xml:space="preserve"> </w:t>
      </w:r>
      <m:oMath>
        <m:sSub>
          <m:e>
            <m:r>
              <m:rPr>
                <m:sty m:val="p"/>
              </m:rPr>
              <m:t>C</m:t>
            </m:r>
          </m:e>
          <m:sub>
            <m:r>
              <m:rPr/>
              <m:t>a</m:t>
            </m:r>
            <m:r>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t>r</m:t>
            </m:r>
            <m:r>
              <m:rPr/>
              <m:t>,</m:t>
            </m:r>
            <m:r>
              <m:rPr/>
              <m:t>T</m:t>
            </m:r>
          </m:sub>
        </m:sSub>
      </m:oMath>
      <w:r>
        <w:t xml:space="preserve">) and the residual belowground C flux (</w:t>
      </w:r>
      <m:oMath>
        <m:sSub>
          <m:e>
            <m:r>
              <m:rPr>
                <m:sty m:val="p"/>
              </m:rPr>
              <m:t>F</m:t>
            </m:r>
          </m:e>
          <m:sub>
            <m:r>
              <m:rPr/>
              <m:t>c</m:t>
            </m:r>
            <m:r>
              <m:rPr/>
              <m:t>,</m:t>
            </m:r>
            <m:r>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t>a</m:t>
            </m:r>
            <m:r>
              <m:rPr/>
              <m:t>b</m:t>
            </m:r>
          </m:sub>
        </m:sSub>
      </m:oMath>
      <w:r>
        <w:t xml:space="preserve"> </w:t>
      </w:r>
      <w:r>
        <w:t xml:space="preserve">through time combined with measured daily</w:t>
      </w:r>
      <w:r>
        <w:t xml:space="preserve"> </w:t>
      </w:r>
      <m:oMath>
        <m:sSub>
          <m:e>
            <m:r>
              <m:rPr>
                <m:sty m:val="p"/>
              </m:rPr>
              <m:t>F</m:t>
            </m:r>
          </m:e>
          <m:sub>
            <m:r>
              <m:rPr/>
              <m:t>c</m:t>
            </m:r>
            <m:r>
              <m:rPr/>
              <m:t>,</m:t>
            </m:r>
            <m:r>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t>c</m:t>
            </m:r>
            <m:r>
              <m:rPr/>
              <m:t>,</m:t>
            </m:r>
            <m:r>
              <m:rPr/>
              <m:t>r</m:t>
            </m:r>
          </m:sub>
        </m:sSub>
      </m:oMath>
      <w:r>
        <w:t xml:space="preserve"> </w:t>
      </w:r>
      <w:r>
        <w:t xml:space="preserve">was calculated at the final harvest.</w:t>
      </w:r>
    </w:p>
    <w:p>
      <w:pPr>
        <w:pStyle w:val="Heading2"/>
      </w:pPr>
      <w:bookmarkStart w:id="106" w:name="mass-balance-relationships-between-textf_cd-and-carbon-allocation."/>
      <w:bookmarkEnd w:id="106"/>
      <w:r>
        <w:t xml:space="preserve">Mass balance relationships between</w:t>
      </w:r>
      <w:r>
        <w:t xml:space="preserve"> </w:t>
      </w:r>
      <m:oMath>
        <m:sSub>
          <m:e>
            <m:r>
              <m:rPr>
                <m:sty m:val="p"/>
              </m:rPr>
              <m:t>F</m:t>
            </m:r>
          </m:e>
          <m:sub>
            <m:r>
              <m:rPr/>
              <m:t>c</m:t>
            </m:r>
            <m:r>
              <m:rPr/>
              <m:t>,</m:t>
            </m:r>
            <m:r>
              <m:rPr/>
              <m:t>d</m:t>
            </m:r>
          </m:sub>
        </m:sSub>
      </m:oMath>
      <w:r>
        <w:t xml:space="preserve"> </w:t>
      </w:r>
      <w:r>
        <w:t xml:space="preserve">and carbon allocation.</w:t>
      </w:r>
    </w:p>
    <w:p>
      <w:pPr>
        <w:pStyle w:val="FirstParagraph"/>
      </w:pPr>
      <w:r>
        <w:t xml:space="preserve">The cumulative sum of</w:t>
      </w:r>
      <w:r>
        <w:t xml:space="preserve"> </w:t>
      </w:r>
      <m:oMath>
        <m:sSub>
          <m:e>
            <m:r>
              <m:rPr>
                <m:sty m:val="p"/>
              </m:rPr>
              <m:t>F</m:t>
            </m:r>
          </m:e>
          <m:sub>
            <m:r>
              <m:rPr/>
              <m:t>c</m:t>
            </m:r>
            <m:r>
              <m:rPr/>
              <m:t>,</m:t>
            </m:r>
            <m:r>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t>a</m:t>
            </m:r>
            <m:r>
              <m:rPr/>
              <m:t>b</m:t>
            </m:r>
          </m:sub>
        </m:sSub>
      </m:oMath>
      <w:r>
        <w:t xml:space="preserve"> </w:t>
      </w:r>
      <w:r>
        <w:t xml:space="preserve">on any given day. The contribution of each aboveground component to the cumulative sum of</w:t>
      </w:r>
      <w:r>
        <w:t xml:space="preserve"> </w:t>
      </w:r>
      <m:oMath>
        <m:sSub>
          <m:e>
            <m:r>
              <m:rPr>
                <m:sty m:val="p"/>
              </m:rPr>
              <m:t>F</m:t>
            </m:r>
          </m:e>
          <m:sub>
            <m:r>
              <m:rPr/>
              <m:t>c</m:t>
            </m:r>
            <m:r>
              <m:rPr/>
              <m:t>,</m:t>
            </m:r>
            <m:r>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t>c</m:t>
            </m:r>
            <m:r>
              <m:rPr/>
              <m:t>,</m:t>
            </m:r>
            <m:r>
              <m:rPr/>
              <m:t>d</m:t>
            </m:r>
            <m:r>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t>r</m:t>
            </m:r>
            <m:r>
              <m:rPr/>
              <m:t>,</m:t>
            </m:r>
            <m:r>
              <m:rPr/>
              <m:t>T</m:t>
            </m:r>
          </m:sub>
        </m:sSub>
      </m:oMath>
      <w:r>
        <w:t xml:space="preserve"> </w:t>
      </w:r>
      <w:r>
        <w:t xml:space="preserve">from</w:t>
      </w:r>
      <w:r>
        <w:t xml:space="preserve"> </w:t>
      </w:r>
      <m:oMath>
        <m:sSub>
          <m:e>
            <m:r>
              <m:rPr>
                <m:sty m:val="p"/>
              </m:rPr>
              <m:t>C</m:t>
            </m:r>
          </m:e>
          <m:sub>
            <m:r>
              <m:rPr/>
              <m:t>a</m:t>
            </m:r>
            <m:r>
              <m:rPr/>
              <m:t>b</m:t>
            </m:r>
          </m:sub>
        </m:sSub>
      </m:oMath>
      <w:r>
        <w:t xml:space="preserve"> </w:t>
      </w:r>
      <w:r>
        <w:t xml:space="preserve">on the last day of the 11 month period.</w:t>
      </w:r>
    </w:p>
    <w:p>
      <w:pPr>
        <w:pStyle w:val="Heading2"/>
      </w:pPr>
      <w:bookmarkStart w:id="107" w:name="data-analysis-2"/>
      <w:bookmarkEnd w:id="107"/>
      <w:r>
        <w:t xml:space="preserve">Data analysis</w:t>
      </w:r>
    </w:p>
    <w:p>
      <w:pPr>
        <w:pStyle w:val="FirstParagraph"/>
      </w:pPr>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(R Development Core Team 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108" w:name="results-2"/>
      <w:bookmarkEnd w:id="108"/>
      <w:r>
        <w:t xml:space="preserve">Results</w:t>
      </w:r>
    </w:p>
    <w:p>
      <w:pPr>
        <w:pStyle w:val="Heading2"/>
      </w:pPr>
      <w:bookmarkStart w:id="109" w:name="total-aboveground-carbon-flux-whole-tree-c-mass-and-leaf-area"/>
      <w:bookmarkEnd w:id="109"/>
      <w:r>
        <w:t xml:space="preserve">Total aboveground carbon flux, whole tree C mass and leaf area</w:t>
      </w:r>
    </w:p>
    <w:p>
      <w:pPr>
        <w:pStyle w:val="FirstParagraph"/>
      </w:pPr>
      <w:r>
        <w:t xml:space="preserve">Both whole tree C and</w:t>
      </w:r>
      <w:r>
        <w:t xml:space="preserve"> </w:t>
      </w:r>
      <m:oMath>
        <m:sSub>
          <m:e>
            <m:r>
              <m:rPr>
                <m:sty m:val="p"/>
              </m:rPr>
              <m:t>C</m:t>
            </m:r>
          </m:e>
          <m:sub>
            <m:r>
              <m:rPr/>
              <m:t>a</m:t>
            </m:r>
            <m:r>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t>c</m:t>
            </m:r>
            <m:r>
              <m:rPr/>
              <m:t>,</m:t>
            </m:r>
            <m:r>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t>c</m:t>
            </m:r>
            <m:r>
              <m:rPr/>
              <m:t>,</m:t>
            </m:r>
            <m:r>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t>a</m:t>
            </m:r>
            <m:r>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t>c</m:t>
            </m:r>
            <m:r>
              <m:rPr/>
              <m:t>,</m:t>
            </m:r>
            <m:r>
              <m:rPr/>
              <m:t>T</m:t>
            </m:r>
          </m:sub>
        </m:sSub>
      </m:oMath>
      <w:r>
        <w:t xml:space="preserve">.</w:t>
      </w:r>
    </w:p>
    <w:p>
      <w:pPr>
        <w:pStyle w:val="BodyText"/>
      </w:pPr>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t>c</m:t>
            </m:r>
            <m:r>
              <m:rPr/>
              <m:t>,</m:t>
            </m:r>
            <m:r>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t>c</m:t>
            </m:r>
            <m:r>
              <m:rPr/>
              <m:t>,</m:t>
            </m:r>
            <m:r>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10" w:name="harvested-tissue-carbon-mass-and-biomass-partitioning"/>
      <w:bookmarkEnd w:id="110"/>
      <w:r>
        <w:t xml:space="preserve">Harvested tissue carbon mass and biomass partitioning</w:t>
      </w:r>
    </w:p>
    <w:p>
      <w:pPr>
        <w:pStyle w:val="FirstParagraph"/>
      </w:pPr>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pPr>
        <w:pStyle w:val="BodyText"/>
      </w:pPr>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11" w:name="aboveground-carbon-allocation"/>
      <w:bookmarkEnd w:id="111"/>
      <w:r>
        <w:t xml:space="preserve">Aboveground carbon allocation</w:t>
      </w:r>
    </w:p>
    <w:p>
      <w:pPr>
        <w:pStyle w:val="FirstParagraph"/>
      </w:pPr>
      <w:r>
        <w:t xml:space="preserve">Treatment effects on tissue C allocation were determined from C mass estimates obtained from allometry over the final eleven months of the experiment and</w:t>
      </w:r>
      <w:r>
        <w:t xml:space="preserve"> </w:t>
      </w:r>
      <m:oMath>
        <m:sSub>
          <m:e>
            <m:r>
              <m:rPr>
                <m:sty m:val="p"/>
              </m:rPr>
              <m:t>F</m:t>
            </m:r>
          </m:e>
          <m:sub>
            <m:r>
              <m:rPr/>
              <m:t>c</m:t>
            </m:r>
            <m:r>
              <m:rPr/>
              <m:t>,</m:t>
            </m:r>
            <m:r>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t>c</m:t>
            </m:r>
            <m:r>
              <m:rPr/>
              <m:t>,</m:t>
            </m:r>
            <m:r>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12" w:name="belowground-carbon-allocation"/>
      <w:bookmarkEnd w:id="112"/>
      <w:r>
        <w:t xml:space="preserve">Belowground carbon allocation</w:t>
      </w:r>
    </w:p>
    <w:p>
      <w:pPr>
        <w:pStyle w:val="FirstParagraph"/>
      </w:pPr>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t>c</m:t>
            </m:r>
            <m:r>
              <m:rPr/>
              <m:t>,</m:t>
            </m:r>
            <m:r>
              <m:rPr/>
              <m:t>T</m:t>
            </m:r>
          </m:sub>
        </m:sSub>
      </m:oMath>
      <w:r>
        <w:t xml:space="preserve"> </w:t>
      </w:r>
      <w:r>
        <w:t xml:space="preserve">(Figure 6). As mass balance must be achieved, TBCA and the residual belowground C flux (</w:t>
      </w:r>
      <m:oMath>
        <m:sSub>
          <m:e>
            <m:r>
              <m:rPr>
                <m:sty m:val="p"/>
              </m:rPr>
              <m:t>F</m:t>
            </m:r>
          </m:e>
          <m:sub>
            <m:r>
              <m:rPr/>
              <m:t>c</m:t>
            </m:r>
            <m:r>
              <m:rPr/>
              <m:t>,</m:t>
            </m:r>
            <m:r>
              <m:rPr/>
              <m:t>r</m:t>
            </m:r>
          </m:sub>
        </m:sSub>
      </m:oMath>
      <w:r>
        <w:t xml:space="preserve">) were estimated from Figure 6 as residuals between</w:t>
      </w:r>
      <w:r>
        <w:t xml:space="preserve"> </w:t>
      </w:r>
      <m:oMath>
        <m:sSub>
          <m:e>
            <m:r>
              <m:rPr>
                <m:sty m:val="p"/>
              </m:rPr>
              <m:t>F</m:t>
            </m:r>
          </m:e>
          <m:sub>
            <m:r>
              <m:rPr/>
              <m:t>c</m:t>
            </m:r>
            <m:r>
              <m:rPr/>
              <m:t>,</m:t>
            </m:r>
            <m:r>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t>c</m:t>
            </m:r>
            <m:r>
              <m:rPr/>
              <m:t>,</m:t>
            </m:r>
            <m:r>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t>c</m:t>
            </m:r>
            <m:r>
              <m:rPr/>
              <m:t>,</m:t>
            </m:r>
            <m:r>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t>c</m:t>
            </m:r>
            <m:r>
              <m:rPr/>
              <m:t>,</m:t>
            </m:r>
            <m:r>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13" w:name="discussion-2"/>
      <w:bookmarkEnd w:id="113"/>
      <w:r>
        <w:t xml:space="preserve">Discussion</w:t>
      </w:r>
    </w:p>
    <w:p>
      <w:pPr>
        <w:pStyle w:val="FirstParagraph"/>
      </w:pPr>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14" w:name="relationships-between-tree-c-flux-leaf-area-and-tree-c-mass"/>
      <w:bookmarkEnd w:id="114"/>
      <w:r>
        <w:t xml:space="preserve">Relationships between tree C flux, leaf area and tree C mass</w:t>
      </w:r>
    </w:p>
    <w:p>
      <w:pPr>
        <w:pStyle w:val="FirstParagraph"/>
      </w:pPr>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(De Pury 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pPr>
        <w:pStyle w:val="BodyText"/>
      </w:pPr>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15" w:name="responses-of-biomass-partitioning-and-c-allocation-to-climate-change"/>
      <w:bookmarkEnd w:id="115"/>
      <w:r>
        <w:t xml:space="preserve">Responses of biomass partitioning and C allocation to climate change</w:t>
      </w:r>
    </w:p>
    <w:p>
      <w:pPr>
        <w:pStyle w:val="FirstParagraph"/>
      </w:pPr>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(Körner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pPr>
        <w:pStyle w:val="BodyText"/>
      </w:pPr>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(Körner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Müller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pPr>
        <w:pStyle w:val="BodyText"/>
      </w:pPr>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t>c</m:t>
            </m:r>
            <m:r>
              <m:rPr/>
              <m:t>,</m:t>
            </m:r>
            <m:r>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Körner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16" w:name="tbca-response-to-climate-change-in-a-single-tree-ecosystem"/>
      <w:bookmarkEnd w:id="116"/>
      <w:r>
        <w:t xml:space="preserve">TBCA response to climate change in a single-tree ecosystem</w:t>
      </w:r>
    </w:p>
    <w:p>
      <w:pPr>
        <w:pStyle w:val="FirstParagraph"/>
      </w:pPr>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pPr>
        <w:pStyle w:val="BodyText"/>
      </w:pPr>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pPr>
        <w:pStyle w:val="BodyText"/>
      </w:pPr>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17" w:name="conclusions-3"/>
      <w:bookmarkEnd w:id="117"/>
      <w:r>
        <w:t xml:space="preserve">Conclusions</w:t>
      </w:r>
    </w:p>
    <w:p>
      <w:pPr>
        <w:pStyle w:val="FirstParagraph"/>
      </w:pPr>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(De Kauwe 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18" w:name="list-of-tables-2"/>
      <w:bookmarkEnd w:id="118"/>
      <w:r>
        <w:t xml:space="preserve">List of 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9" w:name="list-of-figures-2"/>
      <w:bookmarkEnd w:id="119"/>
      <w:r>
        <w:t xml:space="preserve">List of Figures</w:t>
      </w:r>
    </w:p>
    <w:p>
      <w:pPr>
        <w:pStyle w:val="FirstParagraph"/>
      </w:pPr>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20" w:name="tables-2"/>
      <w:bookmarkEnd w:id="120"/>
      <w:r>
        <w:t xml:space="preserve">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21" w:name="references"/>
      <w:bookmarkEnd w:id="121"/>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w:t>
      </w:r>
      <w:r>
        <w:rPr>
          <w:vertAlign w:val="subscript"/>
        </w:rPr>
        <w:t xml:space="preserve">2</w:t>
      </w:r>
      <w:r>
        <w:t xml:space="preserve">-enriched atmospheres. Functional Plant Biology 34:1137–1149.</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(2015) Fitting Linear Mixed-Effects Models Using lme4. Journal of Statistical Software 67:1–48.</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New Phytologist 167:297–307.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w:t>
      </w:r>
    </w:p>
    <w:p>
      <w:pPr>
        <w:pStyle w:val="Bibliography"/>
      </w:pPr>
      <w:r>
        <w:t xml:space="preserve">Duursma R YplantQMC: Plant architectural analysis with Yplant and QuasiMC.</w:t>
      </w:r>
      <w:r>
        <w:t xml:space="preserve"> </w:t>
      </w:r>
      <w:hyperlink r:id="rId122">
        <w:r>
          <w:rPr>
            <w:rStyle w:val="Hyperlink"/>
          </w:rPr>
          <w:t xml:space="preserve">http://www.remkoduursma.com/yplantqmc, https://www.bitbucket.org/remkoduursma/yplantqmc/</w:t>
        </w:r>
      </w:hyperlink>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 31:922–931.</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 Von Caemmerer 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Ribas-Carbó 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Ribas-Carbó 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Hanson B, Sugden A, Alberts B (2011) Making data maximally available. Science 331:649.</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23">
        <w:r>
          <w:rPr>
            <w:rStyle w:val="Hyperlink"/>
          </w:rPr>
          <w:t xml:space="preserve">http://www.environment.nsw.gov.au/determinations/cumberlandplainpd.htm</w:t>
        </w:r>
      </w:hyperlink>
      <w:r>
        <w:t xml:space="preserve"> </w:t>
      </w:r>
      <w:r>
        <w:t xml:space="preserve">(1 November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IUFRO (2015) International Union of Forestry Research Organizations.</w:t>
      </w:r>
      <w:r>
        <w:t xml:space="preserve"> </w:t>
      </w:r>
      <w:hyperlink r:id="rId124">
        <w:r>
          <w:rPr>
            <w:rStyle w:val="Hyperlink"/>
          </w:rPr>
          <w:t xml:space="preserve">http://www.euciufro2015.com/en/</w:t>
        </w:r>
      </w:hyperlink>
      <w:r>
        <w:t xml:space="preserve"> </w:t>
      </w:r>
      <w:r>
        <w:t xml:space="preserve">(12 August 2015, date last accessed ).</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Körner C, Asshoff R, Bignucolo O, Hättenschwiler S, Keel SG, Peláez-Riedl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 114:513–524.</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 Le Roux 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Journal of Experimental Botany 48:1547–1556.</w:t>
      </w:r>
    </w:p>
    <w:p>
      <w:pPr>
        <w:pStyle w:val="Bibliography"/>
      </w:pPr>
      <w:r>
        <w:t xml:space="preserve">Piel C, Frak E, Le Roux 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 R package version 3.1-122.</w:t>
      </w:r>
      <w:r>
        <w:t xml:space="preserve"> </w:t>
      </w:r>
      <w:hyperlink r:id="rId125">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 Van Berkel Y, Baxter R, Den Hertog 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126">
        <w:r>
          <w:rPr>
            <w:rStyle w:val="Hyper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 Von Caemmerer 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w:t>
      </w:r>
      <w:r>
        <w:t xml:space="preserve"> </w:t>
      </w:r>
      <w:hyperlink r:id="rId127">
        <w:r>
          <w:rPr>
            <w:rStyle w:val="Hyper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 S, Evans JR (2014) Temperature responses of mesophyll conductance differ greatly between species. Plant, cell &amp; environment 38:629–637.</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2a35a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4349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