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chapter-1-general-introduction"/>
      <w:bookmarkEnd w:id="23"/>
      <w:r>
        <w:t xml:space="preserve">Chapter 1 General Introduction</w:t>
      </w:r>
    </w:p>
    <w:p>
      <w:pPr>
        <w:pStyle w:val="Heading3"/>
      </w:pPr>
      <w:bookmarkStart w:id="24" w:name="overview"/>
      <w:bookmarkEnd w:id="24"/>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5" w:name="current-knowledge-gaps"/>
      <w:bookmarkEnd w:id="25"/>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6" w:name="thesis-objectives"/>
      <w:bookmarkEnd w:id="26"/>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7" w:name="thesis-outline"/>
      <w:bookmarkEnd w:id="27"/>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8" w:name="synthesis"/>
      <w:bookmarkEnd w:id="28"/>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9" w:name="where-does-the-carbon-go"/>
      <w:bookmarkEnd w:id="29"/>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0" w:name="when-do-photosynthesis-and-growth-not-add-up"/>
      <w:bookmarkEnd w:id="30"/>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1" w:name="are-whole-canopies-optimized-for-carbon-gain"/>
      <w:bookmarkEnd w:id="31"/>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2" w:name="conclusions"/>
      <w:bookmarkEnd w:id="32"/>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3" w:name="eucalyptus-forests"/>
      <w:bookmarkEnd w:id="33"/>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4" w:name="chapter-2-text"/>
      <w:bookmarkEnd w:id="34"/>
      <w:r>
        <w:t xml:space="preserve">chapter 2 text</w:t>
      </w:r>
    </w:p>
    <w:p>
      <w:pPr>
        <w:pStyle w:val="Heading1"/>
      </w:pPr>
      <w:bookmarkStart w:id="35" w:name="abstract-1"/>
      <w:bookmarkEnd w:id="35"/>
      <w:r>
        <w:t xml:space="preserve">Abstract</w:t>
      </w:r>
    </w:p>
    <w:p>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36" w:name="keywords"/>
      <w:bookmarkEnd w:id="36"/>
      <w:r>
        <w:t xml:space="preserve">Keywords</w:t>
      </w:r>
    </w:p>
    <w:p>
      <w:r>
        <w:t xml:space="preserve">photosynthesis, growth, sink regulation, carbon allocation, soil volume</w:t>
      </w:r>
    </w:p>
    <w:p>
      <w:pPr>
        <w:pStyle w:val="Heading1"/>
      </w:pPr>
      <w:bookmarkStart w:id="37" w:name="introduction"/>
      <w:bookmarkEnd w:id="37"/>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w:t>
      </w:r>
      <w:r>
        <w:t xml:space="preserve">ü</w:t>
      </w:r>
      <w:r>
        <w:t xml:space="preserve">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w:t>
      </w:r>
      <w:r>
        <w:t xml:space="preserve">ü</w:t>
      </w:r>
      <w:r>
        <w:t xml:space="preserve">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38" w:name="materials-and-methods"/>
      <w:bookmarkEnd w:id="38"/>
      <w:r>
        <w:t xml:space="preserve">Materials and Methods</w:t>
      </w:r>
    </w:p>
    <w:p>
      <w:pPr>
        <w:pStyle w:val="Heading2"/>
      </w:pPr>
      <w:bookmarkStart w:id="39" w:name="experimental-design"/>
      <w:bookmarkEnd w:id="39"/>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0" w:name="growth-and-morphology-metrics"/>
      <w:bookmarkEnd w:id="40"/>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41" w:name="photosynthetic-parameters"/>
      <w:bookmarkEnd w:id="41"/>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42" w:name="leaf-water-potential"/>
      <w:bookmarkEnd w:id="42"/>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43" w:name="leaf-root-and-soil-chemistry"/>
      <w:bookmarkEnd w:id="43"/>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44" w:name="seedling-growth-model"/>
      <w:bookmarkEnd w:id="44"/>
      <w:r>
        <w:t xml:space="preserve">Seedling growth model</w:t>
      </w:r>
    </w:p>
    <w:p>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45" w:name="data-analysis"/>
      <w:bookmarkEnd w:id="45"/>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46" w:name="results"/>
      <w:bookmarkEnd w:id="46"/>
      <w:r>
        <w:t xml:space="preserve">Results</w:t>
      </w:r>
    </w:p>
    <w:p>
      <w:pPr>
        <w:pStyle w:val="Heading2"/>
      </w:pPr>
      <w:bookmarkStart w:id="47" w:name="growth-and-morphology"/>
      <w:bookmarkEnd w:id="47"/>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48" w:name="leaf-and-root-chemistry"/>
      <w:bookmarkEnd w:id="48"/>
      <w:r>
        <w:t xml:space="preserve">Leaf and root chemistry</w:t>
      </w:r>
    </w:p>
    <w:p>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49" w:name="gas-exchange-and-photosynthetic-parameters"/>
      <w:bookmarkEnd w:id="49"/>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0" w:name="modelling-seedling-biomass"/>
      <w:bookmarkEnd w:id="50"/>
      <w:r>
        <w:t xml:space="preserve">Modelling seedling biomass</w:t>
      </w:r>
    </w:p>
    <w:p>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51" w:name="discussion"/>
      <w:bookmarkEnd w:id="51"/>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52" w:name="reductions-in-growth-and-physiology-under-sink-limitation"/>
      <w:bookmarkEnd w:id="52"/>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w:t>
      </w:r>
      <w:r>
        <w:t xml:space="preserve">ü</w:t>
      </w:r>
      <w:r>
        <w:t xml:space="preserve">hler, et al. 2012)</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53" w:name="biomass-partitioning-under-sink-limitation"/>
      <w:bookmarkEnd w:id="53"/>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54" w:name="do-reductions-in-photosynthesis-explain-reductions-in-seedling-growth"/>
      <w:bookmarkEnd w:id="54"/>
      <w:r>
        <w:t xml:space="preserve">Do reductions in photosynthesis explain reductions in seedling growth?</w:t>
      </w:r>
    </w:p>
    <w:p>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55" w:name="conclusions-1"/>
      <w:bookmarkEnd w:id="55"/>
      <w:r>
        <w:t xml:space="preserve">Conclusions</w:t>
      </w:r>
    </w:p>
    <w:p>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56" w:name="list-of-tables"/>
      <w:bookmarkEnd w:id="56"/>
      <w:r>
        <w:t xml:space="preserve">List of 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S1</w:t>
      </w:r>
      <w:r>
        <w:t xml:space="preserve">. Seedling growth model default parameters.</w:t>
      </w:r>
    </w:p>
    <w:p>
      <w:pPr>
        <w:pStyle w:val="Heading1"/>
      </w:pPr>
      <w:bookmarkStart w:id="57" w:name="list-of-figures"/>
      <w:bookmarkEnd w:id="57"/>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58" w:name="tables"/>
      <w:bookmarkEnd w:id="58"/>
      <w:r>
        <w:t xml:space="preserve">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59" w:name="chapter-3-text"/>
      <w:bookmarkEnd w:id="59"/>
      <w:r>
        <w:t xml:space="preserve">chapter 3 text</w:t>
      </w:r>
    </w:p>
    <w:p>
      <w:pPr>
        <w:pStyle w:val="Heading1"/>
      </w:pPr>
      <w:bookmarkStart w:id="60" w:name="summary"/>
      <w:bookmarkEnd w:id="60"/>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61" w:name="key-words"/>
      <w:bookmarkEnd w:id="61"/>
      <w:r>
        <w:t xml:space="preserve">Key words</w:t>
      </w:r>
    </w:p>
    <w:p>
      <w:r>
        <w:t xml:space="preserve">photosynthesis, stomatal conductance, mesophyll conductance, shade, leaf optimal behavior</w:t>
      </w:r>
    </w:p>
    <w:p>
      <w:pPr>
        <w:pStyle w:val="Heading1"/>
      </w:pPr>
      <w:bookmarkStart w:id="62" w:name="introduction-1"/>
      <w:bookmarkEnd w:id="62"/>
      <w:r>
        <w:t xml:space="preserve">Introduction</w:t>
      </w:r>
    </w:p>
    <w:p>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w:t>
      </w:r>
      <w:r>
        <w:t xml:space="preserve">De Pury</w:t>
      </w:r>
      <w:r>
        <w:t xml:space="preserve"> </w:t>
      </w:r>
      <w:r>
        <w:t xml:space="preserve">and Farquhar 1997, Linderson et al. 2012)</w:t>
      </w:r>
      <w:r>
        <w:t xml:space="preserve">.</w:t>
      </w:r>
    </w:p>
    <w:p>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r>
        <w:br w:type="textWrapping"/>
      </w:r>
      <w:r>
        <w:t xml:space="preserve">1. If whole tree canopies are optimized for C gain, then leaf N, hydraulic conductance and biochemical photosynthetic capacity are predicted to be higher in sun leaves compared to shade leaves.</w:t>
      </w:r>
    </w:p>
    <w:p>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63" w:name="materials-and-methods-1"/>
      <w:bookmarkEnd w:id="63"/>
      <w:r>
        <w:t xml:space="preserve">Materials and Methods</w:t>
      </w:r>
    </w:p>
    <w:p>
      <w:pPr>
        <w:pStyle w:val="Heading2"/>
      </w:pPr>
      <w:bookmarkStart w:id="64" w:name="whole-tree-chamber-experimental-design"/>
      <w:bookmarkEnd w:id="64"/>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65" w:name="leaf-gas-exchange-online-carbon-isotope-discrimination-and-mesophyll-conductance"/>
      <w:bookmarkEnd w:id="65"/>
      <w:r>
        <w:t xml:space="preserve">Leaf gas exchange, online carbon isotope discrimination and mesophyll conductance</w:t>
      </w:r>
    </w:p>
    <w:p>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sty m:val="p"/>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w:r>
        <w:br w:type="textWrapping"/>
      </w:r>
      <w:r>
        <w:t xml:space="preserve">(1)</w:t>
      </w:r>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sty m:val="p"/>
          </m:rPr>
          <m:t>Δ</m:t>
        </m:r>
      </m:oMath>
      <w:r>
        <w:rPr>
          <w:vertAlign w:val="subscript"/>
        </w:rPr>
        <w:t xml:space="preserve">obs</w:t>
      </w:r>
      <w:r>
        <w:t xml:space="preserve">) is calculated from Evans et al.</w:t>
      </w:r>
      <w:r>
        <w:t xml:space="preserve"> </w:t>
      </w:r>
      <w:r>
        <w:t xml:space="preserve">(1986)</w:t>
      </w:r>
      <w:r>
        <w:t xml:space="preserve">:</w:t>
      </w:r>
    </w:p>
    <w:p>
      <w:r>
        <w:br w:type="textWrapping"/>
      </w:r>
      <w:r>
        <w:t xml:space="preserve">(2)</w:t>
      </w:r>
    </w:p>
    <w:p>
      <w:r>
        <w:t xml:space="preserve">where:</w:t>
      </w:r>
    </w:p>
    <w:p>
      <w:r>
        <w:br w:type="textWrapping"/>
      </w:r>
      <w:r>
        <w:t xml:space="preserve">(3)</w:t>
      </w:r>
    </w:p>
    <w:p>
      <w:r>
        <w:t xml:space="preserve">and</w:t>
      </w:r>
      <w:r>
        <w:t xml:space="preserve"> </w:t>
      </w:r>
      <m:oMath>
        <m:r>
          <m:rPr>
            <m:sty m:val="p"/>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r>
        <w:br w:type="textWrapping"/>
      </w:r>
      <w:r>
        <w:t xml:space="preserve">Second, C isotope discrimination during C</w:t>
      </w:r>
      <w:r>
        <w:rPr>
          <w:vertAlign w:val="subscript"/>
        </w:rPr>
        <w:t xml:space="preserve">3</w:t>
      </w:r>
      <w:r>
        <w:t xml:space="preserve"> </w:t>
      </w:r>
      <w:r>
        <w:t xml:space="preserve">photosynthesis (</w:t>
      </w:r>
      <m:oMath>
        <m:r>
          <m:rPr>
            <m:sty m:val="p"/>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r>
        <w:br w:type="textWrapping"/>
      </w:r>
      <w:r>
        <w:t xml:space="preserve">(4)</w:t>
      </w:r>
    </w:p>
    <w:p>
      <w:r>
        <w:t xml:space="preserve">where</w:t>
      </w:r>
      <w:r>
        <w:t xml:space="preserve"> </w:t>
      </w:r>
      <m:oMath>
        <m:r>
          <m:rPr>
            <m:sty m:val="p"/>
          </m:rPr>
          <m:t>Δ</m:t>
        </m:r>
      </m:oMath>
      <w:r>
        <w:rPr>
          <w:vertAlign w:val="subscript"/>
        </w:rPr>
        <w:t xml:space="preserve">o</w:t>
      </w:r>
      <w:r>
        <w:t xml:space="preserve"> </w:t>
      </w:r>
      <w:r>
        <w:t xml:space="preserve">is the observed discrimination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r>
        <w:br w:type="textWrapping"/>
      </w:r>
      <w:r>
        <w:t xml:space="preserve">(5)</w:t>
      </w:r>
      <w:r>
        <w:br w:type="textWrapping"/>
      </w:r>
      <w:r>
        <w:t xml:space="preserve">(6)</w:t>
      </w:r>
    </w:p>
    <w:p>
      <w:r>
        <w:br w:type="textWrapping"/>
      </w:r>
      <w:r>
        <w:t xml:space="preserve">(7)</w:t>
      </w:r>
    </w:p>
    <w:p>
      <w:r>
        <w:br w:type="textWrapping"/>
      </w:r>
      <w:r>
        <w:t xml:space="preserve">(8)</w:t>
      </w:r>
    </w:p>
    <w:p>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r>
        <w:br w:type="textWrapping"/>
      </w:r>
      <w:r>
        <w:t xml:space="preserve">(9)</w:t>
      </w:r>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r>
        <w:br w:type="textWrapping"/>
      </w:r>
      <w:r>
        <w:t xml:space="preserve">(10)</w:t>
      </w:r>
    </w:p>
    <w:p>
      <w:r>
        <w:t xml:space="preserve">where 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r>
        <w:br w:type="textWrapping"/>
      </w:r>
      <w:r>
        <w:t xml:space="preserve">(11)</w:t>
      </w:r>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sty m:val="p"/>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66" w:name="biochemical-parameters-of-photosynthesis"/>
      <w:bookmarkEnd w:id="66"/>
      <w:r>
        <w:t xml:space="preserve">Biochemical parameters of photosynthesis</w:t>
      </w:r>
    </w:p>
    <w:p>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 °C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pPr>
        <w:pStyle w:val="Heading2"/>
      </w:pPr>
      <w:bookmarkStart w:id="67" w:name="leaf-chemistry-and-hydraulic-parameters"/>
      <w:bookmarkEnd w:id="67"/>
      <w:r>
        <w:t xml:space="preserve">Leaf chemistry and hydraulic parameters</w:t>
      </w:r>
    </w:p>
    <w:p>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sty m:val="p"/>
              </m:rPr>
              <m:t>Ψ</m:t>
            </m:r>
          </m:e>
          <m:sub>
            <m:r>
              <m:rPr>
                <m:sty m:val="p"/>
              </m:rPr>
              <m:t>p</m:t>
            </m:r>
            <m:r>
              <m:rPr>
                <m:sty m:val="p"/>
              </m:rPr>
              <m:t>d</m:t>
            </m:r>
          </m:sub>
        </m:sSub>
      </m:oMath>
      <w:r>
        <w:t xml:space="preserve">. Predawn leaf water potential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r>
        <w:br w:type="textWrapping"/>
      </w:r>
      <w:r>
        <w:t xml:space="preserve">(12)</w:t>
      </w:r>
    </w:p>
    <w:p>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68" w:name="data-analysis-1"/>
      <w:bookmarkEnd w:id="68"/>
      <w:r>
        <w:t xml:space="preserve">Data analysis</w:t>
      </w:r>
    </w:p>
    <w:p>
      <w:r>
        <w:t xml:space="preserve">Differences in experimental parameters to either the warming treatment or leaf type were analysed by mixed-effects models in R</w:t>
      </w:r>
      <w:r>
        <w:t xml:space="preserve"> </w:t>
      </w:r>
      <w:r>
        <w:t xml:space="preserve">(</w:t>
      </w:r>
      <w:r>
        <w:t xml:space="preserve">R Development Core Team</w:t>
      </w:r>
      <w:r>
        <w:t xml:space="preserve"> </w:t>
      </w:r>
      <w:r>
        <w:t xml:space="preserve">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2013)</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69" w:name="results-1"/>
      <w:bookmarkEnd w:id="69"/>
      <w:r>
        <w:t xml:space="preserve">Results</w:t>
      </w:r>
    </w:p>
    <w:p>
      <w:pPr>
        <w:pStyle w:val="Heading2"/>
      </w:pPr>
      <w:bookmarkStart w:id="70" w:name="leaf-resource-distribution"/>
      <w:bookmarkEnd w:id="70"/>
      <w:r>
        <w:t xml:space="preserve">Leaf resource distribution</w:t>
      </w:r>
    </w:p>
    <w:p>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71" w:name="photosynthetic-capacity-and-leaf-photosynthesis-rates"/>
      <w:bookmarkEnd w:id="71"/>
      <w:r>
        <w:t xml:space="preserve">Photosynthetic capacity and leaf photosynthesis rates</w:t>
      </w:r>
    </w:p>
    <w:p>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72" w:name="stomatal-conductance-and-leaf-water-use-efficiency"/>
      <w:bookmarkEnd w:id="72"/>
      <w:r>
        <w:t xml:space="preserve">Stomatal conductance and leaf water-use efficiency</w:t>
      </w:r>
    </w:p>
    <w:p>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r>
        <w:br w:type="textWrapping"/>
      </w:r>
      <w:r>
        <w:t xml:space="preserve">Bulk-leaf</w:t>
      </w:r>
      <w:r>
        <w:t xml:space="preserve"> </w:t>
      </w:r>
      <m:oMath>
        <m:r>
          <m:rPr>
            <m:sty m:val="p"/>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sty m:val="p"/>
          </m:rPr>
          <m:t>δ</m:t>
        </m:r>
      </m:oMath>
      <w:r>
        <w:rPr>
          <w:vertAlign w:val="superscript"/>
        </w:rPr>
        <w:t xml:space="preserve">13</w:t>
      </w:r>
      <w:r>
        <w:t xml:space="preserve">C (higher water-use efficiency) and higher N investment in sun leaves.</w:t>
      </w:r>
    </w:p>
    <w:p>
      <w:pPr>
        <w:pStyle w:val="Heading2"/>
      </w:pPr>
      <w:bookmarkStart w:id="73" w:name="leaf-carbon-isotope-discrimination-and-mesophyll-conductance"/>
      <w:bookmarkEnd w:id="73"/>
      <w:r>
        <w:t xml:space="preserve">Leaf carbon isotope discrimination and mesophyll conductance</w:t>
      </w:r>
    </w:p>
    <w:p>
      <w:r>
        <w:t xml:space="preserve">The observed carbon isotope discrimination (</w:t>
      </w:r>
      <m:oMath>
        <m:nary>
          <m:naryPr>
            <m:chr m:val="Δ"/>
            <m:limLoc m:val="subSup"/>
            <m:supHide m:val="off"/>
            <m:supHide m:val="off"/>
          </m:naryPr>
          <m:e/>
          <m:sub>
            <m:r>
              <m:rPr>
                <m:sty m:val="p"/>
              </m:rPr>
              <m:t>o</m:t>
            </m:r>
          </m:sub>
          <m:sup/>
        </m:nary>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sty m:val="p"/>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nary>
          <m:naryPr>
            <m:chr m:val="Δ"/>
            <m:limLoc m:val="subSup"/>
            <m:supHide m:val="off"/>
            <m:supHide m:val="off"/>
          </m:naryPr>
          <m:e/>
          <m:sub>
            <m:r>
              <m:rPr>
                <m:sty m:val="p"/>
              </m:rPr>
              <m:t>o</m:t>
            </m:r>
          </m:sub>
          <m:sup/>
        </m:nary>
      </m:oMath>
      <w:r>
        <w:t xml:space="preserve"> </w:t>
      </w:r>
      <w:r>
        <w:t xml:space="preserve">(69.7±0.4%) and varied little across measurement temperatures, leaf types, or warming treatments. The remainder</w:t>
      </w:r>
      <w:r>
        <w:t xml:space="preserve"> </w:t>
      </w:r>
      <m:oMath>
        <m:nary>
          <m:naryPr>
            <m:chr m:val="Δ"/>
            <m:limLoc m:val="subSup"/>
            <m:supHide m:val="off"/>
            <m:supHide m:val="off"/>
          </m:naryPr>
          <m:e/>
          <m:sub>
            <m:r>
              <m:rPr>
                <m:sty m:val="p"/>
              </m:rPr>
              <m:t>o</m:t>
            </m:r>
          </m:sub>
          <m:sup/>
        </m:nary>
      </m:oMath>
      <w:r>
        <w:t xml:space="preserve"> </w:t>
      </w:r>
      <w:r>
        <w:t xml:space="preserve">consists of the contributions of g</w:t>
      </w:r>
      <w:r>
        <w:rPr>
          <w:vertAlign w:val="subscript"/>
        </w:rPr>
        <w:t xml:space="preserve">s</w:t>
      </w:r>
      <w:r>
        <w:t xml:space="preserve">, respiration and photorespiration to discrimination.</w:t>
      </w:r>
    </w:p>
    <w:p>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74" w:name="variation-in-intercellular-and-chloroplastic-co2-concentrations"/>
      <w:bookmarkEnd w:id="74"/>
      <w:r>
        <w:t xml:space="preserve">Variation in intercellular and chloroplastic CO</w:t>
      </w:r>
      <w:r>
        <w:rPr>
          <w:vertAlign w:val="subscript"/>
        </w:rPr>
        <w:t xml:space="preserve">2</w:t>
      </w:r>
      <w:r>
        <w:t xml:space="preserve"> </w:t>
      </w:r>
      <w:r>
        <w:t xml:space="preserve">concentrations</w:t>
      </w:r>
    </w:p>
    <w:p>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w:t>
      </w:r>
      <w:r>
        <w:t xml:space="preserve">Von Caemmerer</w:t>
      </w:r>
      <w:r>
        <w:t xml:space="preserve"> </w:t>
      </w:r>
      <w:r>
        <w:t xml:space="preserve">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75" w:name="discussion-1"/>
      <w:bookmarkEnd w:id="75"/>
      <w:r>
        <w:t xml:space="preserve">Discussion</w:t>
      </w:r>
    </w:p>
    <w:p>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76" w:name="resource-distribution-and-photosynthetic-capacity"/>
      <w:bookmarkEnd w:id="76"/>
      <w:r>
        <w:t xml:space="preserve">Resource distribution and photosynthetic capacity</w:t>
      </w:r>
    </w:p>
    <w:p>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sty m:val="p"/>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77" w:name="physiological-behaviour-of-sun-and-shade-leaves"/>
      <w:bookmarkEnd w:id="77"/>
      <w:r>
        <w:t xml:space="preserve">Physiological behaviour of sun and shade leaves</w:t>
      </w:r>
    </w:p>
    <w:p>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w:t>
      </w:r>
      <w:r>
        <w:t xml:space="preserve">ü</w:t>
      </w:r>
      <w:r>
        <w:t xml:space="preserve">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w:t>
      </w:r>
      <w:r>
        <w:t xml:space="preserve"> </w:t>
      </w:r>
      <w:r>
        <w:t xml:space="preserve">De Pury</w:t>
      </w:r>
      <w:r>
        <w:t xml:space="preserve"> </w:t>
      </w:r>
      <w:r>
        <w:t xml:space="preserve">and Farquhar 1997)</w:t>
      </w:r>
      <w:r>
        <w:t xml:space="preserve">.</w:t>
      </w:r>
    </w:p>
    <w:p>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w:t>
      </w:r>
      <w:r>
        <w:t xml:space="preserve">De Pury</w:t>
      </w:r>
      <w:r>
        <w:t xml:space="preserve"> </w:t>
      </w:r>
      <w:r>
        <w:t xml:space="preserve">and Farquhar 1997)</w:t>
      </w:r>
      <w:r>
        <w:t xml:space="preserve">.</w:t>
      </w:r>
    </w:p>
    <w:p>
      <w:pPr>
        <w:pStyle w:val="Heading2"/>
      </w:pPr>
      <w:bookmarkStart w:id="78" w:name="conclusions-2"/>
      <w:bookmarkEnd w:id="78"/>
      <w:r>
        <w:t xml:space="preserve">Conclusions</w:t>
      </w:r>
    </w:p>
    <w:p>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79" w:name="list-of-tables-1"/>
      <w:bookmarkEnd w:id="79"/>
      <w:r>
        <w:t xml:space="preserve">List of 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0" w:name="list-of-figures-1"/>
      <w:bookmarkEnd w:id="80"/>
      <w:r>
        <w:t xml:space="preserve">List of Figures</w:t>
      </w:r>
    </w:p>
    <w:p>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r>
        <w:br w:type="textWrapping"/>
      </w:r>
      <w:r>
        <w:rPr>
          <w:b/>
        </w:rPr>
        <w:t xml:space="preserve">Figure S1</w:t>
      </w:r>
      <w:r>
        <w:t xml:space="preserve">. Daily maximum and minimum temperature (a) and total daily PPFD (b) for each chamber across the experiment duration.</w:t>
      </w:r>
    </w:p>
    <w:p>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81" w:name="tables-1"/>
      <w:bookmarkEnd w:id="81"/>
      <w:r>
        <w:t xml:space="preserve">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2" w:name="chapter-4-text"/>
      <w:bookmarkEnd w:id="82"/>
      <w:r>
        <w:t xml:space="preserve">CHapter 4 text</w:t>
      </w:r>
    </w:p>
    <w:p>
      <w:pPr>
        <w:pStyle w:val="Heading1"/>
      </w:pPr>
      <w:bookmarkStart w:id="83" w:name="abstract-2"/>
      <w:bookmarkEnd w:id="83"/>
      <w:r>
        <w:t xml:space="preserve">Abstract</w:t>
      </w:r>
    </w:p>
    <w:p>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84" w:name="key-words-1"/>
      <w:bookmarkEnd w:id="84"/>
      <w:r>
        <w:t xml:space="preserve">Key Words</w:t>
      </w:r>
    </w:p>
    <w:p>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85" w:name="introduction-2"/>
      <w:bookmarkEnd w:id="85"/>
      <w:r>
        <w:t xml:space="preserve">Introduction</w:t>
      </w:r>
    </w:p>
    <w:p>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w:t>
      </w:r>
      <w:r>
        <w:t xml:space="preserve">ä</w:t>
      </w:r>
      <w:r>
        <w:t xml:space="preserve">kel</w:t>
      </w:r>
      <w:r>
        <w:t xml:space="preserve">ä</w:t>
      </w:r>
      <w:r>
        <w:t xml:space="preserve"> </w:t>
      </w:r>
      <w:r>
        <w:t xml:space="preserve">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w:t>
      </w:r>
      <w:r>
        <w:t xml:space="preserve">De Kauwe</w:t>
      </w:r>
      <w:r>
        <w:t xml:space="preserve"> </w:t>
      </w:r>
      <w:r>
        <w:t xml:space="preserve">et al. 2014, Fatichi et al. 2014)</w:t>
      </w:r>
      <w:r>
        <w:t xml:space="preserve">. As a result, there is continued need to empirically measure patterns of tree C allocation under multi-factor global change manipulations to better understand shifts in future forest C balance.</w:t>
      </w:r>
    </w:p>
    <w:p>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86" w:name="methods"/>
      <w:bookmarkEnd w:id="86"/>
      <w:r>
        <w:t xml:space="preserve">Methods</w:t>
      </w:r>
    </w:p>
    <w:p>
      <w:pPr>
        <w:pStyle w:val="Heading2"/>
      </w:pPr>
      <w:bookmarkStart w:id="87" w:name="terminology"/>
      <w:bookmarkEnd w:id="87"/>
      <w:r>
        <w:t xml:space="preserve">Terminology</w:t>
      </w:r>
    </w:p>
    <w:p>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88" w:name="whole-tree-chamber-experiment"/>
      <w:bookmarkEnd w:id="88"/>
      <w:r>
        <w:t xml:space="preserve">Whole tree chamber experiment</w:t>
      </w:r>
    </w:p>
    <w:p>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89" w:name="aboveground-chamber-co2-flux"/>
      <w:bookmarkEnd w:id="89"/>
      <w:r>
        <w:t xml:space="preserve">Aboveground chamber CO</w:t>
      </w:r>
      <w:r>
        <w:rPr>
          <w:vertAlign w:val="subscript"/>
        </w:rPr>
        <w:t xml:space="preserve">2</w:t>
      </w:r>
      <w:r>
        <w:t xml:space="preserve"> </w:t>
      </w:r>
      <w:r>
        <w:t xml:space="preserve">flux</w:t>
      </w:r>
    </w:p>
    <w:p>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sty m:val="p"/>
              </m:rPr>
              <m:t>c</m:t>
            </m:r>
            <m:r>
              <m:rPr>
                <m:sty m:val="p"/>
              </m:rPr>
              <m:t>,</m:t>
            </m:r>
            <m:r>
              <m:rPr>
                <m:sty m:val="p"/>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sty m:val="p"/>
              </m:rPr>
              <m:t>c</m:t>
            </m:r>
            <m:r>
              <m:rPr>
                <m:sty m:val="p"/>
              </m:rPr>
              <m:t>,</m:t>
            </m:r>
            <m:r>
              <m:rPr>
                <m:sty m:val="p"/>
              </m:rPr>
              <m:t>d</m:t>
            </m:r>
          </m:sub>
        </m:sSub>
      </m:oMath>
      <w:r>
        <w:t xml:space="preserve"> </w:t>
      </w:r>
      <w:r>
        <w:t xml:space="preserve">was summed over the flux monitoring period (</w:t>
      </w:r>
      <m:oMath>
        <m:sSub>
          <m:e>
            <m:r>
              <m:rPr>
                <m:sty m:val="p"/>
              </m:rPr>
              <m:t>F</m:t>
            </m:r>
          </m:e>
          <m:sub>
            <m:r>
              <m:rPr>
                <m:sty m:val="p"/>
              </m:rPr>
              <m:t>c</m:t>
            </m:r>
            <m:r>
              <m:rPr>
                <m:sty m:val="p"/>
              </m:rPr>
              <m:t>,</m:t>
            </m:r>
            <m:r>
              <m:rPr>
                <m:sty m:val="p"/>
              </m:rPr>
              <m:t>T</m:t>
            </m:r>
          </m:sub>
        </m:sSub>
      </m:oMath>
      <w:r>
        <w:t xml:space="preserve">) to compare to tree C mass, leaf area and C allocation above and belowground.</w:t>
      </w:r>
    </w:p>
    <w:p>
      <w:pPr>
        <w:pStyle w:val="Heading2"/>
      </w:pPr>
      <w:bookmarkStart w:id="90" w:name="harvested-tree-carbon-mass"/>
      <w:bookmarkEnd w:id="90"/>
      <w:r>
        <w:t xml:space="preserve">Harvested tree carbon mass</w:t>
      </w:r>
    </w:p>
    <w:p>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91" w:name="tree-allometry-surveys"/>
      <w:bookmarkEnd w:id="91"/>
      <w:r>
        <w:t xml:space="preserve">Tree allometry surveys</w:t>
      </w:r>
    </w:p>
    <w:p>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92" w:name="bole-carbon-mass"/>
      <w:bookmarkEnd w:id="92"/>
      <w:r>
        <w:t xml:space="preserve">Bole carbon mass</w:t>
      </w:r>
    </w:p>
    <w:p>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sty m:val="p"/>
              </m:rPr>
              <m:t>ρ</m:t>
            </m:r>
          </m:e>
          <m:sub>
            <m:r>
              <m:rPr>
                <m:sty m:val="p"/>
              </m:rPr>
              <m:t>b</m:t>
            </m:r>
            <m:r>
              <m:rPr>
                <m:sty m:val="p"/>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sty m:val="p"/>
              </m:rPr>
              <m:t>ρ</m:t>
            </m:r>
          </m:e>
          <m:sub>
            <m:r>
              <m:rPr>
                <m:sty m:val="p"/>
              </m:rPr>
              <m:t>b</m:t>
            </m:r>
            <m:r>
              <m:rPr>
                <m:sty m:val="p"/>
              </m:rPr>
              <m:t>o</m:t>
            </m:r>
          </m:sub>
        </m:sSub>
      </m:oMath>
      <w:r>
        <w:t xml:space="preserve"> </w:t>
      </w:r>
      <w:r>
        <w:t xml:space="preserve">did not change through time.</w:t>
      </w:r>
    </w:p>
    <w:p>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sty m:val="p"/>
              </m:rPr>
              <m:t>ρ</m:t>
            </m:r>
          </m:e>
          <m:sub>
            <m:r>
              <m:rPr>
                <m:sty m:val="p"/>
              </m:rPr>
              <m:t>b</m:t>
            </m:r>
            <m:r>
              <m:rPr>
                <m:sty m:val="p"/>
              </m:rPr>
              <m:t>o</m:t>
            </m:r>
          </m:sub>
        </m:sSub>
      </m:oMath>
      <w:r>
        <w:t xml:space="preserve">.</w:t>
      </w:r>
    </w:p>
    <w:p>
      <w:pPr>
        <w:pStyle w:val="Heading2"/>
      </w:pPr>
      <w:bookmarkStart w:id="93" w:name="branch-carbon-mass"/>
      <w:bookmarkEnd w:id="93"/>
      <w:r>
        <w:t xml:space="preserve">Branch carbon mass</w:t>
      </w:r>
    </w:p>
    <w:p>
      <w:r>
        <w:t xml:space="preserve">Measured dry mass, length and basal area of all harvested branches was used to determine the branch wood density (</w:t>
      </w:r>
      <m:oMath>
        <m:sSub>
          <m:e>
            <m:r>
              <m:rPr>
                <m:sty m:val="p"/>
              </m:rPr>
              <m:t>ρ</m:t>
            </m:r>
          </m:e>
          <m:sub>
            <m:r>
              <m:rPr>
                <m:sty m:val="p"/>
              </m:rPr>
              <m:t>b</m:t>
            </m:r>
            <m:r>
              <m:rPr>
                <m:sty m:val="p"/>
              </m:rPr>
              <m:t>r</m:t>
            </m:r>
          </m:sub>
        </m:sSub>
      </m:oMath>
      <w:r>
        <w:t xml:space="preserve">) as well as a geometric shape factor</w:t>
      </w:r>
      <w:r>
        <w:t xml:space="preserve"> </w:t>
      </w:r>
      <w:r>
        <w:t xml:space="preserve">(</w:t>
      </w:r>
      <m:oMath>
        <m:r>
          <m:rPr>
            <m:sty m:val="p"/>
          </m:rPr>
          <m:t>ϕ</m:t>
        </m:r>
      </m:oMath>
      <w:r>
        <w:t xml:space="preserve">, see M</w:t>
      </w:r>
      <w:r>
        <w:t xml:space="preserve">ä</w:t>
      </w:r>
      <w:r>
        <w:t xml:space="preserve">kel</w:t>
      </w:r>
      <w:r>
        <w:t xml:space="preserve">ä</w:t>
      </w:r>
      <w:r>
        <w:t xml:space="preserve"> </w:t>
      </w:r>
      <w:r>
        <w:t xml:space="preserve">1997)</w:t>
      </w:r>
      <w:r>
        <w:t xml:space="preserve"> </w:t>
      </w:r>
      <w:r>
        <w:t xml:space="preserve">for each WTC tree by rearranging the equation:</w:t>
      </w:r>
    </w:p>
    <w:p>
      <w:r>
        <w:br w:type="textWrapping"/>
      </w:r>
      <w:r>
        <w:t xml:space="preserve">(1)</w:t>
      </w:r>
    </w:p>
    <w:p>
      <w:r>
        <w:t xml:space="preserve">where</w:t>
      </w:r>
      <w:r>
        <w:t xml:space="preserve"> </w:t>
      </w:r>
      <m:oMath>
        <m:sSub>
          <m:e>
            <m:r>
              <m:rPr>
                <m:sty m:val="p"/>
              </m:rPr>
              <m:t>M</m:t>
            </m:r>
          </m:e>
          <m:sub>
            <m:r>
              <m:rPr>
                <m:sty m:val="p"/>
              </m:rPr>
              <m:t>b</m:t>
            </m:r>
            <m:r>
              <m:rPr>
                <m:sty m:val="p"/>
              </m:rPr>
              <m:t>r</m:t>
            </m:r>
          </m:sub>
        </m:sSub>
      </m:oMath>
      <w:r>
        <w:t xml:space="preserve"> </w:t>
      </w:r>
      <w:r>
        <w:t xml:space="preserve">is summed dry mass of all harvested branches,</w:t>
      </w:r>
      <w:r>
        <w:t xml:space="preserve"> </w:t>
      </w:r>
      <m:oMath>
        <m:sSub>
          <m:e>
            <m:r>
              <m:rPr>
                <m:sty m:val="p"/>
              </m:rPr>
              <m:t>L</m:t>
            </m:r>
          </m:e>
          <m:sub>
            <m:r>
              <m:rPr>
                <m:sty m:val="p"/>
              </m:rPr>
              <m:t>b</m:t>
            </m:r>
            <m:r>
              <m:rPr>
                <m:sty m:val="p"/>
              </m:rPr>
              <m:t>r</m:t>
            </m:r>
          </m:sub>
        </m:sSub>
      </m:oMath>
      <w:r>
        <w:t xml:space="preserve"> </w:t>
      </w:r>
      <w:r>
        <w:t xml:space="preserve">is summed branch length (cm),</w:t>
      </w:r>
      <w:r>
        <w:t xml:space="preserve"> </w:t>
      </w:r>
      <m:oMath>
        <m:sSub>
          <m:e>
            <m:r>
              <m:rPr>
                <m:sty m:val="p"/>
              </m:rPr>
              <m:t>A</m:t>
            </m:r>
          </m:e>
          <m:sub>
            <m:r>
              <m:rPr>
                <m:sty m:val="p"/>
              </m:rPr>
              <m:t>b</m:t>
            </m:r>
            <m:r>
              <m:rPr>
                <m:sty m:val="p"/>
              </m:rPr>
              <m:t>r</m:t>
            </m:r>
          </m:sub>
        </m:sSub>
      </m:oMath>
      <w:r>
        <w:t xml:space="preserve"> </w:t>
      </w:r>
      <w:r>
        <w:t xml:space="preserve">is summed branch basal area (cm</w:t>
      </w:r>
      <w:r>
        <w:rPr>
          <w:vertAlign w:val="superscript"/>
        </w:rPr>
        <w:t xml:space="preserve">3</w:t>
      </w:r>
      <w:r>
        <w:t xml:space="preserve">),</w:t>
      </w:r>
      <w:r>
        <w:t xml:space="preserve"> </w:t>
      </w:r>
      <m:oMath>
        <m:sSub>
          <m:e>
            <m:r>
              <m:rPr>
                <m:sty m:val="p"/>
              </m:rPr>
              <m:t>ρ</m:t>
            </m:r>
          </m:e>
          <m:sub>
            <m:r>
              <m:rPr>
                <m:sty m:val="p"/>
              </m:rPr>
              <m:t>b</m:t>
            </m:r>
            <m:r>
              <m:rPr>
                <m:sty m:val="p"/>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sty m:val="p"/>
          </m:rPr>
          <m:t>ϕ</m:t>
        </m:r>
      </m:oMath>
      <w:r>
        <w:t xml:space="preserve"> </w:t>
      </w:r>
      <w:r>
        <w:t xml:space="preserve">corrects branch volume estimates to an intermediate shape between a cone and a cylinder</w:t>
      </w:r>
      <w:r>
        <w:t xml:space="preserve"> </w:t>
      </w:r>
      <w:r>
        <w:t xml:space="preserve">(M</w:t>
      </w:r>
      <w:r>
        <w:t xml:space="preserve">ä</w:t>
      </w:r>
      <w:r>
        <w:t xml:space="preserve">kel</w:t>
      </w:r>
      <w:r>
        <w:t xml:space="preserve">ä</w:t>
      </w:r>
      <w:r>
        <w:t xml:space="preserve"> </w:t>
      </w:r>
      <w:r>
        <w:t xml:space="preserve">1997)</w:t>
      </w:r>
      <w:r>
        <w:t xml:space="preserve">. The ratio of measured</w:t>
      </w:r>
      <w:r>
        <w:t xml:space="preserve"> </w:t>
      </w:r>
      <m:oMath>
        <m:sSub>
          <m:e>
            <m:r>
              <m:rPr>
                <m:sty m:val="p"/>
              </m:rPr>
              <m:t>M</m:t>
            </m:r>
          </m:e>
          <m:sub>
            <m:r>
              <m:rPr>
                <m:sty m:val="p"/>
              </m:rPr>
              <m:t>b</m:t>
            </m:r>
            <m:r>
              <m:rPr>
                <m:sty m:val="p"/>
              </m:rPr>
              <m:t>r</m:t>
            </m:r>
          </m:sub>
        </m:sSub>
      </m:oMath>
      <w:r>
        <w:t xml:space="preserve"> </w:t>
      </w:r>
      <w:r>
        <w:t xml:space="preserve">to</w:t>
      </w:r>
      <w:r>
        <w:t xml:space="preserve"> </w:t>
      </w:r>
      <m:oMath>
        <m:sSub>
          <m:e>
            <m:r>
              <m:rPr>
                <m:sty m:val="p"/>
              </m:rPr>
              <m:t>L</m:t>
            </m:r>
          </m:e>
          <m:sub>
            <m:r>
              <m:rPr>
                <m:sty m:val="p"/>
              </m:rPr>
              <m:t>b</m:t>
            </m:r>
            <m:r>
              <m:rPr>
                <m:sty m:val="p"/>
              </m:rPr>
              <m:t>r</m:t>
            </m:r>
          </m:sub>
        </m:sSub>
        <m:sSub>
          <m:e>
            <m:r>
              <m:rPr>
                <m:sty m:val="p"/>
              </m:rPr>
              <m:t>A</m:t>
            </m:r>
          </m:e>
          <m:sub>
            <m:r>
              <m:rPr>
                <m:sty m:val="p"/>
              </m:rPr>
              <m:t>b</m:t>
            </m:r>
            <m:r>
              <m:rPr>
                <m:sty m:val="p"/>
              </m:rPr>
              <m:t>r</m:t>
            </m:r>
          </m:sub>
        </m:sSub>
      </m:oMath>
      <w:r>
        <w:t xml:space="preserve"> </w:t>
      </w:r>
      <w:r>
        <w:t xml:space="preserve">was used to generate a WTC-specific</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w:t>
      </w:r>
    </w:p>
    <w:p>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sty m:val="p"/>
              </m:rPr>
              <m:t>b</m:t>
            </m:r>
            <m:r>
              <m:rPr>
                <m:sty m:val="p"/>
              </m:rPr>
              <m:t>r</m:t>
            </m:r>
          </m:sub>
        </m:sSub>
      </m:oMath>
      <w:r>
        <w:t xml:space="preserve"> </w:t>
      </w:r>
      <w:r>
        <w:t xml:space="preserve">and</w:t>
      </w:r>
      <w:r>
        <w:t xml:space="preserve"> </w:t>
      </w:r>
      <m:oMath>
        <m:sSub>
          <m:e>
            <m:r>
              <m:rPr>
                <m:sty m:val="p"/>
              </m:rPr>
              <m:t>A</m:t>
            </m:r>
          </m:e>
          <m:sub>
            <m:r>
              <m:rPr>
                <m:sty m:val="p"/>
              </m:rPr>
              <m:t>b</m:t>
            </m:r>
            <m:r>
              <m:rPr>
                <m:sty m:val="p"/>
              </m:rPr>
              <m:t>r</m:t>
            </m:r>
          </m:sub>
        </m:sSub>
      </m:oMath>
      <w:r>
        <w:t xml:space="preserve"> </w:t>
      </w:r>
      <w:r>
        <w:t xml:space="preserve">for individual branches with</w:t>
      </w:r>
      <w:r>
        <w:t xml:space="preserve"> </w:t>
      </w:r>
      <m:oMath>
        <m:sSub>
          <m:e>
            <m:r>
              <m:rPr>
                <m:sty m:val="p"/>
              </m:rPr>
              <m:t>ϕ</m:t>
            </m:r>
          </m:e>
          <m:sub>
            <m:r>
              <m:rPr>
                <m:sty m:val="p"/>
              </m:rPr>
              <m:t>b</m:t>
            </m:r>
            <m:r>
              <m:rPr>
                <m:sty m:val="p"/>
              </m:rPr>
              <m:t>r</m:t>
            </m:r>
          </m:sub>
        </m:sSub>
      </m:oMath>
      <m:oMath>
        <m:sSub>
          <m:e>
            <m:r>
              <m:rPr>
                <m:sty m:val="p"/>
              </m:rPr>
              <m:t>ρ</m:t>
            </m:r>
          </m:e>
          <m:sub>
            <m:r>
              <m:rPr>
                <m:sty m:val="p"/>
              </m:rPr>
              <m:t>b</m:t>
            </m:r>
            <m:r>
              <m:rPr>
                <m:sty m:val="p"/>
              </m:rPr>
              <m:t>r</m:t>
            </m:r>
          </m:sub>
        </m:sSub>
      </m:oMath>
      <w:r>
        <w:t xml:space="preserve"> </w:t>
      </w:r>
      <w:r>
        <w:t xml:space="preserve">specific to each WTC. We assumed that</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 </w:t>
      </w:r>
      <w:r>
        <w:t xml:space="preserve">did not change through time. Total dry branch mass at each survey point was the total mass of all individual branches.</w:t>
      </w:r>
    </w:p>
    <w:p>
      <w:pPr>
        <w:pStyle w:val="Heading2"/>
      </w:pPr>
      <w:bookmarkStart w:id="94" w:name="leaf-area-and-carbon-mass"/>
      <w:bookmarkEnd w:id="94"/>
      <w:r>
        <w:t xml:space="preserve">Leaf area and carbon mass</w:t>
      </w:r>
    </w:p>
    <w:p>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r>
        <w:br w:type="textWrapping"/>
      </w:r>
      <w:r>
        <w:t xml:space="preserve">(2)</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r>
        <w:br w:type="textWrapping"/>
      </w:r>
      <w:r>
        <w:t xml:space="preserve">(3)</w:t>
      </w:r>
    </w:p>
    <w:p>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sty m:val="p"/>
              </m:rPr>
              <m:t>L</m:t>
            </m:r>
            <m:r>
              <m:rPr>
                <m:sty m:val="p"/>
              </m:rPr>
              <m:t>,</m:t>
            </m:r>
            <m:r>
              <m:rPr>
                <m:sty m:val="p"/>
              </m:rPr>
              <m:t>T</m:t>
            </m:r>
          </m:sub>
        </m:sSub>
      </m:oMath>
      <w:r>
        <w:t xml:space="preserve"> </w:t>
      </w:r>
      <w:r>
        <w:t xml:space="preserve">and</w:t>
      </w:r>
      <w:r>
        <w:t xml:space="preserve"> </w:t>
      </w:r>
      <m:oMath>
        <m:sSub>
          <m:e>
            <m:r>
              <m:rPr>
                <m:sty m:val="p"/>
              </m:rPr>
              <m:t>A</m:t>
            </m:r>
          </m:e>
          <m:sub>
            <m:r>
              <m:rPr>
                <m:sty m:val="p"/>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95" w:name="tissue-c-allocation"/>
      <w:bookmarkEnd w:id="95"/>
      <w:r>
        <w:t xml:space="preserve">Tissue C allocation</w:t>
      </w:r>
    </w:p>
    <w:p>
      <w:r>
        <w:t xml:space="preserve">Tissue specific C allocation represents the fraction of net canopy C uptake distributed to a given tissue, which determines the change in biomass of that tissue through time such that:</w:t>
      </w:r>
    </w:p>
    <w:p>
      <w:r>
        <w:br w:type="textWrapping"/>
      </w:r>
      <w:r>
        <w:t xml:space="preserve">(4)</w:t>
      </w:r>
    </w:p>
    <w:p>
      <w:r>
        <w:t xml:space="preserve">where</w:t>
      </w:r>
      <w:r>
        <w:t xml:space="preserve"> </w:t>
      </w:r>
      <m:oMath>
        <m:sSub>
          <m:e>
            <m:r>
              <m:rPr>
                <m:sty m:val="p"/>
              </m:rPr>
              <m:t>M</m:t>
            </m:r>
          </m:e>
          <m:sub>
            <m:r>
              <m:rPr>
                <m:sty m:val="p"/>
              </m:rPr>
              <m:t>c</m:t>
            </m:r>
          </m:sub>
        </m:sSub>
      </m:oMath>
      <w:r>
        <w:t xml:space="preserve"> </w:t>
      </w:r>
      <w:r>
        <w:t xml:space="preserve">is the standing C mass of a component (g C),</w:t>
      </w:r>
      <w:r>
        <w:t xml:space="preserve"> </w:t>
      </w:r>
      <m:oMath>
        <m:sSub>
          <m:e>
            <m:r>
              <m:rPr>
                <m:sty m:val="p"/>
              </m:rPr>
              <m:t>a</m:t>
            </m:r>
          </m:e>
          <m:sub>
            <m:r>
              <m:rPr>
                <m:sty m:val="p"/>
              </m:rPr>
              <m:t>c</m:t>
            </m:r>
          </m:sub>
        </m:sSub>
      </m:oMath>
      <w:r>
        <w:t xml:space="preserve"> </w:t>
      </w:r>
      <w:r>
        <w:t xml:space="preserve">is the allocation to that component (0-1) and</w:t>
      </w:r>
      <w:r>
        <w:t xml:space="preserve"> </w:t>
      </w:r>
      <m:oMath>
        <m:sSub>
          <m:e>
            <m:r>
              <m:rPr>
                <m:sty m:val="p"/>
              </m:rPr>
              <m:t>λ</m:t>
            </m:r>
          </m:e>
          <m:sub>
            <m:r>
              <m:rPr>
                <m:sty m:val="p"/>
              </m:rPr>
              <m:t>c</m:t>
            </m:r>
          </m:sub>
        </m:sSub>
      </m:oMath>
      <w:r>
        <w:t xml:space="preserve"> </w:t>
      </w:r>
      <w:r>
        <w:t xml:space="preserve">is the component specific turnover (d</w:t>
      </w:r>
      <w:r>
        <w:rPr>
          <w:vertAlign w:val="superscript"/>
        </w:rPr>
        <w:t xml:space="preserve">-1</w:t>
      </w:r>
      <w:r>
        <w:t xml:space="preserve">).</w:t>
      </w:r>
    </w:p>
    <w:p>
      <w:r>
        <w:br w:type="textWrapping"/>
      </w:r>
      <w:r>
        <w:t xml:space="preserve">Here, total C allocation to leaves and aboveground wood (branches + bole) could be estimated from the sums of tissue C mass, net aboveground C flux and tissue turnover for each day of the experiment such that:</w:t>
      </w:r>
    </w:p>
    <w:p>
      <w:r>
        <w:br w:type="textWrapping"/>
      </w:r>
      <w:r>
        <w:t xml:space="preserve">(5)</w:t>
      </w:r>
    </w:p>
    <w:p>
      <w:r>
        <w:t xml:space="preserve">where</w:t>
      </w:r>
      <w:r>
        <w:t xml:space="preserve"> </w:t>
      </w:r>
      <m:oMath>
        <m:sSub>
          <m:e>
            <m:r>
              <m:rPr>
                <m:sty m:val="p"/>
              </m:rPr>
              <m:t>M</m:t>
            </m:r>
          </m:e>
          <m:sub>
            <m:r>
              <m:rPr>
                <m:sty m:val="p"/>
              </m:rPr>
              <m:t>c</m:t>
            </m:r>
            <m:r>
              <m:rPr>
                <m:sty m:val="p"/>
              </m:rPr>
              <m:t>,</m:t>
            </m:r>
            <m:r>
              <m:rPr>
                <m:sty m:val="p"/>
              </m:rPr>
              <m:t>T</m:t>
            </m:r>
          </m:sub>
        </m:sSub>
      </m:oMath>
      <w:r>
        <w:t xml:space="preserve"> </w:t>
      </w:r>
      <w:r>
        <w:t xml:space="preserve">is the total dry C mass of either leaves or wood and</w:t>
      </w:r>
      <w:r>
        <w:t xml:space="preserve"> </w:t>
      </w:r>
      <m:oMath>
        <m:sSub>
          <m:e>
            <m:r>
              <m:rPr>
                <m:sty m:val="p"/>
              </m:rPr>
              <m:t>F</m:t>
            </m:r>
          </m:e>
          <m:sub>
            <m:r>
              <m:rPr>
                <m:sty m:val="p"/>
              </m:rPr>
              <m:t>c</m:t>
            </m:r>
            <m:r>
              <m:rPr>
                <m:sty m:val="p"/>
              </m:rPr>
              <m:t>,</m:t>
            </m:r>
            <m:r>
              <m:rPr>
                <m:sty m:val="p"/>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sty m:val="p"/>
              </m:rPr>
              <m:t>l</m:t>
            </m:r>
          </m:sub>
        </m:sSub>
      </m:oMath>
      <w:r>
        <w:t xml:space="preserve">) was determined by combining measurements of harvested dry C mass of leaves (</w:t>
      </w:r>
      <m:oMath>
        <m:sSub>
          <m:e>
            <m:r>
              <m:rPr>
                <m:sty m:val="p"/>
              </m:rPr>
              <m:t>M</m:t>
            </m:r>
          </m:e>
          <m:sub>
            <m:r>
              <m:rPr>
                <m:sty m:val="p"/>
              </m:rPr>
              <m:t>l</m:t>
            </m:r>
            <m:r>
              <m:rPr>
                <m:sty m:val="p"/>
              </m:rPr>
              <m:t>,</m:t>
            </m:r>
            <m:r>
              <m:rPr>
                <m:sty m:val="p"/>
              </m:rPr>
              <m:t>T</m:t>
            </m:r>
          </m:sub>
        </m:sSub>
      </m:oMath>
      <w:r>
        <w:t xml:space="preserve">) with</w:t>
      </w:r>
      <w:r>
        <w:t xml:space="preserve"> </w:t>
      </w:r>
      <m:oMath>
        <m:sSub>
          <m:e>
            <m:r>
              <m:rPr>
                <m:sty m:val="p"/>
              </m:rPr>
              <m:t>F</m:t>
            </m:r>
          </m:e>
          <m:sub>
            <m:r>
              <m:rPr>
                <m:sty m:val="p"/>
              </m:rPr>
              <m:t>c</m:t>
            </m:r>
            <m:r>
              <m:rPr>
                <m:sty m:val="p"/>
              </m:rPr>
              <m:t>,</m:t>
            </m:r>
            <m:r>
              <m:rPr>
                <m:sty m:val="p"/>
              </m:rPr>
              <m:t>T</m:t>
            </m:r>
          </m:sub>
        </m:sSub>
      </m:oMath>
      <w:r>
        <w:t xml:space="preserve"> </w:t>
      </w:r>
      <w:r>
        <w:t xml:space="preserve">and total litterfall (</w:t>
      </w:r>
      <m:oMath>
        <m:sSub>
          <m:e>
            <m:r>
              <m:rPr>
                <m:sty m:val="p"/>
              </m:rPr>
              <m:t>L</m:t>
            </m:r>
          </m:e>
          <m:sub>
            <m:r>
              <m:rPr>
                <m:sty m:val="p"/>
              </m:rPr>
              <m:t>l</m:t>
            </m:r>
            <m:r>
              <m:rPr>
                <m:sty m:val="p"/>
              </m:rPr>
              <m:t>,</m:t>
            </m:r>
            <m:r>
              <m:rPr>
                <m:sty m:val="p"/>
              </m:rPr>
              <m:t>T</m:t>
            </m:r>
          </m:sub>
        </m:sSub>
      </m:oMath>
      <w:r>
        <w:t xml:space="preserve">), giving:</w:t>
      </w:r>
    </w:p>
    <w:p>
      <w:r>
        <w:br w:type="textWrapping"/>
      </w:r>
      <w:r>
        <w:t xml:space="preserve">(6)</w:t>
      </w:r>
    </w:p>
    <w:p>
      <w:r>
        <w:t xml:space="preserve">and then solving for leaf C allocation:</w:t>
      </w:r>
    </w:p>
    <w:p>
      <w:r>
        <w:br w:type="textWrapping"/>
      </w:r>
      <w:r>
        <w:t xml:space="preserve">(7)</w:t>
      </w:r>
    </w:p>
    <w:p>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96" w:name="total-belowground-carbon-allocation"/>
      <w:bookmarkEnd w:id="96"/>
      <w:r>
        <w:t xml:space="preserve">Total belowground carbon allocation</w:t>
      </w:r>
    </w:p>
    <w:p>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r>
        <w:br w:type="textWrapping"/>
      </w:r>
      <w:r>
        <w:t xml:space="preserve">(8)</w:t>
      </w:r>
    </w:p>
    <w:p>
      <w:r>
        <w:t xml:space="preserve">where</w:t>
      </w:r>
      <w:r>
        <w:t xml:space="preserve"> </w:t>
      </w:r>
      <m:oMath>
        <m:sSub>
          <m:e>
            <m:r>
              <m:rPr>
                <m:sty m:val="p"/>
              </m:rPr>
              <m:t>C</m:t>
            </m:r>
          </m:e>
          <m:sub>
            <m:r>
              <m:rPr>
                <m:sty m:val="p"/>
              </m:rPr>
              <m:t>a</m:t>
            </m:r>
            <m:r>
              <m:rPr>
                <m:sty m:val="p"/>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sty m:val="p"/>
              </m:rPr>
              <m:t>r</m:t>
            </m:r>
            <m:r>
              <m:rPr>
                <m:sty m:val="p"/>
              </m:rPr>
              <m:t>,</m:t>
            </m:r>
            <m:r>
              <m:rPr>
                <m:sty m:val="p"/>
              </m:rPr>
              <m:t>T</m:t>
            </m:r>
          </m:sub>
        </m:sSub>
      </m:oMath>
      <w:r>
        <w:t xml:space="preserve">) and the residual belowground C flux (</w:t>
      </w:r>
      <m:oMath>
        <m:sSub>
          <m:e>
            <m:r>
              <m:rPr>
                <m:sty m:val="p"/>
              </m:rPr>
              <m:t>F</m:t>
            </m:r>
          </m:e>
          <m:sub>
            <m:r>
              <m:rPr>
                <m:sty m:val="p"/>
              </m:rPr>
              <m:t>c</m:t>
            </m:r>
            <m:r>
              <m:rPr>
                <m:sty m:val="p"/>
              </m:rPr>
              <m:t>,</m:t>
            </m:r>
            <m:r>
              <m:rPr>
                <m:sty m:val="p"/>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sty m:val="p"/>
              </m:rPr>
              <m:t>a</m:t>
            </m:r>
            <m:r>
              <m:rPr>
                <m:sty m:val="p"/>
              </m:rPr>
              <m:t>b</m:t>
            </m:r>
          </m:sub>
        </m:sSub>
      </m:oMath>
      <w:r>
        <w:t xml:space="preserve"> </w:t>
      </w:r>
      <w:r>
        <w:t xml:space="preserve">through time combined with measured daily</w:t>
      </w:r>
      <w:r>
        <w:t xml:space="preserve"> </w:t>
      </w:r>
      <m:oMath>
        <m:sSub>
          <m:e>
            <m:r>
              <m:rPr>
                <m:sty m:val="p"/>
              </m:rPr>
              <m:t>F</m:t>
            </m:r>
          </m:e>
          <m:sub>
            <m:r>
              <m:rPr>
                <m:sty m:val="p"/>
              </m:rPr>
              <m:t>c</m:t>
            </m:r>
            <m:r>
              <m:rPr>
                <m:sty m:val="p"/>
              </m:rPr>
              <m:t>,</m:t>
            </m:r>
            <m:r>
              <m:rPr>
                <m:sty m:val="p"/>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sty m:val="p"/>
              </m:rPr>
              <m:t>c</m:t>
            </m:r>
            <m:r>
              <m:rPr>
                <m:sty m:val="p"/>
              </m:rPr>
              <m:t>,</m:t>
            </m:r>
            <m:r>
              <m:rPr>
                <m:sty m:val="p"/>
              </m:rPr>
              <m:t>r</m:t>
            </m:r>
          </m:sub>
        </m:sSub>
      </m:oMath>
      <w:r>
        <w:t xml:space="preserve"> </w:t>
      </w:r>
      <w:r>
        <w:t xml:space="preserve">was calculated at the final harvest.</w:t>
      </w:r>
    </w:p>
    <w:p>
      <w:pPr>
        <w:pStyle w:val="Heading2"/>
      </w:pPr>
      <w:bookmarkStart w:id="97" w:name="mass-balance-relationships-between-textf_cd-and-carbon-allocation."/>
      <w:bookmarkEnd w:id="97"/>
      <w:r>
        <w:t xml:space="preserve">Mass balance relationships between</w:t>
      </w:r>
      <w:r>
        <w:t xml:space="preserve"> </w:t>
      </w:r>
      <m:oMath>
        <m:sSub>
          <m:e>
            <m:r>
              <m:rPr>
                <m:sty m:val="p"/>
              </m:rPr>
              <m:t>F</m:t>
            </m:r>
          </m:e>
          <m:sub>
            <m:r>
              <m:rPr>
                <m:sty m:val="p"/>
              </m:rPr>
              <m:t>c</m:t>
            </m:r>
            <m:r>
              <m:rPr>
                <m:sty m:val="p"/>
              </m:rPr>
              <m:t>,</m:t>
            </m:r>
            <m:r>
              <m:rPr>
                <m:sty m:val="p"/>
              </m:rPr>
              <m:t>d</m:t>
            </m:r>
          </m:sub>
        </m:sSub>
      </m:oMath>
      <w:r>
        <w:t xml:space="preserve"> </w:t>
      </w:r>
      <w:r>
        <w:t xml:space="preserve">and carbon allocation.</w:t>
      </w:r>
    </w:p>
    <w:p>
      <w:r>
        <w:t xml:space="preserve">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sty m:val="p"/>
              </m:rPr>
              <m:t>a</m:t>
            </m:r>
            <m:r>
              <m:rPr>
                <m:sty m:val="p"/>
              </m:rPr>
              <m:t>b</m:t>
            </m:r>
          </m:sub>
        </m:sSub>
      </m:oMath>
      <w:r>
        <w:t xml:space="preserve"> </w:t>
      </w:r>
      <w:r>
        <w:t xml:space="preserve">on any given day. The contribution of each aboveground component to 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sty m:val="p"/>
              </m:rPr>
              <m:t>c</m:t>
            </m:r>
            <m:r>
              <m:rPr>
                <m:sty m:val="p"/>
              </m:rPr>
              <m:t>,</m:t>
            </m:r>
            <m:r>
              <m:rPr>
                <m:sty m:val="p"/>
              </m:rPr>
              <m:t>d</m:t>
            </m:r>
            <m:r>
              <m:rPr>
                <m:sty m:val="p"/>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sty m:val="p"/>
              </m:rPr>
              <m:t>r</m:t>
            </m:r>
            <m:r>
              <m:rPr>
                <m:sty m:val="p"/>
              </m:rPr>
              <m:t>,</m:t>
            </m:r>
            <m:r>
              <m:rPr>
                <m:sty m:val="p"/>
              </m:rPr>
              <m:t>T</m:t>
            </m:r>
          </m:sub>
        </m:sSub>
      </m:oMath>
      <w:r>
        <w:t xml:space="preserve"> </w:t>
      </w:r>
      <w:r>
        <w:t xml:space="preserve">from</w:t>
      </w:r>
      <w:r>
        <w:t xml:space="preserve"> </w:t>
      </w:r>
      <m:oMath>
        <m:sSub>
          <m:e>
            <m:r>
              <m:rPr>
                <m:sty m:val="p"/>
              </m:rPr>
              <m:t>C</m:t>
            </m:r>
          </m:e>
          <m:sub>
            <m:r>
              <m:rPr>
                <m:sty m:val="p"/>
              </m:rPr>
              <m:t>a</m:t>
            </m:r>
            <m:r>
              <m:rPr>
                <m:sty m:val="p"/>
              </m:rPr>
              <m:t>b</m:t>
            </m:r>
          </m:sub>
        </m:sSub>
      </m:oMath>
      <w:r>
        <w:t xml:space="preserve"> </w:t>
      </w:r>
      <w:r>
        <w:t xml:space="preserve">on the last day of the 11 month period.</w:t>
      </w:r>
    </w:p>
    <w:p>
      <w:pPr>
        <w:pStyle w:val="Heading2"/>
      </w:pPr>
      <w:bookmarkStart w:id="98" w:name="data-analysis-2"/>
      <w:bookmarkEnd w:id="98"/>
      <w:r>
        <w:t xml:space="preserve">Data analysis</w:t>
      </w:r>
    </w:p>
    <w:p>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w:t>
      </w:r>
      <w:r>
        <w:t xml:space="preserve">R Development Core Team</w:t>
      </w:r>
      <w:r>
        <w:t xml:space="preserve"> </w:t>
      </w:r>
      <w:r>
        <w:t xml:space="preserve">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99" w:name="results-2"/>
      <w:bookmarkEnd w:id="99"/>
      <w:r>
        <w:t xml:space="preserve">Results</w:t>
      </w:r>
    </w:p>
    <w:p>
      <w:pPr>
        <w:pStyle w:val="Heading2"/>
      </w:pPr>
      <w:bookmarkStart w:id="100" w:name="total-aboveground-carbon-flux-whole-tree-c-mass-and-leaf-area"/>
      <w:bookmarkEnd w:id="100"/>
      <w:r>
        <w:t xml:space="preserve">Total aboveground carbon flux, whole tree C mass and leaf area</w:t>
      </w:r>
    </w:p>
    <w:p>
      <w:r>
        <w:t xml:space="preserve">Both whole tree C and</w:t>
      </w:r>
      <w:r>
        <w:t xml:space="preserve"> </w:t>
      </w:r>
      <m:oMath>
        <m:sSub>
          <m:e>
            <m:r>
              <m:rPr>
                <m:sty m:val="p"/>
              </m:rPr>
              <m:t>C</m:t>
            </m:r>
          </m:e>
          <m:sub>
            <m:r>
              <m:rPr>
                <m:sty m:val="p"/>
              </m:rPr>
              <m:t>a</m:t>
            </m:r>
            <m:r>
              <m:rPr>
                <m:sty m:val="p"/>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sty m:val="p"/>
              </m:rPr>
              <m:t>c</m:t>
            </m:r>
            <m:r>
              <m:rPr>
                <m:sty m:val="p"/>
              </m:rPr>
              <m:t>,</m:t>
            </m:r>
            <m:r>
              <m:rPr>
                <m:sty m:val="p"/>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sty m:val="p"/>
              </m:rPr>
              <m:t>a</m:t>
            </m:r>
            <m:r>
              <m:rPr>
                <m:sty m:val="p"/>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sty m:val="p"/>
              </m:rPr>
              <m:t>c</m:t>
            </m:r>
            <m:r>
              <m:rPr>
                <m:sty m:val="p"/>
              </m:rPr>
              <m:t>,</m:t>
            </m:r>
            <m:r>
              <m:rPr>
                <m:sty m:val="p"/>
              </m:rPr>
              <m:t>T</m:t>
            </m:r>
          </m:sub>
        </m:sSub>
      </m:oMath>
      <w:r>
        <w:t xml:space="preserve">.</w:t>
      </w:r>
    </w:p>
    <w:p>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sty m:val="p"/>
              </m:rPr>
              <m:t>c</m:t>
            </m:r>
            <m:r>
              <m:rPr>
                <m:sty m:val="p"/>
              </m:rPr>
              <m:t>,</m:t>
            </m:r>
            <m:r>
              <m:rPr>
                <m:sty m:val="p"/>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01" w:name="harvested-tissue-carbon-mass-and-biomass-partitioning"/>
      <w:bookmarkEnd w:id="101"/>
      <w:r>
        <w:t xml:space="preserve">Harvested tissue carbon mass and biomass partitioning</w:t>
      </w:r>
    </w:p>
    <w:p>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02" w:name="aboveground-carbon-allocation"/>
      <w:bookmarkEnd w:id="102"/>
      <w:r>
        <w:t xml:space="preserve">Aboveground carbon allocation</w:t>
      </w:r>
    </w:p>
    <w:p>
      <w:r>
        <w:t xml:space="preserve">Treatment effects on tissue C allocation were determined from C mass estimates obtained from allometry over the final eleven months of the experiment and</w:t>
      </w:r>
      <w:r>
        <w:t xml:space="preserve"> </w:t>
      </w:r>
      <m:oMath>
        <m:sSub>
          <m:e>
            <m:r>
              <m:rPr>
                <m:sty m:val="p"/>
              </m:rPr>
              <m:t>F</m:t>
            </m:r>
          </m:e>
          <m:sub>
            <m:r>
              <m:rPr>
                <m:sty m:val="p"/>
              </m:rPr>
              <m:t>c</m:t>
            </m:r>
            <m:r>
              <m:rPr>
                <m:sty m:val="p"/>
              </m:rPr>
              <m:t>,</m:t>
            </m:r>
            <m:r>
              <m:rPr>
                <m:sty m:val="p"/>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sty m:val="p"/>
              </m:rPr>
              <m:t>c</m:t>
            </m:r>
            <m:r>
              <m:rPr>
                <m:sty m:val="p"/>
              </m:rPr>
              <m:t>,</m:t>
            </m:r>
            <m:r>
              <m:rPr>
                <m:sty m:val="p"/>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03" w:name="belowground-carbon-allocation"/>
      <w:bookmarkEnd w:id="103"/>
      <w:r>
        <w:t xml:space="preserve">Belowground carbon allocation</w:t>
      </w:r>
    </w:p>
    <w:p>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sty m:val="p"/>
              </m:rPr>
              <m:t>c</m:t>
            </m:r>
            <m:r>
              <m:rPr>
                <m:sty m:val="p"/>
              </m:rPr>
              <m:t>,</m:t>
            </m:r>
            <m:r>
              <m:rPr>
                <m:sty m:val="p"/>
              </m:rPr>
              <m:t>T</m:t>
            </m:r>
          </m:sub>
        </m:sSub>
      </m:oMath>
      <w:r>
        <w:t xml:space="preserve"> </w:t>
      </w:r>
      <w:r>
        <w:t xml:space="preserve">(Figure 6). As mass balance must be achieved, TBCA and the residual belowground C flux (</w:t>
      </w:r>
      <m:oMath>
        <m:sSub>
          <m:e>
            <m:r>
              <m:rPr>
                <m:sty m:val="p"/>
              </m:rPr>
              <m:t>F</m:t>
            </m:r>
          </m:e>
          <m:sub>
            <m:r>
              <m:rPr>
                <m:sty m:val="p"/>
              </m:rPr>
              <m:t>c</m:t>
            </m:r>
            <m:r>
              <m:rPr>
                <m:sty m:val="p"/>
              </m:rPr>
              <m:t>,</m:t>
            </m:r>
            <m:r>
              <m:rPr>
                <m:sty m:val="p"/>
              </m:rPr>
              <m:t>r</m:t>
            </m:r>
          </m:sub>
        </m:sSub>
      </m:oMath>
      <w:r>
        <w:t xml:space="preserve">) were estimated from Figure 6 as residuals between</w:t>
      </w:r>
      <w:r>
        <w:t xml:space="preserve"> </w:t>
      </w:r>
      <m:oMath>
        <m:sSub>
          <m:e>
            <m:r>
              <m:rPr>
                <m:sty m:val="p"/>
              </m:rPr>
              <m:t>F</m:t>
            </m:r>
          </m:e>
          <m:sub>
            <m:r>
              <m:rPr>
                <m:sty m:val="p"/>
              </m:rPr>
              <m:t>c</m:t>
            </m:r>
            <m:r>
              <m:rPr>
                <m:sty m:val="p"/>
              </m:rPr>
              <m:t>,</m:t>
            </m:r>
            <m:r>
              <m:rPr>
                <m:sty m:val="p"/>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sty m:val="p"/>
              </m:rPr>
              <m:t>c</m:t>
            </m:r>
            <m:r>
              <m:rPr>
                <m:sty m:val="p"/>
              </m:rPr>
              <m:t>,</m:t>
            </m:r>
            <m:r>
              <m:rPr>
                <m:sty m:val="p"/>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sty m:val="p"/>
              </m:rPr>
              <m:t>c</m:t>
            </m:r>
            <m:r>
              <m:rPr>
                <m:sty m:val="p"/>
              </m:rPr>
              <m:t>,</m:t>
            </m:r>
            <m:r>
              <m:rPr>
                <m:sty m:val="p"/>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sty m:val="p"/>
              </m:rPr>
              <m:t>c</m:t>
            </m:r>
            <m:r>
              <m:rPr>
                <m:sty m:val="p"/>
              </m:rPr>
              <m:t>,</m:t>
            </m:r>
            <m:r>
              <m:rPr>
                <m:sty m:val="p"/>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04" w:name="discussion-2"/>
      <w:bookmarkEnd w:id="104"/>
      <w:r>
        <w:t xml:space="preserve">Discussion</w:t>
      </w:r>
    </w:p>
    <w:p>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05" w:name="relationships-between-tree-c-flux-leaf-area-and-tree-c-mass"/>
      <w:bookmarkEnd w:id="105"/>
      <w:r>
        <w:t xml:space="preserve">Relationships between tree C flux, leaf area and tree C mass</w:t>
      </w:r>
    </w:p>
    <w:p>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w:t>
      </w:r>
      <w:r>
        <w:t xml:space="preserve">De Pury</w:t>
      </w:r>
      <w:r>
        <w:t xml:space="preserve"> </w:t>
      </w:r>
      <w:r>
        <w:t xml:space="preserve">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06" w:name="responses-of-biomass-partitioning-and-c-allocation-to-climate-change"/>
      <w:bookmarkEnd w:id="106"/>
      <w:r>
        <w:t xml:space="preserve">Responses of biomass partitioning and C allocation to climate change</w:t>
      </w:r>
    </w:p>
    <w:p>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w:t>
      </w:r>
      <w:r>
        <w:t xml:space="preserve">ö</w:t>
      </w:r>
      <w:r>
        <w:t xml:space="preserve">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w:t>
      </w:r>
      <w:r>
        <w:t xml:space="preserve">ö</w:t>
      </w:r>
      <w:r>
        <w:t xml:space="preserve">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w:t>
      </w:r>
      <w:r>
        <w:t xml:space="preserve">ü</w:t>
      </w:r>
      <w:r>
        <w:t xml:space="preserve">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sty m:val="p"/>
              </m:rPr>
              <m:t>c</m:t>
            </m:r>
            <m:r>
              <m:rPr>
                <m:sty m:val="p"/>
              </m:rPr>
              <m:t>,</m:t>
            </m:r>
            <m:r>
              <m:rPr>
                <m:sty m:val="p"/>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w:t>
      </w:r>
      <w:r>
        <w:t xml:space="preserve">ö</w:t>
      </w:r>
      <w:r>
        <w:t xml:space="preserve">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07" w:name="tbca-response-to-climate-change-in-a-single-tree-ecosystem"/>
      <w:bookmarkEnd w:id="107"/>
      <w:r>
        <w:t xml:space="preserve">TBCA response to climate change in a single-tree ecosystem</w:t>
      </w:r>
    </w:p>
    <w:p>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08" w:name="conclusions-3"/>
      <w:bookmarkEnd w:id="108"/>
      <w:r>
        <w:t xml:space="preserve">Conclusions</w:t>
      </w:r>
    </w:p>
    <w:p>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w:t>
      </w:r>
      <w:r>
        <w:t xml:space="preserve">De Kauwe</w:t>
      </w:r>
      <w:r>
        <w:t xml:space="preserve"> </w:t>
      </w:r>
      <w:r>
        <w:t xml:space="preserve">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09" w:name="list-of-tables-2"/>
      <w:bookmarkEnd w:id="109"/>
      <w:r>
        <w:t xml:space="preserve">List of 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0" w:name="list-of-figures-2"/>
      <w:bookmarkEnd w:id="110"/>
      <w:r>
        <w:t xml:space="preserve">List of Figures</w:t>
      </w:r>
    </w:p>
    <w:p>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sty m:val="p"/>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sty m:val="p"/>
              </m:rPr>
              <m:t>c</m:t>
            </m:r>
            <m:r>
              <m:rPr>
                <m:sty m:val="p"/>
              </m:rPr>
              <m:t>,</m:t>
            </m:r>
            <m:r>
              <m:rPr>
                <m:sty m:val="p"/>
              </m:rPr>
              <m:t>T</m:t>
            </m:r>
          </m:sub>
        </m:sSub>
      </m:oMath>
      <w:r>
        <w:t xml:space="preserve"> </w:t>
      </w:r>
      <w:r>
        <w:t xml:space="preserve">and total aboveground C mass.</w:t>
      </w:r>
    </w:p>
    <w:p>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sty m:val="p"/>
              </m:rPr>
              <m:t>c</m:t>
            </m:r>
            <m:r>
              <m:rPr>
                <m:sty m:val="p"/>
              </m:rPr>
              <m:t>,</m:t>
            </m:r>
            <m:r>
              <m:rPr>
                <m:sty m:val="p"/>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sty m:val="p"/>
              </m:rPr>
              <m:t>c</m:t>
            </m:r>
            <m:r>
              <m:rPr>
                <m:sty m:val="p"/>
              </m:rPr>
              <m:t>,</m:t>
            </m:r>
            <m:r>
              <m:rPr>
                <m:sty m:val="p"/>
              </m:rPr>
              <m:t>r</m:t>
            </m:r>
          </m:sub>
        </m:sSub>
      </m:oMath>
      <w:r>
        <w:t xml:space="preserve"> </w:t>
      </w:r>
      <w:r>
        <w:t xml:space="preserve">were calculated as the residual between TBCA and root C mass predicted on the last date of the eleven month period.</w:t>
      </w:r>
    </w:p>
    <w:p>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11" w:name="tables-2"/>
      <w:bookmarkEnd w:id="111"/>
      <w:r>
        <w:t xml:space="preserve">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2" w:name="references"/>
      <w:bookmarkEnd w:id="112"/>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w:t>
      </w:r>
      <w:r>
        <w:rPr>
          <w:vertAlign w:val="subscript"/>
        </w:rPr>
        <w:t xml:space="preserve">2</w:t>
      </w:r>
      <w:r>
        <w:t xml:space="preserve">, N, and diversity on total belowground carbon allocation and ecosystem carbon storage in a grassland community. Ecosystems 12:1037–1052.</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w:t>
      </w:r>
      <w:r>
        <w:rPr>
          <w:vertAlign w:val="subscript"/>
        </w:rPr>
        <w:t xml:space="preserve">2</w:t>
      </w:r>
      <w:r>
        <w:t xml:space="preserve">-photosynthesis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Atwell BJ, Henery ML, Rogers GS, Seneweera SP, Treadwell M, Conroy JP (2007) Canopy development and hydraulic function in</w:t>
      </w:r>
      <w:r>
        <w:t xml:space="preserve"> </w:t>
      </w:r>
      <w:r>
        <w:rPr>
          <w:i/>
        </w:rPr>
        <w:t xml:space="preserve">Eucalyptus tereticornis</w:t>
      </w:r>
      <w:r>
        <w:t xml:space="preserve"> </w:t>
      </w:r>
      <w:r>
        <w:t xml:space="preserve">grown in drought in CO</w:t>
      </w:r>
      <w:r>
        <w:rPr>
          <w:vertAlign w:val="subscript"/>
        </w:rPr>
        <w:t xml:space="preserve">2</w:t>
      </w:r>
      <w:r>
        <w:t xml:space="preserve">-enriched atmospheres. Functional Plant Biology 34:1137–1149.</w:t>
      </w:r>
    </w:p>
    <w:p>
      <w:pPr>
        <w:pStyle w:val="Bibliography"/>
      </w:pPr>
      <w:r>
        <w:t xml:space="preserve">Australia’s State of the Forests Report (2013).</w:t>
      </w:r>
      <w:r>
        <w:t xml:space="preserve"> </w:t>
      </w:r>
      <w:hyperlink r:id="rId113">
        <w:r>
          <w:rPr>
            <w:rStyle w:val="Link"/>
          </w:rPr>
          <w:t xml:space="preserve">http://www.agriculture.gov.au/abares/forestsaustralia</w:t>
        </w:r>
      </w:hyperlink>
      <w:r>
        <w:t xml:space="preserve"> </w:t>
      </w:r>
      <w:r>
        <w:t xml:space="preserve">(1 January 2015, date last accessed ).</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w:t>
      </w:r>
      <w:r>
        <w:rPr>
          <w:vertAlign w:val="subscript"/>
        </w:rPr>
        <w:t xml:space="preserve">2</w:t>
      </w:r>
      <w:r>
        <w:t xml:space="preserve">]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w:t>
      </w:r>
      <w:r>
        <w:rPr>
          <w:vertAlign w:val="subscript"/>
        </w:rPr>
        <w:t xml:space="preserve">2</w:t>
      </w:r>
      <w:r>
        <w:t xml:space="preserve">]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 Agricultural and Forest Meteorology 150:941–951.</w:t>
      </w:r>
    </w:p>
    <w:p>
      <w:pPr>
        <w:pStyle w:val="Bibliography"/>
      </w:pPr>
      <w:r>
        <w:t xml:space="preserve">Bates D, Maechler M, Bolker B, Walker S (2013) lme4: Linear mixed-effects models using Eigen and S4. R package version 1</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Measuring tree root respiration using 13C natural abundance: rooting medium matters. New Phytologist 167:297–307.</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114">
        <w:r>
          <w:rPr>
            <w:rStyle w:val="Link"/>
          </w:rPr>
          <w:t xml:space="preserve">http://www.remkoduursma.com/yplantqmc, https://www.bitbucket.org/remkoduursma/yplantqmc/</w:t>
        </w:r>
      </w:hyperlink>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w:t>
      </w:r>
      <w:r>
        <w:rPr>
          <w:vertAlign w:val="subscript"/>
        </w:rPr>
        <w:t xml:space="preserve">2</w:t>
      </w:r>
      <w:r>
        <w:t xml:space="preserve"> </w:t>
      </w:r>
      <w:r>
        <w:t xml:space="preserve">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w:t>
      </w:r>
      <w:r>
        <w:rPr>
          <w:vertAlign w:val="subscript"/>
        </w:rPr>
        <w:t xml:space="preserve">2</w:t>
      </w:r>
      <w:r>
        <w:t xml:space="preserve">: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w:t>
      </w:r>
    </w:p>
    <w:p>
      <w:pPr>
        <w:pStyle w:val="Bibliography"/>
      </w:pPr>
      <w:r>
        <w:t xml:space="preserve">Drake BG, Gonz</w:t>
      </w:r>
      <w:r>
        <w:t xml:space="preserve">à</w:t>
      </w:r>
      <w:r>
        <w:t xml:space="preserve">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10:e0143346.</w:t>
      </w:r>
    </w:p>
    <w:p>
      <w:pPr>
        <w:pStyle w:val="Bibliography"/>
      </w:pPr>
      <w:r>
        <w:t xml:space="preserve">Duursma RA, Barton CVM, Eamus D, Medlyn BE, Ellsworth DS, Forster MA, Tissue DT, Linder S, McMurtrie RE (2011) Rooting depth explains [CO</w:t>
      </w:r>
      <w:r>
        <w:rPr>
          <w:vertAlign w:val="subscript"/>
        </w:rPr>
        <w:t xml:space="preserve">2</w:t>
      </w:r>
      <w:r>
        <w:t xml:space="preserve">] x drought interaction in</w:t>
      </w:r>
      <w:r>
        <w:t xml:space="preserve"> </w:t>
      </w:r>
      <w:r>
        <w:rPr>
          <w:i/>
        </w:rPr>
        <w:t xml:space="preserve">Eucalyptus saligna</w:t>
      </w:r>
      <w:r>
        <w:t xml:space="preserve">. Tree physiology:tpr030.</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w:t>
      </w:r>
      <w:r>
        <w:t xml:space="preserve"> </w:t>
      </w:r>
      <w:r>
        <w:t xml:space="preserve">Von Caemmerer</w:t>
      </w:r>
      <w:r>
        <w:t xml:space="preserve"> </w:t>
      </w:r>
      <w:r>
        <w:t xml:space="preserve">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w:t>
      </w:r>
      <w:r>
        <w:rPr>
          <w:vertAlign w:val="subscript"/>
        </w:rPr>
        <w:t xml:space="preserve">2</w:t>
      </w:r>
      <w:r>
        <w:t xml:space="preserve"> </w:t>
      </w:r>
      <w:r>
        <w:t xml:space="preserve">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w:t>
      </w:r>
      <w:r>
        <w:t xml:space="preserve">ó</w:t>
      </w:r>
      <w:r>
        <w:t xml:space="preserve"> </w:t>
      </w:r>
      <w:r>
        <w:t xml:space="preserve">M (2007) Rapid variations of mesophyll conductance in response to changes in CO</w:t>
      </w:r>
      <w:r>
        <w:rPr>
          <w:vertAlign w:val="subscript"/>
        </w:rPr>
        <w:t xml:space="preserve">2</w:t>
      </w:r>
      <w:r>
        <w:t xml:space="preserve"> </w:t>
      </w:r>
      <w:r>
        <w:t xml:space="preserve">concentration around leaves. Plant, Cell &amp; Environment 30:1284–1298.</w:t>
      </w:r>
    </w:p>
    <w:p>
      <w:pPr>
        <w:pStyle w:val="Bibliography"/>
      </w:pPr>
      <w:r>
        <w:t xml:space="preserve">Flexas J, Ribas-Carb</w:t>
      </w:r>
      <w:r>
        <w:t xml:space="preserve">ó</w:t>
      </w:r>
      <w:r>
        <w:t xml:space="preserve"> </w:t>
      </w:r>
      <w:r>
        <w:t xml:space="preserve">M, Diaz-Espejo A, Galmes J, Medrano H (2008) Mesophyll conductance to CO</w:t>
      </w:r>
      <w:r>
        <w:rPr>
          <w:vertAlign w:val="subscript"/>
        </w:rPr>
        <w:t xml:space="preserve">2</w:t>
      </w:r>
      <w:r>
        <w:t xml:space="preserve">: current knowledge and future prospects. Plant, Cell &amp; Environment 31:602–621.</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 Plant and Cell Physiology 45:521–529.</w:t>
      </w:r>
    </w:p>
    <w:p>
      <w:pPr>
        <w:pStyle w:val="Bibliography"/>
      </w:pPr>
      <w:r>
        <w:t xml:space="preserve">Handa IT, K</w:t>
      </w:r>
      <w:r>
        <w:t xml:space="preserve">ö</w:t>
      </w:r>
      <w:r>
        <w:t xml:space="preserve">rner C, H</w:t>
      </w:r>
      <w:r>
        <w:t xml:space="preserve">ä</w:t>
      </w:r>
      <w:r>
        <w:t xml:space="preserve">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w:t>
      </w:r>
      <w:r>
        <w:rPr>
          <w:vertAlign w:val="subscript"/>
        </w:rPr>
        <w:t xml:space="preserve">2</w:t>
      </w:r>
      <w:r>
        <w:t xml:space="preserve"> </w:t>
      </w:r>
      <w:r>
        <w:t xml:space="preserve">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15">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116">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CM (2010) Digging deeper: fine-root responses to rising atmospheric CO</w:t>
      </w:r>
      <w:r>
        <w:rPr>
          <w:vertAlign w:val="subscript"/>
        </w:rPr>
        <w:t xml:space="preserve">2</w:t>
      </w:r>
      <w:r>
        <w:t xml:space="preserve"> </w:t>
      </w:r>
      <w:r>
        <w:t xml:space="preserve">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Kitao M, Lei TT, Koike T, Kayama M, Tobita H, Maruyama Y (2007) Interaction of drought and elevated CO</w:t>
      </w:r>
      <w:r>
        <w:rPr>
          <w:vertAlign w:val="subscript"/>
        </w:rPr>
        <w:t xml:space="preserve">2</w:t>
      </w:r>
      <w:r>
        <w:t xml:space="preserve"> </w:t>
      </w:r>
      <w:r>
        <w:t xml:space="preserve">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w:t>
      </w:r>
      <w:r>
        <w:rPr>
          <w:vertAlign w:val="subscript"/>
        </w:rPr>
        <w:t xml:space="preserve">2</w:t>
      </w:r>
      <w:r>
        <w:t xml:space="preserve"> </w:t>
      </w:r>
      <w:r>
        <w:t xml:space="preserve">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K</w:t>
      </w:r>
      <w:r>
        <w:t xml:space="preserve">ö</w:t>
      </w:r>
      <w:r>
        <w:t xml:space="preserve">rner C, Asshoff R, Bignucolo O, H</w:t>
      </w:r>
      <w:r>
        <w:t xml:space="preserve">ä</w:t>
      </w:r>
      <w:r>
        <w:t xml:space="preserve">ttenschwiler S, Keel SG, Pel</w:t>
      </w:r>
      <w:r>
        <w:t xml:space="preserve">á</w:t>
      </w:r>
      <w:r>
        <w:t xml:space="preserve">ez-Riedl S, Pepin S, Siegwolf RTW, Zotz G (2005) Carbon flux and growth in mature deciduous forest trees exposed to elevated CO</w:t>
      </w:r>
      <w:r>
        <w:rPr>
          <w:vertAlign w:val="subscript"/>
        </w:rPr>
        <w:t xml:space="preserve">2</w:t>
      </w:r>
      <w:r>
        <w:t xml:space="preserve">. Science 309:1360–1362.</w:t>
      </w:r>
    </w:p>
    <w:p>
      <w:pPr>
        <w:pStyle w:val="Bibliography"/>
      </w:pPr>
      <w:r>
        <w:t xml:space="preserve">K</w:t>
      </w:r>
      <w:r>
        <w:t xml:space="preserve">ü</w:t>
      </w:r>
      <w:r>
        <w:t xml:space="preserve">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w:t>
      </w:r>
      <w:r>
        <w:t xml:space="preserve"> </w:t>
      </w:r>
      <w:r>
        <w:t xml:space="preserve">X, Lacointe A, Escobar-Guti</w:t>
      </w:r>
      <w:r>
        <w:t xml:space="preserve">é</w:t>
      </w:r>
      <w:r>
        <w:t xml:space="preserve">rrez A,</w:t>
      </w:r>
      <w:r>
        <w:t xml:space="preserve"> </w:t>
      </w:r>
      <w:r>
        <w:t xml:space="preserve">Le Diz</w:t>
      </w:r>
      <w:r>
        <w:t xml:space="preserve">è</w:t>
      </w:r>
      <w:r>
        <w:t xml:space="preserve">s</w:t>
      </w:r>
      <w:r>
        <w:t xml:space="preserve"> </w:t>
      </w:r>
      <w:r>
        <w:t xml:space="preserve">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w:t>
      </w:r>
      <w:r>
        <w:rPr>
          <w:vertAlign w:val="subscript"/>
        </w:rPr>
        <w:t xml:space="preserve">2</w:t>
      </w:r>
      <w:r>
        <w:t xml:space="preserve"> </w:t>
      </w:r>
      <w:r>
        <w:t xml:space="preserve">diffusion from stomata to the sites of carboxylation in leaves of woody species. Plant, Cell &amp; Environment 15:873–899.</w:t>
      </w:r>
    </w:p>
    <w:p>
      <w:pPr>
        <w:pStyle w:val="Bibliography"/>
      </w:pPr>
      <w:r>
        <w:t xml:space="preserve">Loewe A, Einig W, Shi L, Dizengremel P, Hampp R (2000) Mycorrhiza formation and elevated CO</w:t>
      </w:r>
      <w:r>
        <w:rPr>
          <w:vertAlign w:val="subscript"/>
        </w:rPr>
        <w:t xml:space="preserve">2</w:t>
      </w:r>
      <w:r>
        <w:t xml:space="preserve"> </w:t>
      </w:r>
      <w:r>
        <w:t xml:space="preserve">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w:t>
      </w:r>
      <w:r>
        <w:t xml:space="preserve">ä</w:t>
      </w:r>
      <w:r>
        <w:t xml:space="preserve">rm</w:t>
      </w:r>
      <w:r>
        <w:t xml:space="preserve">ä</w:t>
      </w:r>
      <w:r>
        <w:t xml:space="preserve"> </w:t>
      </w:r>
      <w:r>
        <w:t xml:space="preserve">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w:t>
      </w:r>
      <w:r>
        <w:t xml:space="preserve">ä</w:t>
      </w:r>
      <w:r>
        <w:t xml:space="preserve">kel</w:t>
      </w:r>
      <w:r>
        <w:t xml:space="preserve">ä</w:t>
      </w:r>
      <w:r>
        <w:t xml:space="preserve"> </w:t>
      </w:r>
      <w:r>
        <w:t xml:space="preserve">A (1997) A carbon balance model of growth and self-pruning in trees based on structural relationships. Forest Science 43:7–24.</w:t>
      </w:r>
    </w:p>
    <w:p>
      <w:pPr>
        <w:pStyle w:val="Bibliography"/>
      </w:pPr>
      <w:r>
        <w:t xml:space="preserve">M</w:t>
      </w:r>
      <w:r>
        <w:t xml:space="preserve">ä</w:t>
      </w:r>
      <w:r>
        <w:t xml:space="preserve">kel</w:t>
      </w:r>
      <w:r>
        <w:t xml:space="preserve">ä</w:t>
      </w:r>
      <w:r>
        <w:t xml:space="preserve"> </w:t>
      </w:r>
      <w:r>
        <w:t xml:space="preserve">A (2012) On guiding principles for carbon allocation in eco-physiological growth models. Tree physiology 32:644–647.</w:t>
      </w:r>
    </w:p>
    <w:p>
      <w:pPr>
        <w:pStyle w:val="Bibliography"/>
      </w:pPr>
      <w:r>
        <w:t xml:space="preserve">McCarthy HR, Oren R, Finzi AC, Johnsen KH (2006) Canopy leaf area constrains [CO</w:t>
      </w:r>
      <w:r>
        <w:rPr>
          <w:vertAlign w:val="subscript"/>
        </w:rPr>
        <w:t xml:space="preserve">2</w:t>
      </w:r>
      <w:r>
        <w:t xml:space="preserve">]-induced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w:t>
      </w:r>
      <w:r>
        <w:t xml:space="preserve">ä</w:t>
      </w:r>
      <w:r>
        <w:t xml:space="preserve">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w:t>
      </w:r>
      <w:r>
        <w:t xml:space="preserve">á</w:t>
      </w:r>
      <w:r>
        <w:t xml:space="preserve">ndez R, Maestro-Mart</w:t>
      </w:r>
      <w:r>
        <w:t xml:space="preserve">í</w:t>
      </w:r>
      <w:r>
        <w:t xml:space="preserve">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w:t>
      </w:r>
      <w:r>
        <w:rPr>
          <w:vertAlign w:val="subscript"/>
        </w:rPr>
        <w:t xml:space="preserve">2</w:t>
      </w:r>
      <w:r>
        <w:t xml:space="preserve"> </w:t>
      </w:r>
      <w:r>
        <w:t xml:space="preserve">fumigation. Ecology letters 14:187–194.</w:t>
      </w:r>
    </w:p>
    <w:p>
      <w:pPr>
        <w:pStyle w:val="Bibliography"/>
      </w:pPr>
      <w:r>
        <w:t xml:space="preserve">Picon C, Ferhi A, Guehl J-M (1997) Concentration and</w:t>
      </w:r>
      <w:r>
        <w:t xml:space="preserve"> </w:t>
      </w:r>
      <m:oMath>
        <m:r>
          <m:rPr>
            <m:sty m:val="p"/>
          </m:rPr>
          <m:t>σ</m:t>
        </m:r>
      </m:oMath>
      <w:r>
        <w:t xml:space="preserve">13C of leaf carbohydrates in relation to gas exchange in</w:t>
      </w:r>
      <w:r>
        <w:t xml:space="preserve"> </w:t>
      </w:r>
      <w:r>
        <w:rPr>
          <w:i/>
        </w:rPr>
        <w:t xml:space="preserve">Quercus robur</w:t>
      </w:r>
      <w:r>
        <w:t xml:space="preserve"> </w:t>
      </w:r>
      <w:r>
        <w:t xml:space="preserve">under elevated CO</w:t>
      </w:r>
      <w:r>
        <w:rPr>
          <w:vertAlign w:val="subscript"/>
        </w:rPr>
        <w:t xml:space="preserve">2</w:t>
      </w:r>
      <w:r>
        <w:t xml:space="preserve"> </w:t>
      </w:r>
      <w:r>
        <w:t xml:space="preserve">and drought. Journal of Experimental Botany 48:1547–1556.</w:t>
      </w:r>
    </w:p>
    <w:p>
      <w:pPr>
        <w:pStyle w:val="Bibliography"/>
      </w:pPr>
      <w:r>
        <w:t xml:space="preserve">Piel C, Frak E,</w:t>
      </w:r>
      <w:r>
        <w:t xml:space="preserve"> </w:t>
      </w:r>
      <w:r>
        <w:t xml:space="preserve">Le Roux</w:t>
      </w:r>
      <w:r>
        <w:t xml:space="preserve"> </w:t>
      </w:r>
      <w:r>
        <w:t xml:space="preserve">X, Genty B (2002) Effect of local irradiance on CO</w:t>
      </w:r>
      <w:r>
        <w:rPr>
          <w:vertAlign w:val="subscript"/>
        </w:rPr>
        <w:t xml:space="preserve">2</w:t>
      </w:r>
      <w:r>
        <w:t xml:space="preserve"> </w:t>
      </w:r>
      <w:r>
        <w:t xml:space="preserve">transfer conductance of mesophyll in walnut. Journal of Experimental Botany 53:2423–2430.</w:t>
      </w:r>
    </w:p>
    <w:p>
      <w:pPr>
        <w:pStyle w:val="Bibliography"/>
      </w:pPr>
      <w:r>
        <w:t xml:space="preserve">Pinheiro J, Bates D, DebRoy S, Sarkar D, R Core Team (2015) nlme: Linear and Nonlinear Mixed Effects Models.</w:t>
      </w:r>
      <w:r>
        <w:t xml:space="preserve"> </w:t>
      </w:r>
      <w:hyperlink r:id="rId117">
        <w:r>
          <w:rPr>
            <w:rStyle w:val="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w:t>
      </w:r>
      <w:r>
        <w:rPr>
          <w:vertAlign w:val="subscript"/>
        </w:rPr>
        <w:t xml:space="preserve">2</w:t>
      </w:r>
      <w:r>
        <w:t xml:space="preserve">, nutrients and water: a quantitative review. Functional Plant Biology 27:1191.</w:t>
      </w:r>
    </w:p>
    <w:p>
      <w:pPr>
        <w:pStyle w:val="Bibliography"/>
      </w:pPr>
      <w:r>
        <w:t xml:space="preserve">Poorter H, B</w:t>
      </w:r>
      <w:r>
        <w:t xml:space="preserve">ü</w:t>
      </w:r>
      <w:r>
        <w:t xml:space="preserve">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w:t>
      </w:r>
      <w:r>
        <w:t xml:space="preserve"> </w:t>
      </w:r>
      <w:r>
        <w:t xml:space="preserve">Van Berkel</w:t>
      </w:r>
      <w:r>
        <w:t xml:space="preserve"> </w:t>
      </w:r>
      <w:r>
        <w:t xml:space="preserve">Y, Baxter R,</w:t>
      </w:r>
      <w:r>
        <w:t xml:space="preserve"> </w:t>
      </w:r>
      <w:r>
        <w:t xml:space="preserve">Den Hertog</w:t>
      </w:r>
      <w:r>
        <w:t xml:space="preserve"> </w:t>
      </w:r>
      <w:r>
        <w:t xml:space="preserve">J, Dijkstra P, Gifford RM, Griffin KL, Roumet C, Roy J, Wong SC (1997) The effect of elevated CO</w:t>
      </w:r>
      <w:r>
        <w:rPr>
          <w:vertAlign w:val="subscript"/>
        </w:rPr>
        <w:t xml:space="preserve">2</w:t>
      </w:r>
      <w:r>
        <w:t xml:space="preserve"> </w:t>
      </w:r>
      <w:r>
        <w:t xml:space="preserve">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118">
        <w:r>
          <w:rPr>
            <w:rStyle w:val="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w:t>
      </w:r>
      <w:r>
        <w:rPr>
          <w:vertAlign w:val="subscript"/>
        </w:rPr>
        <w:t xml:space="preserve">2</w:t>
      </w:r>
      <w:r>
        <w:t xml:space="preserve"> </w:t>
      </w:r>
      <w:r>
        <w:t xml:space="preserve">flux. Global Change Biology 12:1378–1389.</w:t>
      </w:r>
    </w:p>
    <w:p>
      <w:pPr>
        <w:pStyle w:val="Bibliography"/>
      </w:pPr>
      <w:r>
        <w:t xml:space="preserve">Roden JS, Ball MC (1996) The Effect of Elevated [CO</w:t>
      </w:r>
      <w:r>
        <w:rPr>
          <w:vertAlign w:val="subscript"/>
        </w:rPr>
        <w:t xml:space="preserve">2</w:t>
      </w:r>
      <w:r>
        <w:t xml:space="preserve">]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8:e54231.</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w:t>
      </w:r>
      <w:r>
        <w:t xml:space="preserve"> </w:t>
      </w:r>
      <w:r>
        <w:t xml:space="preserve">Von Caemmerer</w:t>
      </w:r>
      <w:r>
        <w:t xml:space="preserve"> </w:t>
      </w:r>
      <w:r>
        <w:t xml:space="preserve">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 Journal of Experimental Botany 57:343–354.</w:t>
      </w:r>
    </w:p>
    <w:p>
      <w:pPr>
        <w:pStyle w:val="Bibliography"/>
      </w:pPr>
      <w:r>
        <w:t xml:space="preserve">Thomas SC, Martin AR (2012a) Data from: Carbon content of tree tissues: a synthesis. Forests.</w:t>
      </w:r>
      <w:r>
        <w:t xml:space="preserve"> </w:t>
      </w:r>
      <w:hyperlink r:id="rId119">
        <w:r>
          <w:rPr>
            <w:rStyle w:val="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w:t>
      </w:r>
      <w:r>
        <w:rPr>
          <w:vertAlign w:val="subscript"/>
        </w:rPr>
        <w:t xml:space="preserve">2</w:t>
      </w:r>
      <w:r>
        <w:t xml:space="preserve"> </w:t>
      </w:r>
      <w:r>
        <w:t xml:space="preserve">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Tjoelker MG, Oleksyn J, Reich PB (1998) Temperature and ontogeny mediate growth response to elevated CO</w:t>
      </w:r>
      <w:r>
        <w:rPr>
          <w:vertAlign w:val="subscript"/>
        </w:rPr>
        <w:t xml:space="preserve">2</w:t>
      </w:r>
      <w:r>
        <w:t xml:space="preserve"> </w:t>
      </w:r>
      <w:r>
        <w:t xml:space="preserve">in seedlings of five boreal tree species. New Phytologist 140:197–210.</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Estimation of canopy average mesophyll conductance using</w:t>
      </w:r>
      <w:r>
        <w:t xml:space="preserve"> </w:t>
      </w:r>
      <m:oMath>
        <m:r>
          <m:rPr>
            <m:sty m:val="p"/>
          </m:rPr>
          <m:t>δ</m:t>
        </m:r>
      </m:oMath>
      <w:r>
        <w:t xml:space="preserve">13C of phloem contents.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w:t>
      </w:r>
      <w:r>
        <w:t xml:space="preserve">ä</w:t>
      </w:r>
      <w:r>
        <w:t xml:space="preserve">kel</w:t>
      </w:r>
      <w:r>
        <w:t xml:space="preserve">ä</w:t>
      </w:r>
      <w:r>
        <w:t xml:space="preserve"> </w:t>
      </w:r>
      <w:r>
        <w:t xml:space="preserve">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w:t>
      </w:r>
      <w:r>
        <w:t xml:space="preserve"> </w:t>
      </w:r>
      <w:r>
        <w:t xml:space="preserve">S, Evans JR (2014) Temperature responses of mesophyll conductance differ greatly between species. Plant, cell &amp; environment</w:t>
      </w:r>
    </w:p>
    <w:p>
      <w:pPr>
        <w:pStyle w:val="Bibliography"/>
      </w:pPr>
      <w:r>
        <w:t xml:space="preserve">Walter A, Christ MM, Barron-gafford GA, Grieve KA, Murthy R, Rascher U (2005) The effect of elevated CO</w:t>
      </w:r>
      <w:r>
        <w:rPr>
          <w:vertAlign w:val="subscript"/>
        </w:rPr>
        <w:t xml:space="preserve">2</w:t>
      </w:r>
      <w:r>
        <w:t xml:space="preserve"> </w:t>
      </w:r>
      <w:r>
        <w:t xml:space="preserve">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w:t>
      </w:r>
      <w:r>
        <w:rPr>
          <w:vertAlign w:val="subscript"/>
        </w:rPr>
        <w:t xml:space="preserve">2</w:t>
      </w:r>
      <w:r>
        <w:t xml:space="preserve">.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w:t>
      </w:r>
      <w:r>
        <w:rPr>
          <w:i/>
        </w:rPr>
        <w:t xml:space="preserve">Pinus taeda</w:t>
      </w:r>
      <w:r>
        <w:t xml:space="preserve"> </w:t>
      </w:r>
      <w:r>
        <w:t xml:space="preserve">L.) stand using 13C labeling and shade treatments. Tree physiology 32:799–813.</w:t>
      </w:r>
    </w:p>
    <w:p>
      <w:pPr>
        <w:pStyle w:val="Bibliography"/>
      </w:pPr>
      <w:r>
        <w:t xml:space="preserve">Warren CR, L</w:t>
      </w:r>
      <w:r>
        <w:t xml:space="preserve">ö</w:t>
      </w:r>
      <w:r>
        <w:t xml:space="preserve">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w:t>
      </w:r>
      <w:r>
        <w:rPr>
          <w:vertAlign w:val="subscript"/>
        </w:rPr>
        <w:t xml:space="preserve">2</w:t>
      </w:r>
      <w:r>
        <w:t xml:space="preserve"> </w:t>
      </w:r>
      <w:r>
        <w:t xml:space="preserve">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b2e3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5e5c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_rels/footnotes.xml.rels><?xml version="1.0" encoding="UTF-8"?>
<Relationships xmlns="http://schemas.openxmlformats.org/package/2006/relationships"><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