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50.png" ContentType="image/png"/>
  <Override PartName="/word/media/rId45.png" ContentType="image/png"/>
  <Override PartName="/word/media/rId46.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of</w:t>
      </w:r>
      <w:r>
        <w:t xml:space="preserve"> </w:t>
      </w:r>
      <w:r>
        <w:t xml:space="preserve">ecophysiological</w:t>
      </w:r>
      <w:r>
        <w:t xml:space="preserve"> </w:t>
      </w:r>
      <w:r>
        <w:t xml:space="preserve">traits</w:t>
      </w:r>
      <w:r>
        <w:t xml:space="preserve"> </w:t>
      </w:r>
      <w:r>
        <w:t xml:space="preserve">define</w:t>
      </w:r>
      <w:r>
        <w:t xml:space="preserve"> </w:t>
      </w:r>
      <w:r>
        <w:t xml:space="preserve">how</w:t>
      </w:r>
      <w:r>
        <w:t xml:space="preserve"> </w:t>
      </w:r>
      <w:r>
        <w:t xml:space="preserve">plant</w:t>
      </w:r>
      <w:r>
        <w:t xml:space="preserve"> </w:t>
      </w:r>
      <w:r>
        <w:t xml:space="preserve">lineages</w:t>
      </w:r>
      <w:r>
        <w:t xml:space="preserve"> </w:t>
      </w:r>
      <w:r>
        <w:t xml:space="preserve">make</w:t>
      </w:r>
      <w:r>
        <w:t xml:space="preserve"> </w:t>
      </w:r>
      <w:r>
        <w:t xml:space="preserve">a</w:t>
      </w:r>
      <w:r>
        <w:t xml:space="preserve"> </w:t>
      </w:r>
      <w:r>
        <w:t xml:space="preserve">living</w:t>
      </w:r>
      <w:r>
        <w:t xml:space="preserve"> </w:t>
      </w:r>
      <w:r>
        <w:t xml:space="preserve">in</w:t>
      </w:r>
      <w:r>
        <w:t xml:space="preserve"> </w:t>
      </w:r>
      <w:r>
        <w:t xml:space="preserve">shaded</w:t>
      </w:r>
      <w:r>
        <w:t xml:space="preserve"> </w:t>
      </w:r>
      <w:r>
        <w:t xml:space="preserve">environments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coauthors</w:t>
      </w:r>
      <w:r>
        <w:rPr>
          <w:vertAlign w:val="superscript"/>
        </w:rPr>
        <w:t xml:space="preserve">1</w:t>
      </w:r>
      <w:r>
        <w:t xml:space="preserve"> </w:t>
      </w:r>
      <w:r>
        <w:t xml:space="preserve">and James 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w:t>
      </w:r>
    </w:p>
    <w:p>
      <w:pPr>
        <w:pStyle w:val="BodyText"/>
      </w:pPr>
      <w:r>
        <w:br w:type="textWrapping"/>
      </w:r>
      <w:r>
        <w:t xml:space="preserve">Running Head: Shade ecophysiology of plant lineages</w:t>
      </w:r>
    </w:p>
    <w:p>
      <w:pPr>
        <w:pStyle w:val="Heading1"/>
      </w:pPr>
      <w:bookmarkStart w:id="22" w:name="abstract"/>
      <w:bookmarkEnd w:id="22"/>
      <w:r>
        <w:t xml:space="preserve">Abstract</w:t>
      </w:r>
    </w:p>
    <w:p>
      <w:pPr>
        <w:pStyle w:val="FirstParagraph"/>
      </w:pPr>
      <w:r>
        <w:t xml:space="preserve">/</w:t>
      </w:r>
    </w:p>
    <w:p>
      <w:pPr>
        <w:pStyle w:val="BodyText"/>
      </w:pPr>
      <w:r>
        <w:t xml:space="preserve">Key Words:</w:t>
      </w:r>
    </w:p>
    <w:p>
      <w:pPr>
        <w:pStyle w:val="Heading1"/>
      </w:pPr>
      <w:bookmarkStart w:id="23" w:name="introduction"/>
      <w:bookmarkEnd w:id="23"/>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campany).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A series of elegeant studies have shown that stomatal control of ferns and lycophytes differs fundamentally from seed plants. Evidence on fern and lycophyte stomata indicates that these groups have inefficient stomatal systems, likely possessing a hydropassive mechanism which influences stomatal opening and closing (many cites). Specifically, unlike seed plants, fern and lycophyte stomata fail to close in response to abscisic acid (ABA) addition (many cites). Additionally, recent evidence also suggests that co-occuring tropical ferns and lycophytes optimize thier ecophysiology differently (Campany). Consequently, the evolution or adaptation of physiolgoical traits may impact the differential distribution of ferns,lycophytes and seed plants to eath other.</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limited number of present studies, ferns and lycophytes appear to have lower photosynthetic rates than seed plants (cite). This would suggest that non-seed plants may be at a competitive disadvantage when growing alongside seed plants. However, none of these studies have systematically compared the physiology of these groups when growing in similar habitats.</w:t>
      </w:r>
    </w:p>
    <w:p>
      <w:pPr>
        <w:pStyle w:val="BodyText"/>
      </w:pPr>
      <w:r>
        <w:br w:type="textWrapping"/>
      </w:r>
      <w:r>
        <w:br w:type="textWrapping"/>
      </w:r>
      <w:r>
        <w:t xml:space="preserve">The goal of the current study is to examine the comparative physiology of a number of temperate ferns and lycophytes to angiosperms. We specifically examined several physiological parameters in comparison between co-occurring ferns, lycophytes and angiosperm in identical closed canopy habitats. In a pairwise camoparison, we also evaluated the potential of fern and angiosperm species to adapt to open-light habitats. Given increasing evidence of inefficient stomatal functions in non-seed plants, we hypothesized that ferns and lycophytes would have lower photosynthetic rates and stomatal conductance values in comparison to the nearby angiosperms. This, in turn, would impact aspects of leaf anatomy (stomatal density), nutrient relations (N and P), and water use efficiency. We speculate that the differences in physiological function also affect the ecology of lycophytes in a manner that prevents them from establishing in full sun environments.</w:t>
      </w:r>
    </w:p>
    <w:p>
      <w:pPr>
        <w:pStyle w:val="Heading1"/>
      </w:pPr>
      <w:bookmarkStart w:id="24" w:name="methods"/>
      <w:bookmarkEnd w:id="24"/>
      <w:r>
        <w:t xml:space="preserve">Methods</w:t>
      </w:r>
    </w:p>
    <w:p>
      <w:pPr>
        <w:pStyle w:val="Heading2"/>
      </w:pPr>
      <w:bookmarkStart w:id="25" w:name="study-site-and-species"/>
      <w:bookmarkEnd w:id="25"/>
      <w:r>
        <w:t xml:space="preserve">Study site and species</w:t>
      </w:r>
    </w:p>
    <w:p>
      <w:pPr>
        <w:pStyle w:val="FirstParagraph"/>
      </w:pPr>
      <w:r>
        <w:t xml:space="preserve">This study was conducted at two sites in upstate New York. Data for most species were gathered at the Edmund Niles Huyck Preserve (ENHP), characterized by mixed hardwood hemlock forests along the Helderberg escarpment in the foothills of the Catskill mountain range. Data from the second site were gathered at a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and open, high-light areas. At the Colgate University site, additioanl low-light fern and lycophyte species were surveyed.</w:t>
      </w:r>
    </w:p>
    <w:p>
      <w:pPr>
        <w:pStyle w:val="Heading2"/>
      </w:pPr>
      <w:bookmarkStart w:id="26" w:name="physiological-measurements"/>
      <w:bookmarkEnd w:id="26"/>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Next,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type="textWrapping"/>
      </w:r>
      <w:r>
        <w:t xml:space="preserve">Light response curves were conducted by decreasing the light intensity in the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explictly controlled in the leaf cuvette. Cuvette leaf temperatures ranged from 27-30 °C and leaf vapor pressure deficit (VPD) ranged from *****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 Lobo et al. 2013). The light compensation point (LCP) was calculated as the PPFD at which the net photosynthetic rate equalled zero from the linear phase of each light response curve. Quantum yeild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also developed an understanding of the levels at which low-light and high-light species reached light saturated photosynthetic rates. As a result, additional survey measurments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transpiration from gas exchange measurements.</w:t>
      </w:r>
    </w:p>
    <w:p>
      <w:pPr>
        <w:pStyle w:val="Heading2"/>
      </w:pPr>
      <w:bookmarkStart w:id="27" w:name="foliar-chemistry"/>
      <w:bookmarkEnd w:id="27"/>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Co. St. Louis, USA). Carbon and nitrogen analyses were measured using a Costech Analytical Elemental Analyzer (Valencia, USA), with the percentage of carbon and nitrogen in samples calculated by comparison with certified standards. Photosynthetic nitrogen use efficiency (PNUE) was defined as the ratio of A</w:t>
      </w:r>
      <w:r>
        <w:rPr>
          <w:vertAlign w:val="subscript"/>
        </w:rPr>
        <w:t xml:space="preserve">n</w:t>
      </w:r>
      <w:r>
        <w:t xml:space="preserve"> </w:t>
      </w:r>
      <w:r>
        <w:t xml:space="preserve">to leaf nitrogen content. Foliar phosphorus concentrations were determined using an ash digestion process (D’Angelo et al., 2001) preceded by colour development and absorbance measurement on an Astoria Paciﬁc colorimetric autoanalyzer (Clackamas, Oregon).</w:t>
      </w:r>
    </w:p>
    <w:p>
      <w:pPr>
        <w:pStyle w:val="Heading2"/>
      </w:pPr>
      <w:bookmarkStart w:id="28" w:name="stomatal-anatomy"/>
      <w:bookmarkEnd w:id="28"/>
      <w:r>
        <w:t xml:space="preserve">Stomatal anatomy</w:t>
      </w:r>
    </w:p>
    <w:p>
      <w:pPr>
        <w:pStyle w:val="FirstParagraph"/>
      </w:pPr>
      <w:r>
        <w:t xml:space="preserve">Stomatal density (SD) was measured by directly counting stomata on the abaxial leaf surface under 40x magnification with a field of view of 0.622 mm^2. Stomatal density was calculated from 8 non-overlapping foliar regions for five individuals of each species.</w:t>
      </w:r>
    </w:p>
    <w:p>
      <w:pPr>
        <w:pStyle w:val="Heading2"/>
      </w:pPr>
      <w:bookmarkStart w:id="29" w:name="statistial-analyses"/>
      <w:bookmarkEnd w:id="29"/>
      <w:r>
        <w:t xml:space="preserve">Statistial analyses</w:t>
      </w:r>
    </w:p>
    <w:p>
      <w:pPr>
        <w:pStyle w:val="FirstParagraph"/>
      </w:pPr>
      <w:r>
        <w:t xml:space="preserve">Linear mixed-effect models responses were used to test responses of functional traits to caetgorial fixed effects of plant group and canopy habitat. To test broad differnces in plant groups, species nested within canopy habitats were treated as random effects. To test differences between habitat types (ferns and angiosperms only) species was treated as a fixed effect. Explained variance (R</w:t>
      </w:r>
      <w:r>
        <w:rPr>
          <w:vertAlign w:val="superscript"/>
        </w:rPr>
        <w:t xml:space="preserve">2</w:t>
      </w:r>
      <w:r>
        <w:t xml:space="preserve">) of mixed models were computed as in Nakagawa and Schielzeth (2013),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Tukey’s post-hoc test were performed in conjunction with ANOVA to determine which mean values of functional traits were different among plant groups and canopy habitats with the</w:t>
      </w:r>
      <w:r>
        <w:t xml:space="preserve"> </w:t>
      </w:r>
      <w:r>
        <w:t xml:space="preserve">‘</w:t>
      </w:r>
      <w:r>
        <w:t xml:space="preserve">multcomp</w:t>
      </w:r>
      <w:r>
        <w:t xml:space="preserve">’</w:t>
      </w:r>
      <w:r>
        <w:t xml:space="preserve"> </w:t>
      </w:r>
      <w:r>
        <w:t xml:space="preserve">package (Hothorn et al., 2008). T-tests were performed to test for differences between functional traits across canopy habitats within angioperm and fern plant groups. All tests of statistical significance were conducted at an α level of 0.05. All analyses were performed with R 3.5.1 [R cite].</w:t>
      </w:r>
    </w:p>
    <w:p>
      <w:pPr>
        <w:pStyle w:val="BodyText"/>
      </w:pPr>
      <w:r>
        <w:t xml:space="preserve">Principal component analysis, utilizing the</w:t>
      </w:r>
      <w:r>
        <w:t xml:space="preserve"> </w:t>
      </w:r>
      <w:r>
        <w:t xml:space="preserve">‘</w:t>
      </w:r>
      <w:r>
        <w:t xml:space="preserve">vegan</w:t>
      </w:r>
      <w:r>
        <w:t xml:space="preserve">’</w:t>
      </w:r>
      <w:r>
        <w:t xml:space="preserve"> </w:t>
      </w:r>
      <w:r>
        <w:t xml:space="preserve">package (Oksanen et al., 2018), was used to explore how measured functional traits were distributed and co-varied among plant groups and canopy type.</w:t>
      </w:r>
    </w:p>
    <w:p>
      <w:pPr>
        <w:pStyle w:val="BodyText"/>
      </w:pPr>
      <w:r>
        <w:t xml:space="preserve">For bivariate trait relationships, responses of dependent variables were analysed with linear mixed-effect models, with species as a random effect and plant group and/or canopy type as categorical fixed effects. Differences in slopes of the relationship of bivariate traits by habitat (Selaginella only) were tested by calculating estimated marginal means and computing pairwise comparisons with the</w:t>
      </w:r>
      <w:r>
        <w:t xml:space="preserve"> </w:t>
      </w:r>
      <w:r>
        <w:t xml:space="preserve">‘</w:t>
      </w:r>
      <w:r>
        <w:t xml:space="preserve">emmeans</w:t>
      </w:r>
      <w:r>
        <w:t xml:space="preserve">’</w:t>
      </w:r>
      <w:r>
        <w:t xml:space="preserve"> </w:t>
      </w:r>
      <w:r>
        <w:t xml:space="preserve">package (Length, 2018).</w:t>
      </w:r>
    </w:p>
    <w:p>
      <w:pPr>
        <w:pStyle w:val="Heading1"/>
      </w:pPr>
      <w:bookmarkStart w:id="30" w:name="results"/>
      <w:bookmarkEnd w:id="30"/>
      <w:r>
        <w:t xml:space="preserve">Results</w:t>
      </w:r>
    </w:p>
    <w:p>
      <w:pPr>
        <w:pStyle w:val="Heading2"/>
      </w:pPr>
      <w:bookmarkStart w:id="31" w:name="light-response-curve-parameters"/>
      <w:bookmarkEnd w:id="31"/>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low-light habitats. Quantum yields were also equivalent within angiosperm and fern species groups between open and low-light habitats. Shifts in R</w:t>
      </w:r>
      <w:r>
        <w:rPr>
          <w:vertAlign w:val="subscript"/>
        </w:rPr>
        <w:t xml:space="preserve">d</w:t>
      </w:r>
      <w:r>
        <w:t xml:space="preserve"> </w:t>
      </w:r>
      <w:r>
        <w:t xml:space="preserve">between open and low-light habitats differed for angiosperms and ferns (habitats x plant group,</w:t>
      </w:r>
      <w:r>
        <w:t xml:space="preserve"> </w:t>
      </w:r>
      <w:r>
        <w:rPr>
          <w:i/>
        </w:rPr>
        <w:t xml:space="preserve">P</w:t>
      </w:r>
      <w:r>
        <w:t xml:space="preserve"> </w:t>
      </w:r>
      <w:r>
        <w:t xml:space="preserve">&lt; 0.001). Specifically, R</w:t>
      </w:r>
      <w:r>
        <w:rPr>
          <w:vertAlign w:val="subscript"/>
        </w:rPr>
        <w:t xml:space="preserve">d</w:t>
      </w:r>
      <w:r>
        <w:t xml:space="preserve"> </w:t>
      </w:r>
      <w:r>
        <w:t xml:space="preserve">in angiosperms was 80.6 % greater in open compared to low-light habitats (t=-4.197,</w:t>
      </w:r>
      <w:r>
        <w:t xml:space="preserve"> </w:t>
      </w:r>
      <w:r>
        <w:rPr>
          <w:i/>
        </w:rPr>
        <w:t xml:space="preserve">P</w:t>
      </w:r>
      <w:r>
        <w:t xml:space="preserve"> </w:t>
      </w:r>
      <w:r>
        <w:t xml:space="preserve">= 0.001). Alternatively, R</w:t>
      </w:r>
      <w:r>
        <w:rPr>
          <w:vertAlign w:val="subscript"/>
        </w:rPr>
        <w:t xml:space="preserve">d</w:t>
      </w:r>
      <w:r>
        <w:t xml:space="preserve"> </w:t>
      </w:r>
      <w:r>
        <w:t xml:space="preserve">in ferns was 44.0 % greater in low-light compared to open habitats (t=-2.97, p=0.006). Similarly, shifts in LCP between open and low-light habitats differed for angiosperms and ferns (habitats x plant group,</w:t>
      </w:r>
      <w:r>
        <w:t xml:space="preserve"> </w:t>
      </w:r>
      <w:r>
        <w:rPr>
          <w:i/>
        </w:rPr>
        <w:t xml:space="preserve">P</w:t>
      </w:r>
      <w:r>
        <w:t xml:space="preserve"> </w:t>
      </w:r>
      <w:r>
        <w:t xml:space="preserve">&lt; 0.001). Specifically, the LCP in angiosperms was 79.2 % greater in open compared to low-light habitats (t=-3.5998,</w:t>
      </w:r>
      <w:r>
        <w:t xml:space="preserve"> </w:t>
      </w:r>
      <w:r>
        <w:rPr>
          <w:i/>
        </w:rPr>
        <w:t xml:space="preserve">P</w:t>
      </w:r>
      <w:r>
        <w:t xml:space="preserve"> </w:t>
      </w:r>
      <w:r>
        <w:t xml:space="preserve">= 0.005). Alternatively, the LCP in ferns was 39.7 % greater in low-light compared to open habitats (t=2.1814,</w:t>
      </w:r>
      <w:r>
        <w:t xml:space="preserve"> </w:t>
      </w:r>
      <w:r>
        <w:rPr>
          <w:i/>
        </w:rPr>
        <w:t xml:space="preserve">P</w:t>
      </w:r>
      <w:r>
        <w:t xml:space="preserve"> </w:t>
      </w:r>
      <w:r>
        <w:t xml:space="preserve">= 0.040).</w:t>
      </w:r>
    </w:p>
    <w:p>
      <w:pPr>
        <w:pStyle w:val="BodyText"/>
      </w:pPr>
      <w:r>
        <w:br w:type="textWrapping"/>
      </w:r>
      <w:r>
        <w:t xml:space="preserve">In closed canopy environments,the LCP in ferns were equivalent to lycophytes, while both plant groups were marginally higher than angiosperms (</w:t>
      </w:r>
      <w:r>
        <w:rPr>
          <w:i/>
        </w:rPr>
        <w:t xml:space="preserve">P</w:t>
      </w:r>
      <w:r>
        <w:t xml:space="preserve"> </w:t>
      </w:r>
      <w:r>
        <w:t xml:space="preserve">= 0.061). Photosynthetic quantum was similar between each plant group, but lycophytes and ferns were broadly higher than angiosperms. Ferns and lycophytes had equavalent respiration rates, while both groups were higher than angiosperms (</w:t>
      </w:r>
      <w:r>
        <w:rPr>
          <w:i/>
        </w:rPr>
        <w:t xml:space="preserve">P</w:t>
      </w:r>
      <w:r>
        <w:t xml:space="preserve"> </w:t>
      </w:r>
      <w:r>
        <w:t xml:space="preserve">= 0.0178)</w:t>
      </w:r>
    </w:p>
    <w:p>
      <w:pPr>
        <w:pStyle w:val="Heading2"/>
      </w:pPr>
      <w:bookmarkStart w:id="32" w:name="leaf-gas-exchange"/>
      <w:bookmarkEnd w:id="32"/>
      <w:r>
        <w:t xml:space="preserve">Leaf gas exchange</w:t>
      </w:r>
    </w:p>
    <w:p>
      <w:pPr>
        <w:pStyle w:val="FirstParagraph"/>
      </w:pPr>
      <w:r>
        <w:t xml:space="preserve">Overall, fern and angiosperm species in open habitats had higher A</w:t>
      </w:r>
      <w:r>
        <w:rPr>
          <w:vertAlign w:val="subscript"/>
        </w:rPr>
        <w:t xml:space="preserve">n</w:t>
      </w:r>
      <w:r>
        <w:t xml:space="preserve"> </w:t>
      </w:r>
      <w:r>
        <w:t xml:space="preserve">than comparable species in low-light habitats (</w:t>
      </w:r>
      <w:r>
        <w:rPr>
          <w:i/>
        </w:rPr>
        <w:t xml:space="preserve">P</w:t>
      </w:r>
      <w:r>
        <w:t xml:space="preserve"> </w:t>
      </w:r>
      <w:r>
        <w:t xml:space="preserve">&lt;- 0.0001). Specifically, fern species in high-light habitats had 40.6 % greater A</w:t>
      </w:r>
      <w:r>
        <w:rPr>
          <w:vertAlign w:val="subscript"/>
        </w:rPr>
        <w:t xml:space="preserve">n</w:t>
      </w:r>
      <w:r>
        <w:t xml:space="preserve"> </w:t>
      </w:r>
      <w:r>
        <w:t xml:space="preserve">than in low-light habitats(</w:t>
      </w:r>
      <w:r>
        <w:rPr>
          <w:i/>
        </w:rPr>
        <w:t xml:space="preserve">P</w:t>
      </w:r>
      <w:r>
        <w:t xml:space="preserve"> </w:t>
      </w:r>
      <w:r>
        <w:t xml:space="preserve">&lt; 0.0001, t=-4.72), while angiosperm species had 60 % higher A</w:t>
      </w:r>
      <w:r>
        <w:rPr>
          <w:vertAlign w:val="subscript"/>
        </w:rPr>
        <w:t xml:space="preserve">n</w:t>
      </w:r>
      <w:r>
        <w:t xml:space="preserve"> </w:t>
      </w:r>
      <w:r>
        <w:t xml:space="preserve">(</w:t>
      </w:r>
      <w:r>
        <w:rPr>
          <w:i/>
        </w:rPr>
        <w:t xml:space="preserve">P</w:t>
      </w:r>
      <w:r>
        <w:t xml:space="preserve"> </w:t>
      </w:r>
      <w:r>
        <w:t xml:space="preserve">&lt; 0.0001, t=-6.97). Ferns and angiosperms growing in low-light habitats had similar A</w:t>
      </w:r>
      <w:r>
        <w:rPr>
          <w:vertAlign w:val="subscript"/>
        </w:rPr>
        <w:t xml:space="preserve">n</w:t>
      </w:r>
      <w:r>
        <w:t xml:space="preserve">, however, in open habitats angiosperms had 42.6%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 Neither ferns nor angiosperms species differed in WUE across the two light environments. Across all habitats, the WUE was also statistically similar for ferns and angiosperms.</w:t>
      </w:r>
    </w:p>
    <w:p>
      <w:pPr>
        <w:pStyle w:val="BodyText"/>
      </w:pPr>
      <w:r>
        <w:br w:type="textWrapping"/>
      </w:r>
      <w:r>
        <w:t xml:space="preserve">Overall, ferns and angiosperms in open habitats had 64.2% higher g</w:t>
      </w:r>
      <w:r>
        <w:rPr>
          <w:vertAlign w:val="subscript"/>
        </w:rPr>
        <w:t xml:space="preserve">s</w:t>
      </w:r>
      <w:r>
        <w:t xml:space="preserve"> </w:t>
      </w:r>
      <w:r>
        <w:t xml:space="preserve">than comparable species in low-light habitats (</w:t>
      </w:r>
      <w:r>
        <w:rPr>
          <w:i/>
        </w:rPr>
        <w:t xml:space="preserve">P</w:t>
      </w:r>
      <w:r>
        <w:t xml:space="preserve"> </w:t>
      </w:r>
      <w:r>
        <w:t xml:space="preserve">= 0.002). Specifically, fern species in high-light habitats had 50.7 % greater g</w:t>
      </w:r>
      <w:r>
        <w:rPr>
          <w:vertAlign w:val="subscript"/>
        </w:rPr>
        <w:t xml:space="preserve">s</w:t>
      </w:r>
      <w:r>
        <w:t xml:space="preserve"> </w:t>
      </w:r>
      <w:r>
        <w:t xml:space="preserve">than in low-light habitats(</w:t>
      </w:r>
      <w:r>
        <w:rPr>
          <w:i/>
        </w:rPr>
        <w:t xml:space="preserve">P</w:t>
      </w:r>
      <w:r>
        <w:t xml:space="preserve"> </w:t>
      </w:r>
      <w:r>
        <w:t xml:space="preserve">&lt; 0.0001, t=-4.72), while angiosperm species had 66.9 % higher g</w:t>
      </w:r>
      <w:r>
        <w:rPr>
          <w:vertAlign w:val="subscript"/>
        </w:rPr>
        <w:t xml:space="preserve">s</w:t>
      </w:r>
      <w:r>
        <w:t xml:space="preserve"> </w:t>
      </w:r>
      <w:r>
        <w:t xml:space="preserve">(</w:t>
      </w:r>
      <w:r>
        <w:rPr>
          <w:i/>
        </w:rPr>
        <w:t xml:space="preserve">P</w:t>
      </w:r>
      <w:r>
        <w:t xml:space="preserve"> </w:t>
      </w:r>
      <w:r>
        <w:t xml:space="preserve">&lt; 0.0001, t=-4.157). Across both habitat types, angiosperm species had a 60% higher g</w:t>
      </w:r>
      <w:r>
        <w:rPr>
          <w:vertAlign w:val="subscript"/>
        </w:rPr>
        <w:t xml:space="preserve">s</w:t>
      </w:r>
      <w:r>
        <w:t xml:space="preserve"> </w:t>
      </w:r>
      <w:r>
        <w:t xml:space="preserve">than fern species (</w:t>
      </w:r>
      <w:r>
        <w:rPr>
          <w:i/>
        </w:rPr>
        <w:t xml:space="preserve">P</w:t>
      </w:r>
      <w:r>
        <w:t xml:space="preserve"> </w:t>
      </w:r>
      <w:r>
        <w:t xml:space="preserve">= 0.011).</w:t>
      </w:r>
    </w:p>
    <w:p>
      <w:pPr>
        <w:pStyle w:val="BodyText"/>
      </w:pPr>
      <w:r>
        <w:br w:type="textWrapping"/>
      </w:r>
      <w:r>
        <w:t xml:space="preserve">In closed canopy environments, variation in gas exchange parameters was largely due to individual species variation instead of functional differences between all three plant groups. No differences between A</w:t>
      </w:r>
      <w:r>
        <w:rPr>
          <w:vertAlign w:val="subscript"/>
        </w:rPr>
        <w:t xml:space="preserve">n</w:t>
      </w:r>
      <w:r>
        <w:t xml:space="preserve"> </w:t>
      </w:r>
      <w:r>
        <w:t xml:space="preserve">were detected between between the three plant groups, with a majority of the variation associated with the random effect of individual species. Stomatal conductance in angiosperms was higher than in ferns and lycophytes **P* = 0.001). Water-use efficiency was 47 % higher in lycophytes than ferns and angiosperms (</w:t>
      </w:r>
      <w:r>
        <w:rPr>
          <w:i/>
        </w:rPr>
        <w:t xml:space="preserve">P</w:t>
      </w:r>
      <w:r>
        <w:t xml:space="preserve"> </w:t>
      </w:r>
      <w:r>
        <w:t xml:space="preserve">= 0.005), while ferns and angiosperms where statiscally similar.</w:t>
      </w:r>
    </w:p>
    <w:p>
      <w:pPr>
        <w:pStyle w:val="Heading2"/>
      </w:pPr>
      <w:bookmarkStart w:id="33" w:name="stoichiometry-can-use-pairwise-for-specific-p-values-see-leaf-p-below"/>
      <w:bookmarkEnd w:id="33"/>
      <w:r>
        <w:t xml:space="preserve">Stoichiometry (##can use pairwise for specific p values: see leaf P below)</w:t>
      </w:r>
    </w:p>
    <w:p>
      <w:pPr>
        <w:pStyle w:val="FirstParagraph"/>
      </w:pPr>
      <w:r>
        <w:t xml:space="preserve">Ferns and angiosperms species in open light environments had marginally lower foliar nitrogen content compared to similar species in growing in closed light environments (-17.2 %,</w:t>
      </w:r>
      <w:r>
        <w:t xml:space="preserve"> </w:t>
      </w:r>
      <w:r>
        <w:rPr>
          <w:i/>
        </w:rPr>
        <w:t xml:space="preserve">P</w:t>
      </w:r>
      <w:r>
        <w:t xml:space="preserve"> </w:t>
      </w:r>
      <w:r>
        <w:t xml:space="preserve">= 0.072), with a large proportion of variation attributed to individual species differences. Neither ferns nor angiosperms species differed in their CN ratios across the two light environments. Across all habitats, the CN ratio of ferns was 20 % higher than in angiosperms (</w:t>
      </w:r>
      <w:r>
        <w:rPr>
          <w:i/>
        </w:rPr>
        <w:t xml:space="preserve">P</w:t>
      </w:r>
      <w:r>
        <w:t xml:space="preserve"> </w:t>
      </w:r>
      <w:r>
        <w:t xml:space="preserve">= 0.0325). No differences in foliar P content were detected between open and closed canopies for either ferns or angiosperms. Across all habitats, foliar P content was 22.1 % higher in angiosperms than in ferns (</w:t>
      </w:r>
      <w:r>
        <w:rPr>
          <w:i/>
        </w:rPr>
        <w:t xml:space="preserve">P</w:t>
      </w:r>
      <w:r>
        <w:t xml:space="preserve"> </w:t>
      </w:r>
      <w:r>
        <w:t xml:space="preserve">= 0.034). Neither ferns nor angiosperms species differed in their NP ratios across the two light environments. Across all habitats, the NP ratio was statistically similar for ferns and angiosperms.</w:t>
      </w:r>
    </w:p>
    <w:p>
      <w:pPr>
        <w:pStyle w:val="BodyText"/>
      </w:pPr>
      <w:r>
        <w:br w:type="textWrapping"/>
      </w:r>
      <w:r>
        <w:t xml:space="preserve">Across closed canopy habitats, Lycophytes have 45% lower foliar nitrogen content than ferns and angiosperms, which do not statistically differ (</w:t>
      </w:r>
      <w:r>
        <w:rPr>
          <w:i/>
        </w:rPr>
        <w:t xml:space="preserve">P</w:t>
      </w:r>
      <w:r>
        <w:t xml:space="preserve"> </w:t>
      </w:r>
      <w:r>
        <w:t xml:space="preserve">&lt; 0.001). Conseqently, Lycophytes had significantly higher CN ratios than ferns and angiosperms (</w:t>
      </w:r>
      <w:r>
        <w:rPr>
          <w:i/>
        </w:rPr>
        <w:t xml:space="preserve">P</w:t>
      </w:r>
      <w:r>
        <w:t xml:space="preserve"> </w:t>
      </w:r>
      <w:r>
        <w:t xml:space="preserve">&lt; 0.001). Lycophytes also had 24% lower foliar phosphorous content than angiosperms (</w:t>
      </w:r>
      <w:r>
        <w:rPr>
          <w:i/>
        </w:rPr>
        <w:t xml:space="preserve">P</w:t>
      </w:r>
      <w:r>
        <w:t xml:space="preserve"> </w:t>
      </w:r>
      <w:r>
        <w:t xml:space="preserve">= .026), while ferns were simiilar to both groups. The NP ratios were not statistically different across angiosperms, ferns and lycophytes in closed canopies habitats.</w:t>
      </w:r>
    </w:p>
    <w:p>
      <w:pPr>
        <w:pStyle w:val="Heading2"/>
      </w:pPr>
      <w:bookmarkStart w:id="34" w:name="stomatal-anatomy-1"/>
      <w:bookmarkEnd w:id="34"/>
      <w:r>
        <w:t xml:space="preserve">Stomatal anatomy</w:t>
      </w:r>
    </w:p>
    <w:p>
      <w:pPr>
        <w:pStyle w:val="FirstParagraph"/>
      </w:pPr>
      <w:r>
        <w:t xml:space="preserve">Overall, no differences where detected in stomatal densities between species growing open canopy and closed canopy habitats. Specifically, differences in stomatal densities were not detected for either fern nor angiosperms species between the two habitats. However, in both open and closed environments, ferns had significantly lower stomatal densities than analogous angiosperms (</w:t>
      </w:r>
      <w:r>
        <w:rPr>
          <w:i/>
        </w:rPr>
        <w:t xml:space="preserve">P</w:t>
      </w:r>
      <w:r>
        <w:t xml:space="preserve"> </w:t>
      </w:r>
      <w:r>
        <w:t xml:space="preserve">&lt; 0.001).</w:t>
      </w:r>
    </w:p>
    <w:p>
      <w:pPr>
        <w:pStyle w:val="BodyText"/>
      </w:pPr>
      <w:r>
        <w:br w:type="textWrapping"/>
      </w:r>
      <w:r>
        <w:t xml:space="preserve">In closed canopy environments, no differenes in stomatal density were detected among species of ferns, angiosperms and lycophytes. Variation in stomatal denisty in the shade was largely due to individual species variation.</w:t>
      </w:r>
    </w:p>
    <w:p>
      <w:pPr>
        <w:pStyle w:val="Heading2"/>
      </w:pPr>
      <w:bookmarkStart w:id="35" w:name="bivariate-relationships-between-functional-traits"/>
      <w:bookmarkEnd w:id="35"/>
      <w:r>
        <w:t xml:space="preserve">Bivariate relationships between functional traits</w:t>
      </w:r>
    </w:p>
    <w:p>
      <w:pPr>
        <w:pStyle w:val="FirstParagraph"/>
      </w:pPr>
      <w:r>
        <w:t xml:space="preserve">The relationship between A</w:t>
      </w:r>
      <w:r>
        <w:rPr>
          <w:vertAlign w:val="subscript"/>
        </w:rPr>
        <w:t xml:space="preserve">n</w:t>
      </w:r>
      <w:r>
        <w:t xml:space="preserve"> </w:t>
      </w:r>
      <w:r>
        <w:t xml:space="preserve">and foliar nitrogen content depended on both plant group and canopy type (canopy x plant group,</w:t>
      </w:r>
      <w:r>
        <w:t xml:space="preserve"> </w:t>
      </w:r>
      <w:r>
        <w:rPr>
          <w:i/>
        </w:rPr>
        <w:t xml:space="preserve">P</w:t>
      </w:r>
      <w:r>
        <w:t xml:space="preserve"> </w:t>
      </w:r>
      <w:r>
        <w:t xml:space="preserve">= 0.028). Specifically, the postive slopes of the relationship between A</w:t>
      </w:r>
      <w:r>
        <w:rPr>
          <w:vertAlign w:val="subscript"/>
        </w:rPr>
        <w:t xml:space="preserve">n</w:t>
      </w:r>
      <w:r>
        <w:t xml:space="preserve"> </w:t>
      </w:r>
      <w:r>
        <w:t xml:space="preserve">and N differed for ferns and angiosperms in open canopys, while no relationship beween A</w:t>
      </w:r>
      <w:r>
        <w:rPr>
          <w:vertAlign w:val="subscript"/>
        </w:rPr>
        <w:t xml:space="preserve">n</w:t>
      </w:r>
      <w:r>
        <w:t xml:space="preserve"> </w:t>
      </w:r>
      <w:r>
        <w:t xml:space="preserve">and N was found for either group in closed canopies (Figure 6).</w:t>
      </w:r>
    </w:p>
    <w:p>
      <w:pPr>
        <w:pStyle w:val="BodyText"/>
      </w:pPr>
      <w:r>
        <w:t xml:space="preserve">No relationships…..</w:t>
      </w:r>
    </w:p>
    <w:p>
      <w:pPr>
        <w:pStyle w:val="Heading1"/>
      </w:pPr>
      <w:bookmarkStart w:id="36" w:name="discussion"/>
      <w:bookmarkEnd w:id="36"/>
      <w:r>
        <w:t xml:space="preserve">Discussion</w:t>
      </w:r>
    </w:p>
    <w:p>
      <w:pPr>
        <w:pStyle w:val="Heading2"/>
      </w:pPr>
      <w:bookmarkStart w:id="37" w:name="comparative-ecophysiology-in-the-shade"/>
      <w:bookmarkEnd w:id="37"/>
      <w:r>
        <w:t xml:space="preserve">Comparative ecophysiology in the shade</w:t>
      </w:r>
    </w:p>
    <w:p>
      <w:pPr>
        <w:pStyle w:val="Heading2"/>
      </w:pPr>
      <w:bookmarkStart w:id="38" w:name="differential-adaption-to-open-habitats"/>
      <w:bookmarkEnd w:id="38"/>
      <w:r>
        <w:t xml:space="preserve">Differential adaption to open habitats</w:t>
      </w:r>
    </w:p>
    <w:p>
      <w:pPr>
        <w:pStyle w:val="Heading2"/>
      </w:pPr>
      <w:bookmarkStart w:id="39" w:name="functional-ecology-of-lycophytes"/>
      <w:bookmarkEnd w:id="39"/>
      <w:r>
        <w:t xml:space="preserve">Functional ecology of lycophytes</w:t>
      </w:r>
    </w:p>
    <w:p>
      <w:pPr>
        <w:pStyle w:val="Heading2"/>
      </w:pPr>
      <w:bookmarkStart w:id="40" w:name="ecophysiological-trait-variation-in-seed-plants"/>
      <w:bookmarkEnd w:id="40"/>
      <w:r>
        <w:t xml:space="preserve">Ecophysiological trait variation in seed plants</w:t>
      </w:r>
    </w:p>
    <w:p>
      <w:pPr>
        <w:pStyle w:val="Heading2"/>
      </w:pPr>
      <w:bookmarkStart w:id="41" w:name="summary"/>
      <w:bookmarkEnd w:id="41"/>
      <w:r>
        <w:t xml:space="preserve">Summary</w:t>
      </w:r>
    </w:p>
    <w:p>
      <w:pPr>
        <w:pStyle w:val="Heading1"/>
      </w:pPr>
      <w:bookmarkStart w:id="42" w:name="acknowledgements"/>
      <w:bookmarkEnd w:id="42"/>
      <w:r>
        <w:t xml:space="preserve">Acknowledgements</w:t>
      </w:r>
    </w:p>
    <w:p>
      <w:pPr>
        <w:pStyle w:val="FirstParagraph"/>
      </w:pPr>
      <w:r>
        <w:t xml:space="preserve">We thank</w:t>
      </w:r>
    </w:p>
    <w:p>
      <w:pPr>
        <w:pStyle w:val="Heading1"/>
      </w:pPr>
      <w:bookmarkStart w:id="43" w:name="tables"/>
      <w:bookmarkEnd w:id="43"/>
      <w:r>
        <w:t xml:space="preserve">Tables</w:t>
      </w:r>
    </w:p>
    <w:p>
      <w:pPr>
        <w:pStyle w:val="FirstParagraph"/>
      </w:pPr>
      <w:r>
        <w:rPr>
          <w:b/>
        </w:rPr>
        <w:t xml:space="preserve">Table 1</w:t>
      </w:r>
      <w:r>
        <w:t xml:space="preserve">. Species list.</w:t>
      </w:r>
    </w:p>
    <w:tbl>
      <w:tblPr>
        <w:tblStyle w:val="TableNormal"/>
        <w:tblW w:type="pct" w:w="4999.999999999999"/>
        <w:tblLook w:firstRow="1"/>
      </w:tblPr>
      <w:tblGrid>
        <w:gridCol w:w="3635"/>
        <w:gridCol w:w="1233"/>
        <w:gridCol w:w="2272"/>
        <w:gridCol w:w="779"/>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Collection Site</w:t>
            </w:r>
          </w:p>
        </w:tc>
        <w:tc>
          <w:tcPr>
            <w:tcBorders>
              <w:bottom w:val="single"/>
            </w:tcBorders>
            <w:vAlign w:val="bottom"/>
          </w:tcPr>
          <w:p>
            <w:pPr>
              <w:pStyle w:val="Compact"/>
              <w:jc w:val="left"/>
            </w:pPr>
            <w:r>
              <w:rPr>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type="textWrapping"/>
      </w:r>
      <w:r>
        <w:rPr>
          <w:b/>
        </w:rPr>
        <w:t xml:space="preserve">Table 2</w:t>
      </w:r>
      <w:r>
        <w:t xml:space="preserve">. Pooled ecophysiological traits for different plant lineages in open light and closed habitats.</w:t>
      </w:r>
    </w:p>
    <w:tbl>
      <w:tblPr>
        <w:tblStyle w:val="TableNormal"/>
        <w:tblW w:type="pct" w:w="4999.999999999999"/>
        <w:tblLook w:firstRow="1"/>
      </w:tblPr>
      <w:tblGrid>
        <w:gridCol w:w="885"/>
        <w:gridCol w:w="559"/>
        <w:gridCol w:w="605"/>
        <w:gridCol w:w="652"/>
        <w:gridCol w:w="652"/>
        <w:gridCol w:w="745"/>
        <w:gridCol w:w="605"/>
        <w:gridCol w:w="605"/>
        <w:gridCol w:w="605"/>
        <w:gridCol w:w="745"/>
        <w:gridCol w:w="652"/>
        <w:gridCol w:w="605"/>
      </w:tblGrid>
      <w:tr>
        <w:trPr>
          <w:cnfStyle w:firstRow="1"/>
        </w:trPr>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Canopy</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b/>
              </w:rPr>
              <w:t xml:space="preserve">Foliar N</w:t>
            </w:r>
          </w:p>
        </w:tc>
        <w:tc>
          <w:tcPr>
            <w:tcBorders>
              <w:bottom w:val="single"/>
            </w:tcBorders>
            <w:vAlign w:val="bottom"/>
          </w:tcPr>
          <w:p>
            <w:pPr>
              <w:pStyle w:val="Compact"/>
              <w:jc w:val="left"/>
            </w:pPr>
            <w:r>
              <w:rPr>
                <w:b/>
              </w:rPr>
              <w:t xml:space="preserve">Foliar P</w:t>
            </w:r>
          </w:p>
        </w:tc>
        <w:tc>
          <w:tcPr>
            <w:tcBorders>
              <w:bottom w:val="single"/>
            </w:tcBorders>
            <w:vAlign w:val="bottom"/>
          </w:tcPr>
          <w:p>
            <w:pPr>
              <w:pStyle w:val="Compact"/>
              <w:jc w:val="left"/>
            </w:pPr>
            <w:r>
              <w:rPr>
                <w:b/>
              </w:rPr>
              <w:t xml:space="preserve">C:N</w:t>
            </w:r>
          </w:p>
        </w:tc>
        <w:tc>
          <w:tcPr>
            <w:tcBorders>
              <w:bottom w:val="single"/>
            </w:tcBorders>
            <w:vAlign w:val="bottom"/>
          </w:tcPr>
          <w:p>
            <w:pPr>
              <w:pStyle w:val="Compact"/>
              <w:jc w:val="left"/>
            </w:pPr>
            <w:r>
              <w:rPr>
                <w:b/>
              </w:rPr>
              <w:t xml:space="preserve">N:P</w:t>
            </w:r>
          </w:p>
        </w:tc>
        <w:tc>
          <w:tcPr>
            <w:tcBorders>
              <w:bottom w:val="single"/>
            </w:tcBorders>
            <w:vAlign w:val="bottom"/>
          </w:tcPr>
          <w:p>
            <w:pPr>
              <w:pStyle w:val="Compact"/>
              <w:jc w:val="left"/>
            </w:pPr>
            <w:r>
              <w:rPr>
                <w:b/>
              </w:rPr>
              <w:t xml:space="preserve">SD</w:t>
            </w:r>
          </w:p>
        </w:tc>
        <w:tc>
          <w:tcPr>
            <w:tcBorders>
              <w:bottom w:val="single"/>
            </w:tcBorders>
            <w:vAlign w:val="bottom"/>
          </w:tcPr>
          <w:p>
            <w:pPr>
              <w:pStyle w:val="Compact"/>
              <w:jc w:val="left"/>
            </w:pPr>
            <w:r>
              <w:rPr>
                <w:b/>
              </w:rPr>
              <w:t xml:space="preserve">ϕ</w:t>
            </w:r>
          </w:p>
        </w:tc>
        <w:tc>
          <w:tcPr>
            <w:tcBorders>
              <w:bottom w:val="single"/>
            </w:tcBorders>
            <w:vAlign w:val="bottom"/>
          </w:tcPr>
          <w:p>
            <w:pPr>
              <w:pStyle w:val="Compact"/>
              <w:jc w:val="left"/>
            </w:pPr>
            <w:r>
              <w:rPr>
                <w:i/>
                <w:b/>
              </w:rPr>
              <w:t xml:space="preserve">R</w:t>
            </w:r>
            <w:r>
              <w:rPr>
                <w:vertAlign w:val="subscript"/>
                <w:b/>
              </w:rPr>
              <w:t xml:space="preserve">d</w:t>
            </w:r>
          </w:p>
        </w:tc>
        <w:tc>
          <w:tcPr>
            <w:tcBorders>
              <w:bottom w:val="single"/>
            </w:tcBorders>
            <w:vAlign w:val="bottom"/>
          </w:tcPr>
          <w:p>
            <w:pPr>
              <w:pStyle w:val="Compact"/>
              <w:jc w:val="left"/>
            </w:pPr>
            <w:r>
              <w:rPr>
                <w:b/>
              </w:rPr>
              <w:t xml:space="preserve">LCP</w:t>
            </w:r>
          </w:p>
        </w:tc>
      </w:tr>
      <w:tr>
        <w:tc>
          <w:p>
            <w:pPr>
              <w:pStyle w:val="Compact"/>
              <w:jc w:val="left"/>
            </w:pPr>
            <w:r>
              <w:t xml:space="preserve">Angiosperm</w:t>
            </w:r>
          </w:p>
        </w:tc>
        <w:tc>
          <w:p>
            <w:pPr>
              <w:pStyle w:val="Compact"/>
              <w:jc w:val="left"/>
            </w:pPr>
            <w:r>
              <w:t xml:space="preserve">Closed</w:t>
            </w:r>
          </w:p>
        </w:tc>
        <w:tc>
          <w:p>
            <w:pPr>
              <w:pStyle w:val="Compact"/>
              <w:jc w:val="left"/>
            </w:pPr>
            <w:r>
              <w:t xml:space="preserve">5.1 (0.21)</w:t>
            </w:r>
          </w:p>
        </w:tc>
        <w:tc>
          <w:p>
            <w:pPr>
              <w:pStyle w:val="Compact"/>
              <w:jc w:val="left"/>
            </w:pPr>
            <w:r>
              <w:t xml:space="preserve">0.10 (0.011)</w:t>
            </w:r>
          </w:p>
        </w:tc>
        <w:tc>
          <w:p>
            <w:pPr>
              <w:pStyle w:val="Compact"/>
              <w:jc w:val="left"/>
            </w:pPr>
            <w:r>
              <w:t xml:space="preserve">0.03 (0.001)</w:t>
            </w:r>
          </w:p>
        </w:tc>
        <w:tc>
          <w:p>
            <w:pPr>
              <w:pStyle w:val="Compact"/>
              <w:jc w:val="left"/>
            </w:pPr>
            <w:r>
              <w:t xml:space="preserve">0.003 (0.0001)</w:t>
            </w:r>
          </w:p>
        </w:tc>
        <w:tc>
          <w:p>
            <w:pPr>
              <w:pStyle w:val="Compact"/>
              <w:jc w:val="left"/>
            </w:pPr>
            <w:r>
              <w:t xml:space="preserve">14.3 (0.72)</w:t>
            </w:r>
          </w:p>
        </w:tc>
        <w:tc>
          <w:p>
            <w:pPr>
              <w:pStyle w:val="Compact"/>
              <w:jc w:val="left"/>
            </w:pPr>
            <w:r>
              <w:t xml:space="preserve">13.3 (1.27)</w:t>
            </w:r>
          </w:p>
        </w:tc>
        <w:tc>
          <w:p>
            <w:pPr>
              <w:pStyle w:val="Compact"/>
              <w:jc w:val="left"/>
            </w:pPr>
            <w:r>
              <w:t xml:space="preserve">29.2 (1.89)</w:t>
            </w:r>
          </w:p>
        </w:tc>
        <w:tc>
          <w:p>
            <w:pPr>
              <w:pStyle w:val="Compact"/>
              <w:jc w:val="left"/>
            </w:pPr>
            <w:r>
              <w:t xml:space="preserve">0.055 (0.0052)</w:t>
            </w:r>
          </w:p>
        </w:tc>
        <w:tc>
          <w:p>
            <w:pPr>
              <w:pStyle w:val="Compact"/>
              <w:jc w:val="left"/>
            </w:pPr>
            <w:r>
              <w:t xml:space="preserve">0.14 (0.022)</w:t>
            </w:r>
          </w:p>
        </w:tc>
        <w:tc>
          <w:p>
            <w:pPr>
              <w:pStyle w:val="Compact"/>
              <w:jc w:val="left"/>
            </w:pPr>
            <w:r>
              <w:t xml:space="preserve">2.5 (0.41)</w:t>
            </w:r>
          </w:p>
        </w:tc>
      </w:tr>
      <w:tr>
        <w:tc>
          <w:p>
            <w:pPr>
              <w:pStyle w:val="Compact"/>
            </w:pPr>
          </w:p>
        </w:tc>
        <w:tc>
          <w:p>
            <w:pPr>
              <w:pStyle w:val="Compact"/>
              <w:jc w:val="left"/>
            </w:pPr>
            <w:r>
              <w:t xml:space="preserve">Open</w:t>
            </w:r>
          </w:p>
        </w:tc>
        <w:tc>
          <w:p>
            <w:pPr>
              <w:pStyle w:val="Compact"/>
              <w:jc w:val="left"/>
            </w:pPr>
            <w:r>
              <w:t xml:space="preserve">13.1 (1.12)</w:t>
            </w:r>
          </w:p>
        </w:tc>
        <w:tc>
          <w:p>
            <w:pPr>
              <w:pStyle w:val="Compact"/>
              <w:jc w:val="left"/>
            </w:pPr>
            <w:r>
              <w:t xml:space="preserve">0.30 (0.046)</w:t>
            </w:r>
          </w:p>
        </w:tc>
        <w:tc>
          <w:p>
            <w:pPr>
              <w:pStyle w:val="Compact"/>
              <w:jc w:val="left"/>
            </w:pPr>
            <w:r>
              <w:t xml:space="preserve">0.02 (0.002)</w:t>
            </w:r>
          </w:p>
        </w:tc>
        <w:tc>
          <w:p>
            <w:pPr>
              <w:pStyle w:val="Compact"/>
              <w:jc w:val="left"/>
            </w:pPr>
            <w:r>
              <w:t xml:space="preserve">0.002 (0.0001)</w:t>
            </w:r>
          </w:p>
        </w:tc>
        <w:tc>
          <w:p>
            <w:pPr>
              <w:pStyle w:val="Compact"/>
              <w:jc w:val="left"/>
            </w:pPr>
            <w:r>
              <w:t xml:space="preserve">19.9 (2.33)</w:t>
            </w:r>
          </w:p>
        </w:tc>
        <w:tc>
          <w:p>
            <w:pPr>
              <w:pStyle w:val="Compact"/>
              <w:jc w:val="left"/>
            </w:pPr>
            <w:r>
              <w:t xml:space="preserve">11.6 (1.03)</w:t>
            </w:r>
          </w:p>
        </w:tc>
        <w:tc>
          <w:p>
            <w:pPr>
              <w:pStyle w:val="Compact"/>
              <w:jc w:val="left"/>
            </w:pPr>
            <w:r>
              <w:t xml:space="preserve">32.5 (3.17)</w:t>
            </w:r>
          </w:p>
        </w:tc>
        <w:tc>
          <w:p>
            <w:pPr>
              <w:pStyle w:val="Compact"/>
              <w:jc w:val="left"/>
            </w:pPr>
            <w:r>
              <w:t xml:space="preserve">0.067 (0.0034)</w:t>
            </w:r>
          </w:p>
        </w:tc>
        <w:tc>
          <w:p>
            <w:pPr>
              <w:pStyle w:val="Compact"/>
              <w:jc w:val="left"/>
            </w:pPr>
            <w:r>
              <w:t xml:space="preserve">0.77 (0.146)</w:t>
            </w:r>
          </w:p>
        </w:tc>
        <w:tc>
          <w:p>
            <w:pPr>
              <w:pStyle w:val="Compact"/>
              <w:jc w:val="left"/>
            </w:pPr>
            <w:r>
              <w:t xml:space="preserve">13.0 (2.83)</w:t>
            </w:r>
          </w:p>
        </w:tc>
      </w:tr>
      <w:tr>
        <w:tc>
          <w:p>
            <w:pPr>
              <w:pStyle w:val="Compact"/>
              <w:jc w:val="left"/>
            </w:pPr>
            <w:r>
              <w:t xml:space="preserve">Fern</w:t>
            </w:r>
          </w:p>
        </w:tc>
        <w:tc>
          <w:p>
            <w:pPr>
              <w:pStyle w:val="Compact"/>
              <w:jc w:val="left"/>
            </w:pPr>
            <w:r>
              <w:t xml:space="preserve">Closed</w:t>
            </w:r>
          </w:p>
        </w:tc>
        <w:tc>
          <w:p>
            <w:pPr>
              <w:pStyle w:val="Compact"/>
              <w:jc w:val="left"/>
            </w:pPr>
            <w:r>
              <w:t xml:space="preserve">4.5 (0.30)</w:t>
            </w:r>
          </w:p>
        </w:tc>
        <w:tc>
          <w:p>
            <w:pPr>
              <w:pStyle w:val="Compact"/>
              <w:jc w:val="left"/>
            </w:pPr>
            <w:r>
              <w:t xml:space="preserve">0.06 (0.004)</w:t>
            </w:r>
          </w:p>
        </w:tc>
        <w:tc>
          <w:p>
            <w:pPr>
              <w:pStyle w:val="Compact"/>
              <w:jc w:val="left"/>
            </w:pPr>
            <w:r>
              <w:t xml:space="preserve">0.03 (0.001)</w:t>
            </w:r>
          </w:p>
        </w:tc>
        <w:tc>
          <w:p>
            <w:pPr>
              <w:pStyle w:val="Compact"/>
              <w:jc w:val="left"/>
            </w:pPr>
            <w:r>
              <w:t xml:space="preserve">0.002 (0.0001)</w:t>
            </w:r>
          </w:p>
        </w:tc>
        <w:tc>
          <w:p>
            <w:pPr>
              <w:pStyle w:val="Compact"/>
              <w:jc w:val="left"/>
            </w:pPr>
            <w:r>
              <w:t xml:space="preserve">18.0 (0.75)</w:t>
            </w:r>
          </w:p>
        </w:tc>
        <w:tc>
          <w:p>
            <w:pPr>
              <w:pStyle w:val="Compact"/>
              <w:jc w:val="left"/>
            </w:pPr>
            <w:r>
              <w:t xml:space="preserve">13.8 (0.71)</w:t>
            </w:r>
          </w:p>
        </w:tc>
        <w:tc>
          <w:p>
            <w:pPr>
              <w:pStyle w:val="Compact"/>
              <w:jc w:val="left"/>
            </w:pPr>
            <w:r>
              <w:t xml:space="preserve">14.3 (1.26)</w:t>
            </w:r>
          </w:p>
        </w:tc>
        <w:tc>
          <w:p>
            <w:pPr>
              <w:pStyle w:val="Compact"/>
              <w:jc w:val="left"/>
            </w:pPr>
            <w:r>
              <w:t xml:space="preserve">0.074 (0.0072)</w:t>
            </w:r>
          </w:p>
        </w:tc>
        <w:tc>
          <w:p>
            <w:pPr>
              <w:pStyle w:val="Compact"/>
              <w:jc w:val="left"/>
            </w:pPr>
            <w:r>
              <w:t xml:space="preserve">0.46 (0.056)</w:t>
            </w:r>
          </w:p>
        </w:tc>
        <w:tc>
          <w:p>
            <w:pPr>
              <w:pStyle w:val="Compact"/>
              <w:jc w:val="left"/>
            </w:pPr>
            <w:r>
              <w:t xml:space="preserve">7.1 (1.11)</w:t>
            </w:r>
          </w:p>
        </w:tc>
      </w:tr>
      <w:tr>
        <w:tc>
          <w:p>
            <w:pPr>
              <w:pStyle w:val="Compact"/>
            </w:pPr>
          </w:p>
        </w:tc>
        <w:tc>
          <w:p>
            <w:pPr>
              <w:pStyle w:val="Compact"/>
              <w:jc w:val="left"/>
            </w:pPr>
            <w:r>
              <w:t xml:space="preserve">Open</w:t>
            </w:r>
          </w:p>
        </w:tc>
        <w:tc>
          <w:p>
            <w:pPr>
              <w:pStyle w:val="Compact"/>
              <w:jc w:val="left"/>
            </w:pPr>
            <w:r>
              <w:t xml:space="preserve">7.5 (0.58)</w:t>
            </w:r>
          </w:p>
        </w:tc>
        <w:tc>
          <w:p>
            <w:pPr>
              <w:pStyle w:val="Compact"/>
              <w:jc w:val="left"/>
            </w:pPr>
            <w:r>
              <w:t xml:space="preserve">0.11 (0.013)</w:t>
            </w:r>
          </w:p>
        </w:tc>
        <w:tc>
          <w:p>
            <w:pPr>
              <w:pStyle w:val="Compact"/>
              <w:jc w:val="left"/>
            </w:pPr>
            <w:r>
              <w:t xml:space="preserve">0.02 (0.001)</w:t>
            </w:r>
          </w:p>
        </w:tc>
        <w:tc>
          <w:p>
            <w:pPr>
              <w:pStyle w:val="Compact"/>
              <w:jc w:val="left"/>
            </w:pPr>
            <w:r>
              <w:t xml:space="preserve">0.002 (0.0001)</w:t>
            </w:r>
          </w:p>
        </w:tc>
        <w:tc>
          <w:p>
            <w:pPr>
              <w:pStyle w:val="Compact"/>
              <w:jc w:val="left"/>
            </w:pPr>
            <w:r>
              <w:t xml:space="preserve">19.2 (0.91)</w:t>
            </w:r>
          </w:p>
        </w:tc>
        <w:tc>
          <w:p>
            <w:pPr>
              <w:pStyle w:val="Compact"/>
              <w:jc w:val="left"/>
            </w:pPr>
            <w:r>
              <w:t xml:space="preserve">15.0 (0.86)</w:t>
            </w:r>
          </w:p>
        </w:tc>
        <w:tc>
          <w:p>
            <w:pPr>
              <w:pStyle w:val="Compact"/>
              <w:jc w:val="left"/>
            </w:pPr>
            <w:r>
              <w:t xml:space="preserve">15.2 (1.96)</w:t>
            </w:r>
          </w:p>
        </w:tc>
        <w:tc>
          <w:p>
            <w:pPr>
              <w:pStyle w:val="Compact"/>
              <w:jc w:val="left"/>
            </w:pPr>
            <w:r>
              <w:t xml:space="preserve">0.062 (0.0015)</w:t>
            </w:r>
          </w:p>
        </w:tc>
        <w:tc>
          <w:p>
            <w:pPr>
              <w:pStyle w:val="Compact"/>
              <w:jc w:val="left"/>
            </w:pPr>
            <w:r>
              <w:t xml:space="preserve">0.26 (0.039)</w:t>
            </w:r>
          </w:p>
        </w:tc>
        <w:tc>
          <w:p>
            <w:pPr>
              <w:pStyle w:val="Compact"/>
              <w:jc w:val="left"/>
            </w:pPr>
            <w:r>
              <w:t xml:space="preserve">4.3 (0.67)</w:t>
            </w:r>
          </w:p>
        </w:tc>
      </w:tr>
      <w:tr>
        <w:tc>
          <w:p>
            <w:pPr>
              <w:pStyle w:val="Compact"/>
              <w:jc w:val="left"/>
            </w:pPr>
            <w:r>
              <w:t xml:space="preserve">Lycophyte</w:t>
            </w:r>
          </w:p>
        </w:tc>
        <w:tc>
          <w:p>
            <w:pPr>
              <w:pStyle w:val="Compact"/>
              <w:jc w:val="left"/>
            </w:pPr>
            <w:r>
              <w:t xml:space="preserve">Closed</w:t>
            </w:r>
          </w:p>
        </w:tc>
        <w:tc>
          <w:p>
            <w:pPr>
              <w:pStyle w:val="Compact"/>
              <w:jc w:val="left"/>
            </w:pPr>
            <w:r>
              <w:t xml:space="preserve">3.6 (0.20)</w:t>
            </w:r>
          </w:p>
        </w:tc>
        <w:tc>
          <w:p>
            <w:pPr>
              <w:pStyle w:val="Compact"/>
              <w:jc w:val="left"/>
            </w:pPr>
            <w:r>
              <w:t xml:space="preserve">0.02 (0.002)</w:t>
            </w:r>
          </w:p>
        </w:tc>
        <w:tc>
          <w:p>
            <w:pPr>
              <w:pStyle w:val="Compact"/>
              <w:jc w:val="left"/>
            </w:pPr>
            <w:r>
              <w:t xml:space="preserve">0.02 (0.001)</w:t>
            </w:r>
          </w:p>
        </w:tc>
        <w:tc>
          <w:p>
            <w:pPr>
              <w:pStyle w:val="Compact"/>
              <w:jc w:val="left"/>
            </w:pPr>
            <w:r>
              <w:t xml:space="preserve">0.002 (0.0002)</w:t>
            </w:r>
          </w:p>
        </w:tc>
        <w:tc>
          <w:p>
            <w:pPr>
              <w:pStyle w:val="Compact"/>
              <w:jc w:val="left"/>
            </w:pPr>
            <w:r>
              <w:t xml:space="preserve">29.2 (1.01)</w:t>
            </w:r>
          </w:p>
        </w:tc>
        <w:tc>
          <w:p>
            <w:pPr>
              <w:pStyle w:val="Compact"/>
              <w:jc w:val="left"/>
            </w:pPr>
            <w:r>
              <w:t xml:space="preserve">10.8 (0.89)</w:t>
            </w:r>
          </w:p>
        </w:tc>
        <w:tc>
          <w:p>
            <w:pPr>
              <w:pStyle w:val="Compact"/>
              <w:jc w:val="left"/>
            </w:pPr>
            <w:r>
              <w:t xml:space="preserve">24.9 (3.04)</w:t>
            </w:r>
          </w:p>
        </w:tc>
        <w:tc>
          <w:p>
            <w:pPr>
              <w:pStyle w:val="Compact"/>
              <w:jc w:val="left"/>
            </w:pPr>
            <w:r>
              <w:t xml:space="preserve">0.085 (0.0088)</w:t>
            </w:r>
          </w:p>
        </w:tc>
        <w:tc>
          <w:p>
            <w:pPr>
              <w:pStyle w:val="Compact"/>
              <w:jc w:val="left"/>
            </w:pPr>
            <w:r>
              <w:t xml:space="preserve">0.48 (0.085)</w:t>
            </w:r>
          </w:p>
        </w:tc>
        <w:tc>
          <w:p>
            <w:pPr>
              <w:pStyle w:val="Compact"/>
              <w:jc w:val="left"/>
            </w:pPr>
            <w:r>
              <w:t xml:space="preserve">7.1 (1.27)</w:t>
            </w:r>
          </w:p>
        </w:tc>
      </w:tr>
    </w:tbl>
    <w:p>
      <w:pPr>
        <w:pStyle w:val="Heading1"/>
      </w:pPr>
      <w:bookmarkStart w:id="44" w:name="figures"/>
      <w:bookmarkEnd w:id="44"/>
      <w:r>
        <w:t xml:space="preserve">Figures</w:t>
      </w:r>
    </w:p>
    <w:p>
      <w:pPr>
        <w:pStyle w:val="FirstParagraph"/>
      </w:pPr>
      <w:r>
        <w:drawing>
          <wp:inline>
            <wp:extent cx="5943600" cy="5943600"/>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1</w:t>
      </w:r>
      <w:r>
        <w:t xml:space="preserve">. Redundancy analysis of measured functional traits across con-occuring angiosperms and fern species in open and shaded habitats. With the 12 measured variables, number%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the leaf carbon to nitrogen ratio (C:N) and the leaf nitrogen to phosphorus ratio (N:P).</w:t>
      </w:r>
    </w:p>
    <w:p>
      <w:pPr>
        <w:pStyle w:val="BodyText"/>
      </w:pPr>
      <w:r>
        <w:br w:type="textWrapping"/>
      </w:r>
      <w:r>
        <w:drawing>
          <wp:inline>
            <wp:extent cx="5943600" cy="5943600"/>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2</w:t>
      </w:r>
      <w:r>
        <w:t xml:space="preserve">. Redundancy analysis of measured functional traits across con-occuring angiosperms fern and lycopyte species in shaded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3</w:t>
      </w:r>
      <w:r>
        <w:t xml:space="preserve">. Differences in mean physiological traits between co-occuring angiosperms and fern species in open light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4</w:t>
      </w:r>
      <w:r>
        <w:t xml:space="preserve">. Differences in mean physiological traits between lycophytes species that are constrained to only shade habitats and ferns and angiosperms.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5</w:t>
      </w:r>
      <w:r>
        <w:t xml:space="preserve">. Differences in mean physiological traits between co-occuring seed (angiosperms) and non-seed plant species (ferns + lycophytes) in shade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nitro-1.png" id="0"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6</w:t>
      </w:r>
      <w:r>
        <w:t xml:space="preserve">. Postive relationship between photosynthesis and foliar nitrogen content exists for angiosperms and fern species in open light habitat, but not in shade habitats</w:t>
      </w:r>
    </w:p>
    <w:p>
      <w:pPr>
        <w:pStyle w:val="Heading1"/>
      </w:pPr>
      <w:bookmarkStart w:id="51" w:name="references"/>
      <w:bookmarkEnd w:id="51"/>
      <w:r>
        <w:t xml:space="preserve">References</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daaa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of ecophysiological traits define how plant lineages make a living in shaded environments</dc:title>
  <dc:creator/>
  <dcterms:created xsi:type="dcterms:W3CDTF">2019-03-14T15:47:28Z</dcterms:created>
  <dcterms:modified xsi:type="dcterms:W3CDTF">2019-03-14T15:47:28Z</dcterms:modified>
</cp:coreProperties>
</file>