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3.png" ContentType="image/png"/>
  <Override PartName="/word/media/rId45.png" ContentType="image/png"/>
  <Override PartName="/word/media/rId40.png" ContentType="image/png"/>
  <Override PartName="/word/media/rId41.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of</w:t>
      </w:r>
      <w:r>
        <w:t xml:space="preserve"> </w:t>
      </w:r>
      <w:r>
        <w:t xml:space="preserve">ecophysiological</w:t>
      </w:r>
      <w:r>
        <w:t xml:space="preserve"> </w:t>
      </w:r>
      <w:r>
        <w:t xml:space="preserve">traits</w:t>
      </w:r>
      <w:r>
        <w:t xml:space="preserve"> </w:t>
      </w:r>
      <w:r>
        <w:t xml:space="preserve">structure</w:t>
      </w:r>
      <w:r>
        <w:t xml:space="preserve"> </w:t>
      </w:r>
      <w:r>
        <w:t xml:space="preserve">how</w:t>
      </w:r>
      <w:r>
        <w:t xml:space="preserve"> </w:t>
      </w:r>
      <w:r>
        <w:t xml:space="preserve">herbaceous</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James 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w:t>
      </w:r>
    </w:p>
    <w:p>
      <w:pPr>
        <w:pStyle w:val="BodyText"/>
      </w:pPr>
      <w:r>
        <w:br w:type="textWrapping"/>
      </w:r>
      <w:r>
        <w:t xml:space="preserve">Running Head: Ecophysiology of herbaceous plant lineages</w:t>
      </w:r>
    </w:p>
    <w:p>
      <w:pPr>
        <w:pStyle w:val="Heading1"/>
      </w:pPr>
      <w:bookmarkStart w:id="22" w:name="abstract"/>
      <w:bookmarkEnd w:id="22"/>
      <w:r>
        <w:t xml:space="preserve">Abstract</w:t>
      </w:r>
    </w:p>
    <w:p>
      <w:pPr>
        <w:pStyle w:val="FirstParagraph"/>
      </w:pPr>
      <w:r>
        <w:br w:type="textWrapping"/>
      </w: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campany).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A series of elegant studies have shown that stomatal control of ferns and lycophytes differs fundamentally from seed plants. Evidence on fern and lycophyte stomata indicates that these groups have inefficient stomatal systems, likely possessing a hydro-passive mechanism which influences stomatal opening and closing (many cites). Specifically, unlike seed plants, fern and lycophyte stomata fail to close in response to abscisic acid (ABA) addition (many cites). Additionally, recent evidence also suggests that co-occurring tropical ferns and lycophytes optimize their ecophysiology differently (Campany). Consequently, the evolution or adaptation of physiological traits may impact the differential distribution of ferns,lycophytes and seed plants to each other.</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limited number of present studies, ferns and lycophytes appear to have lower photosynthetic rates than seed plants (cite). This would suggest that non-seed plants may be at a competitive disadvantage when growing alongside seed plants. However, none of these studies have systematically compared the physiology of these groups when growing in similar habitats.</w:t>
      </w:r>
    </w:p>
    <w:p>
      <w:pPr>
        <w:pStyle w:val="BodyText"/>
      </w:pPr>
      <w:r>
        <w:br w:type="textWrapping"/>
      </w:r>
      <w:r>
        <w:br w:type="textWrapping"/>
      </w:r>
      <w:r>
        <w:t xml:space="preserve">The goal of this study is to examine the comparative ecophysiology of a number of temperate ferns and lycophytes to angiosperms. First, we compared a suite of plant functional traits between co-occurring herbaceous ferns, lycophytes and angiosperm in identical closed canopy habitats. In a pairwise comparison, we then evaluated the potential of fern and angiosperm species to adapt to open-light habitats. Given increasing evidence of inefficient stomatal functions in non-seed plants, we hypothesized that ferns and lycophytes would have lower photosynthetic rates and stomatal conductance values in comparison to the nearby angiosperms. This, in turn, would impact aspects of leaf anatomy, nutrient relations, and water use efficiency. We also predict that canalized physiological function affects the ecology of lycophytes in a manner that prevents them from establishing in full sun environments.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USA. Data for most species were gathered at the Edmund Niles Hyuck Preserve (ENHP), characterized by mixed hardwood hemlock forests along the Helderberg escarpment in the foothills of the Catskill mountain range. Data from the second site were gathered at a forested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To examine ferns relative to light-analogous angiosperms, we first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(closed) and open canopy high-light areas (open). At the Colgate University site, additional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Second,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2x3 cm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explicitly controlled in the leaf cuvette. Cuvette leaf temperatures ranged from 27-30 °C and leaf vapor pressure deficit (VPD) averaged 1.37±0.40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w:t>
      </w:r>
      <w:r>
        <w:t xml:space="preserve"> </w:t>
      </w:r>
      <w:r>
        <w:t xml:space="preserve">Lobo</w:t>
      </w:r>
      <w:r>
        <w:t xml:space="preserve"> </w:t>
      </w:r>
      <w:r>
        <w:rPr>
          <w:i/>
        </w:rPr>
        <w:t xml:space="preserve">et al.</w:t>
      </w:r>
      <w:r>
        <w:t xml:space="preserve"> </w:t>
      </w:r>
      <w:r>
        <w:t xml:space="preserve">(2013)</w:t>
      </w:r>
      <w:r>
        <w:t xml:space="preserve">). The light compensation point (LCP) was calculated as the PPFD at which the net photosynthetic rate equaled zero from the linear phase of each light response curve. Quantum yield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point measurements of leaf gas exchange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leaf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St. Louis, USA). Foliar nitrogen content (N) was measured using a Costech Analytical Elemental Analyzer (Valencia, USA), with the percentage N in samples calculated by comparison with certified standards. Foliar phosphorus concentrations (P) were determined using an ash digestion process</w:t>
      </w:r>
      <w:r>
        <w:t xml:space="preserve"> </w:t>
      </w:r>
      <w:r>
        <w:t xml:space="preserve">(D’Angelo</w:t>
      </w:r>
      <w:r>
        <w:t xml:space="preserve"> </w:t>
      </w:r>
      <w:r>
        <w:rPr>
          <w:i/>
        </w:rPr>
        <w:t xml:space="preserve">et al.</w:t>
      </w:r>
      <w:r>
        <w:t xml:space="preserve">, 2001)</w:t>
      </w:r>
      <w:r>
        <w:t xml:space="preserve"> </w:t>
      </w:r>
      <w:r>
        <w:t xml:space="preserve">preceded by color development and absorbance measurement on an Astoria Paciﬁc colorimetric autoanalyzer (Clackamas, Oregon, USA).</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w:t>
      </w:r>
      <w:r>
        <w:rPr>
          <w:vertAlign w:val="superscript"/>
        </w:rPr>
        <w:t xml:space="preserve">2</w:t>
      </w:r>
      <w:r>
        <w:t xml:space="preserve">.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(Oksanen</w:t>
      </w:r>
      <w:r>
        <w:t xml:space="preserve"> </w:t>
      </w:r>
      <w:r>
        <w:rPr>
          <w:i/>
        </w:rPr>
        <w:t xml:space="preserve">et al.</w:t>
      </w:r>
      <w:r>
        <w:t xml:space="preserve">, 2019)</w:t>
      </w:r>
      <w:r>
        <w:t xml:space="preserve">, was used to explore how measured functional traits were distributed and co-varied among plant groups and canopy type. Linear mixed-effect models were used to test responses of functional traits to categorical fixed effects of plant group, habitat type and/or reproduction type (spore vs seed). The interaction between plant group and habitat was tested for functional trait comparisions between analagous fern and angiosperm species. To test for broad differences among plant groups,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(Hothorn</w:t>
      </w:r>
      <w:r>
        <w:t xml:space="preserve"> </w:t>
      </w:r>
      <w:r>
        <w:rPr>
          <w:i/>
        </w:rPr>
        <w:t xml:space="preserve">et al.</w:t>
      </w:r>
      <w:r>
        <w:t xml:space="preserve">, 2008)</w:t>
      </w:r>
      <w:r>
        <w:t xml:space="preserve">.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2019)</w:t>
      </w:r>
      <w:r>
        <w:t xml:space="preserve"> </w:t>
      </w:r>
      <w:r>
        <w:t xml:space="preserve">were calculated to investigate interactions between plant group and habitat, if present. For bivariate trait relationships, responses of dependent variables were analysed with linear mixed-effect models, with species as a random effect and plant group and/or canopy type as categorical fixed effects. Explained variance (R</w:t>
      </w:r>
      <w:r>
        <w:rPr>
          <w:vertAlign w:val="superscript"/>
        </w:rPr>
        <w:t xml:space="preserve">2</w:t>
      </w:r>
      <w:r>
        <w:t xml:space="preserve">) of mixed models were computed as in</w:t>
      </w:r>
      <w:r>
        <w:t xml:space="preserve"> </w:t>
      </w:r>
      <w:r>
        <w:t xml:space="preserve">Nakagawa &amp; Schielzeth (2013)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(R Core Team, 2018)</w:t>
      </w:r>
      <w:r>
        <w:t xml:space="preserve">.</w:t>
      </w:r>
    </w:p>
    <w:p>
      <w:pPr>
        <w:pStyle w:val="Heading1"/>
      </w:pPr>
      <w:bookmarkStart w:id="30" w:name="results"/>
      <w:bookmarkEnd w:id="30"/>
      <w:r>
        <w:t xml:space="preserve">Results</w:t>
      </w:r>
    </w:p>
    <w:p>
      <w:pPr>
        <w:pStyle w:val="Heading2"/>
      </w:pPr>
      <w:bookmarkStart w:id="31" w:name="ecophysiology-among-plant-lineages-and-habitats"/>
      <w:bookmarkEnd w:id="31"/>
      <w:r>
        <w:t xml:space="preserve">Ecophysiology among plant lineages and habitats</w:t>
      </w:r>
    </w:p>
    <w:p>
      <w:pPr>
        <w:pStyle w:val="FirstParagraph"/>
      </w:pPr>
      <w:r>
        <w:t xml:space="preserve">We first explored how each of 10 measured functional traits varied and were distributed among co-occurring ferns, angiosperms and lycophytes in closed habitats. In total, 52.9 % of the trait variation was accounted for in two dimensions, encompassing differences in resource economics, physiology and anatomy of the surveyed taxa. Interestingly, there was minimal overlap among component scores for angiosperms compared to spore-bearing ferns and lycophytes (Figure 1). Specifically, angiosperm species were associated with gas exchange, anatomical and stoichiometric functional traits related to optimizing carboxylation. In contrast, lycophyte and fern species were most associated with physiological traits related to maintaining postie carbon balance.</w:t>
      </w:r>
    </w:p>
    <w:p>
      <w:pPr>
        <w:pStyle w:val="BodyText"/>
      </w:pPr>
      <w:r>
        <w:br w:type="textWrapping"/>
      </w:r>
      <w:r>
        <w:t xml:space="preserve">Next, we explored how the same suite of 10 functional traits were distributed among open and closed habitats, in both angiosperms and ferns. In total, 55.9 % of the trait variation was accounted for in two dimensions. Component scores for angiosperms and fern species broadly diverged across open and closed canopy habitats, however, associations with physiological traits in open habitats were stronger for angiosperms (Figure 2). Specifically, angiosperms appear more plastic in their ability to up-regulate traits related to photosynthetic gas exchange with increased light availability. Overall, these diverging relationships with measured functional traits suggest a highly variable in situ ecophysiology for coexisting angiosperm, fern and lycophyte taxa. This is evident in broad differences in mean values of ecophyioslogical traits across the three plant lineages and among habitat types (Table 2).</w:t>
      </w:r>
    </w:p>
    <w:p>
      <w:pPr>
        <w:pStyle w:val="Heading2"/>
      </w:pPr>
      <w:bookmarkStart w:id="32" w:name="leaf-gas-exchange"/>
      <w:bookmarkEnd w:id="32"/>
      <w:r>
        <w:t xml:space="preserve">Leaf gas exchange</w:t>
      </w:r>
    </w:p>
    <w:p>
      <w:pPr>
        <w:pStyle w:val="FirstParagraph"/>
      </w:pPr>
      <w:r>
        <w:t xml:space="preserve">Ferns and angiosperms growing in low-light habitats had similar A</w:t>
      </w:r>
      <w:r>
        <w:rPr>
          <w:vertAlign w:val="subscript"/>
        </w:rPr>
        <w:t xml:space="preserve">n</w:t>
      </w:r>
      <w:r>
        <w:t xml:space="preserve">, however, in open habitats angiosperms had 74.0 %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Figure 3A). Rates of A</w:t>
      </w:r>
      <w:r>
        <w:rPr>
          <w:vertAlign w:val="subscript"/>
        </w:rPr>
        <w:t xml:space="preserve">n</w:t>
      </w:r>
      <w:r>
        <w:t xml:space="preserve"> </w:t>
      </w:r>
      <w:r>
        <w:t xml:space="preserve">for angiosperms in open habitats were 154.2 % higher than angiosperms in closed habitats (</w:t>
      </w:r>
      <w:r>
        <w:rPr>
          <w:i/>
        </w:rPr>
        <w:t xml:space="preserve">P</w:t>
      </w:r>
      <w:r>
        <w:t xml:space="preserve"> </w:t>
      </w:r>
      <w:r>
        <w:t xml:space="preserve">=0.001, t=-4.742), while rates of A</w:t>
      </w:r>
      <w:r>
        <w:rPr>
          <w:vertAlign w:val="subscript"/>
        </w:rPr>
        <w:t xml:space="preserve">n</w:t>
      </w:r>
      <w:r>
        <w:t xml:space="preserve"> </w:t>
      </w:r>
      <w:r>
        <w:t xml:space="preserve">for ferns were statistically similar across habitat types. Overall, ferns and angiosperms in open habitats had nearly 3-fold higher g</w:t>
      </w:r>
      <w:r>
        <w:rPr>
          <w:vertAlign w:val="subscript"/>
        </w:rPr>
        <w:t xml:space="preserve">s</w:t>
      </w:r>
      <w:r>
        <w:t xml:space="preserve"> </w:t>
      </w:r>
      <w:r>
        <w:t xml:space="preserve">than comparable species in closed habitats (</w:t>
      </w:r>
      <w:r>
        <w:rPr>
          <w:i/>
        </w:rPr>
        <w:t xml:space="preserve">P</w:t>
      </w:r>
      <w:r>
        <w:t xml:space="preserve"> </w:t>
      </w:r>
      <w:r>
        <w:t xml:space="preserve">= 0.003). Rates of g</w:t>
      </w:r>
      <w:r>
        <w:rPr>
          <w:vertAlign w:val="subscript"/>
        </w:rPr>
        <w:t xml:space="preserve">s</w:t>
      </w:r>
      <w:r>
        <w:t xml:space="preserve"> </w:t>
      </w:r>
      <w:r>
        <w:t xml:space="preserve">for angiosperms in open habitats increased nearly two-fold compared to angiosperms in closed habitats (</w:t>
      </w:r>
      <w:r>
        <w:rPr>
          <w:i/>
        </w:rPr>
        <w:t xml:space="preserve">P</w:t>
      </w:r>
      <w:r>
        <w:t xml:space="preserve"> </w:t>
      </w:r>
      <w:r>
        <w:t xml:space="preserve">= 0.0341, t=-2.973), while rates of g</w:t>
      </w:r>
      <w:r>
        <w:rPr>
          <w:vertAlign w:val="subscript"/>
        </w:rPr>
        <w:t xml:space="preserve">s</w:t>
      </w:r>
      <w:r>
        <w:t xml:space="preserve"> </w:t>
      </w:r>
      <w:r>
        <w:t xml:space="preserve">for ferns were statistically similar across habitat types (Figure 3B). Neither ferns nor angiosperms differed in WUE across the open and closed habitats, and WUE was statistically similar bewteen the two plant groups.</w:t>
      </w:r>
    </w:p>
    <w:p>
      <w:pPr>
        <w:pStyle w:val="BodyText"/>
      </w:pPr>
      <w:r>
        <w:br w:type="textWrapping"/>
      </w:r>
      <w:r>
        <w:t xml:space="preserve">In closed habitats, variation in gas exchange parameters was largely associated with individual species variation (random effect) instead of functional differences between plant groups. No differences between A</w:t>
      </w:r>
      <w:r>
        <w:rPr>
          <w:vertAlign w:val="subscript"/>
        </w:rPr>
        <w:t xml:space="preserve">n</w:t>
      </w:r>
      <w:r>
        <w:t xml:space="preserve"> </w:t>
      </w:r>
      <w:r>
        <w:t xml:space="preserve">were detected between between angiosperms, ferns or lycophytes. Rates of g</w:t>
      </w:r>
      <w:r>
        <w:rPr>
          <w:vertAlign w:val="subscript"/>
        </w:rPr>
        <w:t xml:space="preserve">s</w:t>
      </w:r>
      <w:r>
        <w:t xml:space="preserve"> </w:t>
      </w:r>
      <w:r>
        <w:t xml:space="preserve">were highest in angiosperms (</w:t>
      </w:r>
      <w:r>
        <w:rPr>
          <w:i/>
        </w:rPr>
        <w:t xml:space="preserve">P</w:t>
      </w:r>
      <w:r>
        <w:t xml:space="preserve"> </w:t>
      </w:r>
      <w:r>
        <w:t xml:space="preserve">= 0.001, Figure 4A). Overall, the spore-bearing plant species had 50.5 % lower g</w:t>
      </w:r>
      <w:r>
        <w:rPr>
          <w:vertAlign w:val="subscript"/>
        </w:rPr>
        <w:t xml:space="preserve">s</w:t>
      </w:r>
      <w:r>
        <w:t xml:space="preserve"> </w:t>
      </w:r>
      <w:r>
        <w:t xml:space="preserve">than angiosperms (</w:t>
      </w:r>
      <w:r>
        <w:rPr>
          <w:i/>
        </w:rPr>
        <w:t xml:space="preserve">P</w:t>
      </w:r>
      <w:r>
        <w:t xml:space="preserve"> </w:t>
      </w:r>
      <w:r>
        <w:t xml:space="preserve">= 0.004, Figure 5A). Water-use efficiency was 88.5 % higher in lycophytes than ferns and angiosperms (</w:t>
      </w:r>
      <w:r>
        <w:rPr>
          <w:i/>
        </w:rPr>
        <w:t xml:space="preserve">P</w:t>
      </w:r>
      <w:r>
        <w:t xml:space="preserve"> </w:t>
      </w:r>
      <w:r>
        <w:t xml:space="preserve">= 0.005), while ferns and angiosperms where statistically similar (Figure 4B).</w:t>
      </w:r>
    </w:p>
    <w:p>
      <w:pPr>
        <w:pStyle w:val="Heading2"/>
      </w:pPr>
      <w:bookmarkStart w:id="33" w:name="light-response-curve-parameters"/>
      <w:bookmarkEnd w:id="33"/>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closed habitats. Quantum yields were also equivalent across angiosperms and ferns in open and closed habitats. Shifts in R</w:t>
      </w:r>
      <w:r>
        <w:rPr>
          <w:vertAlign w:val="subscript"/>
        </w:rPr>
        <w:t xml:space="preserve">d</w:t>
      </w:r>
      <w:r>
        <w:t xml:space="preserve"> </w:t>
      </w:r>
      <w:r>
        <w:t xml:space="preserve">between open and closed habitats differed for angiosperms but not for ferns (habitat x plant group,</w:t>
      </w:r>
      <w:r>
        <w:t xml:space="preserve"> </w:t>
      </w:r>
      <w:r>
        <w:rPr>
          <w:i/>
        </w:rPr>
        <w:t xml:space="preserve">P</w:t>
      </w:r>
      <w:r>
        <w:t xml:space="preserve"> </w:t>
      </w:r>
      <w:r>
        <w:t xml:space="preserve">&lt; 0.001, Figure 3C). Specifically, R</w:t>
      </w:r>
      <w:r>
        <w:rPr>
          <w:vertAlign w:val="subscript"/>
        </w:rPr>
        <w:t xml:space="preserve">d</w:t>
      </w:r>
      <w:r>
        <w:t xml:space="preserve"> </w:t>
      </w:r>
      <w:r>
        <w:t xml:space="preserve">in angiosperms was 4 fold greater in open compared to closed habitats (t=-4.802,</w:t>
      </w:r>
      <w:r>
        <w:t xml:space="preserve"> </w:t>
      </w:r>
      <w:r>
        <w:rPr>
          <w:i/>
        </w:rPr>
        <w:t xml:space="preserve">P</w:t>
      </w:r>
      <w:r>
        <w:t xml:space="preserve"> </w:t>
      </w:r>
      <w:r>
        <w:t xml:space="preserve">= 0.013). Similarly, shifts in LCP between open and closed habitats differed for angiosperms but not for ferns (habitats x plant group,</w:t>
      </w:r>
      <w:r>
        <w:t xml:space="preserve"> </w:t>
      </w:r>
      <w:r>
        <w:rPr>
          <w:i/>
        </w:rPr>
        <w:t xml:space="preserve">P</w:t>
      </w:r>
      <w:r>
        <w:t xml:space="preserve"> </w:t>
      </w:r>
      <w:r>
        <w:t xml:space="preserve">&lt; 0.001, Figure 3D). Specifically, the LCP in angiosperms increased nearly 4-fold in open compared to closed habitats (t=-4.382,</w:t>
      </w:r>
      <w:r>
        <w:t xml:space="preserve"> </w:t>
      </w:r>
      <w:r>
        <w:rPr>
          <w:i/>
        </w:rPr>
        <w:t xml:space="preserve">P</w:t>
      </w:r>
      <w:r>
        <w:t xml:space="preserve"> </w:t>
      </w:r>
      <w:r>
        <w:t xml:space="preserve">= 0.019).</w:t>
      </w:r>
    </w:p>
    <w:p>
      <w:pPr>
        <w:pStyle w:val="BodyText"/>
      </w:pPr>
      <w:r>
        <w:br w:type="textWrapping"/>
      </w:r>
      <w:r>
        <w:t xml:space="preserve">In closed canopy habitats, the LCP of spore-bearing plant species were equivalent and 161.9 % higher than angiosperm species (</w:t>
      </w:r>
      <w:r>
        <w:rPr>
          <w:i/>
        </w:rPr>
        <w:t xml:space="preserve">P</w:t>
      </w:r>
      <w:r>
        <w:t xml:space="preserve"> </w:t>
      </w:r>
      <w:r>
        <w:t xml:space="preserve">= 0.0195, Figure 5C). Photosynthetic quantum was statistically similar between each plant group, but lycophytes and ferns were broadly higher than angiosperms. Spore-bearing plant species had equivalent R</w:t>
      </w:r>
      <w:r>
        <w:rPr>
          <w:vertAlign w:val="subscript"/>
        </w:rPr>
        <w:t xml:space="preserve">d</w:t>
      </w:r>
      <w:r>
        <w:t xml:space="preserve">, and R</w:t>
      </w:r>
      <w:r>
        <w:rPr>
          <w:vertAlign w:val="subscript"/>
        </w:rPr>
        <w:t xml:space="preserve">d</w:t>
      </w:r>
      <w:r>
        <w:t xml:space="preserve"> </w:t>
      </w:r>
      <w:r>
        <w:t xml:space="preserve">was nearly 4-fold lower than in angiosperms (</w:t>
      </w:r>
      <w:r>
        <w:rPr>
          <w:i/>
        </w:rPr>
        <w:t xml:space="preserve">P</w:t>
      </w:r>
      <w:r>
        <w:t xml:space="preserve"> </w:t>
      </w:r>
      <w:r>
        <w:t xml:space="preserve">= 0.0178, Figure 5D)</w:t>
      </w:r>
    </w:p>
    <w:p>
      <w:pPr>
        <w:pStyle w:val="Heading2"/>
      </w:pPr>
      <w:bookmarkStart w:id="34" w:name="stoichiometry"/>
      <w:bookmarkEnd w:id="34"/>
      <w:r>
        <w:t xml:space="preserve">Stoichiometry</w:t>
      </w:r>
    </w:p>
    <w:p>
      <w:pPr>
        <w:pStyle w:val="FirstParagraph"/>
      </w:pPr>
      <w:r>
        <w:t xml:space="preserve">Ferns and angiosperms in open habitats had marginally lower foliar N content compared to similar species growing in closed habitats (-17.2 %,</w:t>
      </w:r>
      <w:r>
        <w:t xml:space="preserve"> </w:t>
      </w:r>
      <w:r>
        <w:rPr>
          <w:i/>
        </w:rPr>
        <w:t xml:space="preserve">P</w:t>
      </w:r>
      <w:r>
        <w:t xml:space="preserve"> </w:t>
      </w:r>
      <w:r>
        <w:t xml:space="preserve">= 0.073), with a large proportion of variation attributed to individual species differences. No differences in foliar P content were detected between open and closed habitats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habitat types.</w:t>
      </w:r>
    </w:p>
    <w:p>
      <w:pPr>
        <w:pStyle w:val="BodyText"/>
      </w:pPr>
      <w:r>
        <w:br w:type="textWrapping"/>
      </w:r>
      <w:r>
        <w:t xml:space="preserve">Within closed habitats, lycophytes have 46.3 % lower foliar N content than ferns and angiosperms, which do not statistically differ (</w:t>
      </w:r>
      <w:r>
        <w:rPr>
          <w:i/>
        </w:rPr>
        <w:t xml:space="preserve">P</w:t>
      </w:r>
      <w:r>
        <w:t xml:space="preserve"> </w:t>
      </w:r>
      <w:r>
        <w:t xml:space="preserve">&lt; 0.001, Figure 4C). Lycophytes also had 24.0 % lower foliar P content than angiosperms (</w:t>
      </w:r>
      <w:r>
        <w:rPr>
          <w:i/>
        </w:rPr>
        <w:t xml:space="preserve">P</w:t>
      </w:r>
      <w:r>
        <w:t xml:space="preserve"> </w:t>
      </w:r>
      <w:r>
        <w:t xml:space="preserve">= .026), while ferns were similar to both groups (Figure 4D). Overall, spore-bearing species had 18.7 % lower foliar P content than angiosperm species (</w:t>
      </w:r>
      <w:r>
        <w:rPr>
          <w:i/>
        </w:rPr>
        <w:t xml:space="preserve">P</w:t>
      </w:r>
      <w:r>
        <w:t xml:space="preserve"> </w:t>
      </w:r>
      <w:r>
        <w:t xml:space="preserve">= 0.008, Figure 5B). The N:P ratios were not statistically different across angiosperms, ferns and lycophytes in closed habitats.</w:t>
      </w:r>
    </w:p>
    <w:p>
      <w:pPr>
        <w:pStyle w:val="BodyText"/>
      </w:pPr>
      <w:r>
        <w:br w:type="textWrapping"/>
      </w:r>
      <w:r>
        <w:t xml:space="preserve">The relationship between A</w:t>
      </w:r>
      <w:r>
        <w:rPr>
          <w:vertAlign w:val="subscript"/>
        </w:rPr>
        <w:t xml:space="preserve">n</w:t>
      </w:r>
      <w:r>
        <w:t xml:space="preserve"> </w:t>
      </w:r>
      <w:r>
        <w:t xml:space="preserve">and foliar N content depended on both plant group and habitat type (habitat x plant group,</w:t>
      </w:r>
      <w:r>
        <w:t xml:space="preserve"> </w:t>
      </w:r>
      <w:r>
        <w:rPr>
          <w:i/>
        </w:rPr>
        <w:t xml:space="preserve">P</w:t>
      </w:r>
      <w:r>
        <w:t xml:space="preserve"> </w:t>
      </w:r>
      <w:r>
        <w:t xml:space="preserve">= 0.028). Specifically, the positive slopes of the relationship between A</w:t>
      </w:r>
      <w:r>
        <w:rPr>
          <w:vertAlign w:val="subscript"/>
        </w:rPr>
        <w:t xml:space="preserve">n</w:t>
      </w:r>
      <w:r>
        <w:t xml:space="preserve"> </w:t>
      </w:r>
      <w:r>
        <w:t xml:space="preserve">and N differed for ferns and angiosperms in open habitats, while no relationship between A</w:t>
      </w:r>
      <w:r>
        <w:rPr>
          <w:vertAlign w:val="subscript"/>
        </w:rPr>
        <w:t xml:space="preserve">n</w:t>
      </w:r>
      <w:r>
        <w:t xml:space="preserve"> </w:t>
      </w:r>
      <w:r>
        <w:t xml:space="preserve">and N was found for either group in closed habitat (Figure 6).</w:t>
      </w:r>
    </w:p>
    <w:p>
      <w:pPr>
        <w:pStyle w:val="Heading2"/>
      </w:pPr>
      <w:bookmarkStart w:id="35" w:name="stomatal-anatomy-1"/>
      <w:bookmarkEnd w:id="35"/>
      <w:r>
        <w:t xml:space="preserve">Stomatal anatomy</w:t>
      </w:r>
    </w:p>
    <w:p>
      <w:pPr>
        <w:pStyle w:val="FirstParagraph"/>
      </w:pPr>
      <w:r>
        <w:t xml:space="preserve">Overall, differences in stomatal density (SD) were not detected for either ferns or angiosperms between open and closed habitats. Across habitats, however, ferns had a significantly lower SD than analogous angiosperms (-52.0 %,</w:t>
      </w:r>
      <w:r>
        <w:t xml:space="preserve"> </w:t>
      </w:r>
      <w:r>
        <w:rPr>
          <w:i/>
        </w:rPr>
        <w:t xml:space="preserve">P</w:t>
      </w:r>
      <w:r>
        <w:t xml:space="preserve"> </w:t>
      </w:r>
      <w:r>
        <w:t xml:space="preserve">&lt; 0.001). Additionally, no differences in SD were detected among species of ferns, angiosperms and lycophytes in closed habitats. Variation in SD in closed habitats was largely due to individual species variation.</w:t>
      </w:r>
    </w:p>
    <w:p>
      <w:pPr>
        <w:pStyle w:val="Heading1"/>
      </w:pPr>
      <w:bookmarkStart w:id="36" w:name="discussion"/>
      <w:bookmarkEnd w:id="36"/>
      <w:r>
        <w:t xml:space="preserve">Discussion</w:t>
      </w:r>
    </w:p>
    <w:p>
      <w:pPr>
        <w:pStyle w:val="Compact"/>
        <w:numPr>
          <w:numId w:val="1001"/>
          <w:ilvl w:val="0"/>
        </w:numPr>
      </w:pPr>
      <w:r>
        <w:t xml:space="preserve">which way should we tell the story?</w:t>
      </w:r>
    </w:p>
    <w:p>
      <w:pPr>
        <w:pStyle w:val="Compact"/>
        <w:numPr>
          <w:numId w:val="1002"/>
          <w:ilvl w:val="0"/>
        </w:numPr>
      </w:pPr>
      <w:r>
        <w:t xml:space="preserve">fundamental differences in shade, then how angiosperms succeed in light</w:t>
      </w:r>
    </w:p>
    <w:p>
      <w:pPr>
        <w:pStyle w:val="Compact"/>
        <w:numPr>
          <w:numId w:val="1002"/>
          <w:ilvl w:val="0"/>
        </w:numPr>
      </w:pPr>
      <w:r>
        <w:t xml:space="preserve">or vice versa</w:t>
      </w:r>
    </w:p>
    <w:p>
      <w:pPr>
        <w:pStyle w:val="Heading1"/>
      </w:pPr>
      <w:bookmarkStart w:id="37" w:name="acknowledgements"/>
      <w:bookmarkEnd w:id="37"/>
      <w:r>
        <w:t xml:space="preserve">Acknowledgements</w:t>
      </w:r>
    </w:p>
    <w:p>
      <w:pPr>
        <w:pStyle w:val="FirstParagraph"/>
      </w:pPr>
      <w:r>
        <w:t xml:space="preserve">We thank</w:t>
      </w:r>
    </w:p>
    <w:p>
      <w:pPr>
        <w:pStyle w:val="Heading1"/>
      </w:pPr>
      <w:bookmarkStart w:id="38" w:name="tables"/>
      <w:bookmarkEnd w:id="38"/>
      <w:r>
        <w:t xml:space="preserve">Tables</w:t>
      </w:r>
    </w:p>
    <w:p>
      <w:pPr>
        <w:pStyle w:val="FirstParagraph"/>
      </w:pPr>
      <w:r>
        <w:rPr>
          <w:b/>
        </w:rPr>
        <w:t xml:space="preserve">Table 1</w:t>
      </w:r>
      <w:r>
        <w:t xml:space="preserve">. Surveyed species of angiosperms, ferns and lycophytes across both open canopy high-light and closed canopy low-light habitats. All surveyed taxa were herbaceous and similar in size and stature.</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 Pooled ecophysiological traits for different plant lineages in open light and closed habitats. Each value reflects the mean (± 1 standard error) for each treatment.</w:t>
      </w:r>
    </w:p>
    <w:tbl>
      <w:tblPr>
        <w:tblStyle w:val="TableNormal"/>
        <w:tblW w:type="pct" w:w="5000.0"/>
        <w:tblLook w:firstRow="1"/>
      </w:tblPr>
      <w:tblGrid>
        <w:gridCol w:w="324"/>
        <w:gridCol w:w="299"/>
        <w:gridCol w:w="874"/>
        <w:gridCol w:w="749"/>
        <w:gridCol w:w="599"/>
        <w:gridCol w:w="674"/>
        <w:gridCol w:w="324"/>
        <w:gridCol w:w="1024"/>
        <w:gridCol w:w="424"/>
        <w:gridCol w:w="999"/>
        <w:gridCol w:w="874"/>
        <w:gridCol w:w="749"/>
      </w:tblGrid>
      <w:tr>
        <w:trPr>
          <w:cnfStyle w:firstRow="1"/>
        </w:trPr>
        <w:tc>
          <w:tcPr>
            <w:tcBorders>
              <w:bottom w:val="single"/>
            </w:tcBorders>
            <w:vAlign w:val="bottom"/>
          </w:tcPr>
          <w:p>
            <w:pPr>
              <w:pStyle w:val="Compact"/>
              <w:jc w:val="left"/>
            </w:pPr>
            <w:r>
              <w:rPr>
                <w:b/>
              </w:rPr>
              <w:t xml:space="preserve">Lineage</w:t>
            </w:r>
          </w:p>
        </w:tc>
        <w:tc>
          <w:tcPr>
            <w:tcBorders>
              <w:bottom w:val="single"/>
            </w:tcBorders>
            <w:vAlign w:val="bottom"/>
          </w:tcPr>
          <w:p>
            <w:pPr>
              <w:pStyle w:val="Compact"/>
              <w:jc w:val="left"/>
            </w:pPr>
            <w:r>
              <w:rPr>
                <w:b/>
              </w:rPr>
              <w:t xml:space="preserve">Canopy</w:t>
            </w:r>
          </w:p>
        </w:tc>
        <w:tc>
          <w:tcPr>
            <w:tcBorders>
              <w:bottom w:val="single"/>
            </w:tcBorders>
            <w:vAlign w:val="bottom"/>
          </w:tcPr>
          <w:p>
            <w:pPr>
              <w:pStyle w:val="Compact"/>
              <w:jc w:val="left"/>
            </w:pPr>
            <w:r>
              <w:rPr>
                <w:i/>
                <w:b/>
              </w:rPr>
              <w:t xml:space="preserve">A</w:t>
            </w:r>
            <w:r>
              <w:rPr>
                <w:vertAlign w:val="subscript"/>
                <w:b/>
              </w:rPr>
              <w:t xml:space="preserve">n</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Foliar Nitrogen(%)</w:t>
            </w:r>
          </w:p>
        </w:tc>
        <w:tc>
          <w:tcPr>
            <w:tcBorders>
              <w:bottom w:val="single"/>
            </w:tcBorders>
            <w:vAlign w:val="bottom"/>
          </w:tcPr>
          <w:p>
            <w:pPr>
              <w:pStyle w:val="Compact"/>
              <w:jc w:val="left"/>
            </w:pPr>
            <w:r>
              <w:rPr>
                <w:b/>
              </w:rPr>
              <w:t xml:space="preserve">Foliar Phosphorus (%)</w:t>
            </w:r>
          </w:p>
        </w:tc>
        <w:tc>
          <w:tcPr>
            <w:tcBorders>
              <w:bottom w:val="single"/>
            </w:tcBorders>
            <w:vAlign w:val="bottom"/>
          </w:tcPr>
          <w:p>
            <w:pPr>
              <w:pStyle w:val="Compact"/>
              <w:jc w:val="left"/>
            </w:pPr>
            <w:r>
              <w:rPr>
                <w:b/>
              </w:rPr>
              <w:t xml:space="preserve">N:P</w:t>
            </w:r>
          </w:p>
        </w:tc>
        <w:tc>
          <w:tcPr>
            <w:tcBorders>
              <w:bottom w:val="single"/>
            </w:tcBorders>
            <w:vAlign w:val="bottom"/>
          </w:tcPr>
          <w:p>
            <w:pPr>
              <w:pStyle w:val="Compact"/>
              <w:jc w:val="left"/>
            </w:pPr>
            <w:r>
              <w:rPr>
                <w:b/>
              </w:rPr>
              <w:t xml:space="preserve">WUE (</w:t>
            </w:r>
            <m:oMath>
              <m:r>
                <m:t>μ</m:t>
              </m:r>
            </m:oMath>
            <w:r>
              <w:rPr>
                <w:b/>
              </w:rPr>
              <w:t xml:space="preserve">mol CO</w:t>
            </w:r>
            <w:r>
              <w:rPr>
                <w:vertAlign w:val="subscript"/>
                <w:b/>
              </w:rPr>
              <w:t xml:space="preserve">2</w:t>
            </w:r>
            <w:r>
              <w:rPr>
                <w:b/>
              </w:rPr>
              <w:t xml:space="preserve"> </w:t>
            </w:r>
            <w:r>
              <w:rPr>
                <w:b/>
              </w:rPr>
              <w:t xml:space="preserve">mmol H</w:t>
            </w:r>
            <w:r>
              <w:rPr>
                <w:vertAlign w:val="subscript"/>
                <w:b/>
              </w:rPr>
              <w:t xml:space="preserve">2</w:t>
            </w:r>
            <w:r>
              <w:rPr>
                <w:b/>
              </w:rPr>
              <w:t xml:space="preserve">O</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SD (mm</w:t>
            </w:r>
            <w:r>
              <w:rPr>
                <w:vertAlign w:val="superscript"/>
                <w:b/>
              </w:rPr>
              <w:t xml:space="preserve">-2</w:t>
            </w:r>
            <w:r>
              <w:rPr>
                <w:b/>
              </w:rPr>
              <w:t xml:space="preserve">)</w:t>
            </w:r>
          </w:p>
        </w:tc>
        <w:tc>
          <w:tcPr>
            <w:tcBorders>
              <w:bottom w:val="single"/>
            </w:tcBorders>
            <w:vAlign w:val="bottom"/>
          </w:tcPr>
          <w:p>
            <w:pPr>
              <w:pStyle w:val="Compact"/>
              <w:jc w:val="left"/>
            </w:pPr>
            <m:oMath>
              <m:r>
                <m:t>Φ</m:t>
              </m:r>
            </m:oMath>
            <w:r>
              <w:rPr>
                <w:b/>
              </w:rPr>
              <w:t xml:space="preserve"> </w:t>
            </w:r>
            <w:r>
              <w:rPr>
                <w:b/>
              </w:rPr>
              <w:t xml:space="preserve">(mol CO</w:t>
            </w:r>
            <w:r>
              <w:rPr>
                <w:vertAlign w:val="subscript"/>
                <w:b/>
              </w:rPr>
              <w:t xml:space="preserve">2</w:t>
            </w:r>
            <w:r>
              <w:rPr>
                <w:b/>
              </w:rPr>
              <w:t xml:space="preserve"> </w:t>
            </w:r>
            <w:r>
              <w:rPr>
                <w:b/>
              </w:rPr>
              <w:t xml:space="preserve">mol photons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LCP (</w:t>
            </w:r>
            <m:oMath>
              <m:r>
                <m:t>μ</m:t>
              </m:r>
            </m:oMath>
            <w:r>
              <w:rPr>
                <w:b/>
              </w:rPr>
              <w:t xml:space="preserve">mol~m</w:t>
            </w:r>
            <w:r>
              <w:rPr>
                <w:vertAlign w:val="superscript"/>
                <w:b/>
              </w:rPr>
              <w:t xml:space="preserve">-2~s</w:t>
            </w:r>
            <w:r>
              <w:rPr>
                <w:b/>
              </w:rPr>
              <w:t xml:space="preserve">-1)</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3.0 (0.14)</w:t>
            </w:r>
          </w:p>
        </w:tc>
        <w:tc>
          <w:p>
            <w:pPr>
              <w:pStyle w:val="Compact"/>
              <w:jc w:val="left"/>
            </w:pPr>
            <w:r>
              <w:t xml:space="preserve">0.26 (0.014)</w:t>
            </w:r>
          </w:p>
        </w:tc>
        <w:tc>
          <w:p>
            <w:pPr>
              <w:pStyle w:val="Compact"/>
              <w:jc w:val="left"/>
            </w:pPr>
            <w:r>
              <w:t xml:space="preserve">13.3 (1.27)</w:t>
            </w:r>
          </w:p>
        </w:tc>
        <w:tc>
          <w:p>
            <w:pPr>
              <w:pStyle w:val="Compact"/>
              <w:jc w:val="left"/>
            </w:pPr>
            <w:r>
              <w:t xml:space="preserve">4.5 (0.34)</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pPr>
              <w:pStyle w:val="Compact"/>
            </w:pPr>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2.4 (0.19)</w:t>
            </w:r>
          </w:p>
        </w:tc>
        <w:tc>
          <w:p>
            <w:pPr>
              <w:pStyle w:val="Compact"/>
              <w:jc w:val="left"/>
            </w:pPr>
            <w:r>
              <w:t xml:space="preserve">0.22 (0.007)</w:t>
            </w:r>
          </w:p>
        </w:tc>
        <w:tc>
          <w:p>
            <w:pPr>
              <w:pStyle w:val="Compact"/>
              <w:jc w:val="left"/>
            </w:pPr>
            <w:r>
              <w:t xml:space="preserve">11.6 (1.03)</w:t>
            </w:r>
          </w:p>
        </w:tc>
        <w:tc>
          <w:p>
            <w:pPr>
              <w:pStyle w:val="Compact"/>
              <w:jc w:val="left"/>
            </w:pPr>
            <w:r>
              <w:t xml:space="preserve">4.4 (0.18)</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rPr>
                <w:b/>
              </w:rPr>
              <w:t xml:space="preserve">0.06 (0.004)</w:t>
            </w:r>
          </w:p>
        </w:tc>
        <w:tc>
          <w:p>
            <w:pPr>
              <w:pStyle w:val="Compact"/>
              <w:jc w:val="left"/>
            </w:pPr>
            <w:r>
              <w:t xml:space="preserve">3.0 (0.10)</w:t>
            </w:r>
          </w:p>
        </w:tc>
        <w:tc>
          <w:p>
            <w:pPr>
              <w:pStyle w:val="Compact"/>
              <w:jc w:val="left"/>
            </w:pPr>
            <w:r>
              <w:t xml:space="preserve">0.21 (0.008)</w:t>
            </w:r>
          </w:p>
        </w:tc>
        <w:tc>
          <w:p>
            <w:pPr>
              <w:pStyle w:val="Compact"/>
              <w:jc w:val="left"/>
            </w:pPr>
            <w:r>
              <w:t xml:space="preserve">13.8 (0.71)</w:t>
            </w:r>
          </w:p>
        </w:tc>
        <w:tc>
          <w:p>
            <w:pPr>
              <w:pStyle w:val="Compact"/>
              <w:jc w:val="left"/>
            </w:pPr>
            <w:r>
              <w:t xml:space="preserve">4.8 (0.28)</w:t>
            </w:r>
          </w:p>
        </w:tc>
        <w:tc>
          <w:p>
            <w:pPr>
              <w:pStyle w:val="Compact"/>
              <w:jc w:val="left"/>
            </w:pPr>
            <w:r>
              <w:t xml:space="preserve">14.3 (1.26)</w:t>
            </w:r>
          </w:p>
        </w:tc>
        <w:tc>
          <w:p>
            <w:pPr>
              <w:pStyle w:val="Compact"/>
              <w:jc w:val="left"/>
            </w:pPr>
            <w:r>
              <w:t xml:space="preserve">87.729 (87.6545)</w:t>
            </w:r>
          </w:p>
        </w:tc>
        <w:tc>
          <w:p>
            <w:pPr>
              <w:pStyle w:val="Compact"/>
              <w:jc w:val="left"/>
            </w:pPr>
            <w:r>
              <w:t xml:space="preserve">0.46 (0.056)</w:t>
            </w:r>
          </w:p>
        </w:tc>
        <w:tc>
          <w:p>
            <w:pPr>
              <w:pStyle w:val="Compact"/>
              <w:jc w:val="left"/>
            </w:pPr>
            <w:r>
              <w:t xml:space="preserve">7.1 (1.11)</w:t>
            </w:r>
          </w:p>
        </w:tc>
      </w:tr>
      <w:tr>
        <w:tc>
          <w:p>
            <w:pPr>
              <w:pStyle w:val="Compact"/>
            </w:pPr>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2.5 (0.09)</w:t>
            </w:r>
          </w:p>
        </w:tc>
        <w:tc>
          <w:p>
            <w:pPr>
              <w:pStyle w:val="Compact"/>
              <w:jc w:val="left"/>
            </w:pPr>
            <w:r>
              <w:t xml:space="preserve">0.17 (0.012)</w:t>
            </w:r>
          </w:p>
        </w:tc>
        <w:tc>
          <w:p>
            <w:pPr>
              <w:pStyle w:val="Compact"/>
              <w:jc w:val="left"/>
            </w:pPr>
            <w:r>
              <w:t xml:space="preserve">15.0 (0.86)</w:t>
            </w:r>
          </w:p>
        </w:tc>
        <w:tc>
          <w:p>
            <w:pPr>
              <w:pStyle w:val="Compact"/>
              <w:jc w:val="left"/>
            </w:pPr>
            <w:r>
              <w:t xml:space="preserve">5.5 (0.47)</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1.6 (0.07)</w:t>
            </w:r>
          </w:p>
        </w:tc>
        <w:tc>
          <w:p>
            <w:pPr>
              <w:pStyle w:val="Compact"/>
              <w:jc w:val="left"/>
            </w:pPr>
            <w:r>
              <w:t xml:space="preserve">0.20 (0.023)</w:t>
            </w:r>
          </w:p>
        </w:tc>
        <w:tc>
          <w:p>
            <w:pPr>
              <w:pStyle w:val="Compact"/>
              <w:jc w:val="left"/>
            </w:pPr>
            <w:r>
              <w:t xml:space="preserve">10.8 (0.89)</w:t>
            </w:r>
          </w:p>
        </w:tc>
        <w:tc>
          <w:p>
            <w:pPr>
              <w:pStyle w:val="Compact"/>
              <w:jc w:val="left"/>
            </w:pPr>
            <w:r>
              <w:t xml:space="preserve">8.8 (0.75)</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p>
      <w:pPr>
        <w:pStyle w:val="Heading1"/>
      </w:pPr>
      <w:bookmarkStart w:id="39" w:name="figures"/>
      <w:bookmarkEnd w:id="39"/>
      <w:r>
        <w:t xml:space="preserve">Figures</w:t>
      </w:r>
    </w:p>
    <w:p>
      <w:pPr>
        <w:pStyle w:val="FirstParagraph"/>
      </w:pPr>
      <w:r>
        <w:drawing>
          <wp:inline>
            <wp:extent cx="4583458" cy="4583458"/>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0"/>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con-occurring herbaceous angiosperm, fern and lycophyte species in closed habitats. With the 10 measured variables, 52.9 %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br w:type="textWrapping"/>
      </w:r>
      <w:r>
        <w:drawing>
          <wp:inline>
            <wp:extent cx="4583458" cy="4583458"/>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1"/>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con-occurring herbaceous angiosperms and fern species in open and closed habitats. With the 10 measured variables, 55.9 %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co-occurring herbaceous angiosperms and fern species across open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con-occurring herbaceous angiosperm, fern and lycophyte species in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co-occurring herbaceous seed plants (angiosperms) and spore-bearing plants (ferns + lycophytes) in closed habitats.</w:t>
      </w:r>
    </w:p>
    <w:p>
      <w:pPr>
        <w:pStyle w:val="BodyText"/>
      </w:pPr>
      <w:r>
        <w:drawing>
          <wp:inline>
            <wp:extent cx="4583458" cy="4583458"/>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45"/>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
        </w:rPr>
        <w:t xml:space="preserve">Figure 6</w:t>
      </w:r>
      <w:r>
        <w:t xml:space="preserve">. Positive relationships between light saturated photosynthesis (A</w:t>
      </w:r>
      <w:r>
        <w:rPr>
          <w:vertAlign w:val="subscript"/>
        </w:rPr>
        <w:t xml:space="preserve">n</w:t>
      </w:r>
      <w:r>
        <w:t xml:space="preserve">) and foliar nitrogen content existed for herbaceous angiosperm and fern species in open habitat, but not in closed habitats. For significant linear relationships, dashed lines represent model fits between traits and grey shaded areas are 95 % confidence intervals for the mean. Conditional and marginal R</w:t>
      </w:r>
      <w:r>
        <w:rPr>
          <w:vertAlign w:val="superscript"/>
        </w:rPr>
        <w:t xml:space="preserve">2</w:t>
      </w:r>
      <w:r>
        <w:t xml:space="preserve"> </w:t>
      </w:r>
      <w:r>
        <w:t xml:space="preserve">are reported for the overall model fit.</w:t>
      </w:r>
    </w:p>
    <w:p>
      <w:pPr>
        <w:pStyle w:val="Heading1"/>
      </w:pPr>
      <w:bookmarkStart w:id="46" w:name="references"/>
      <w:bookmarkEnd w:id="46"/>
      <w:r>
        <w:t xml:space="preserve">References</w:t>
      </w:r>
    </w:p>
    <w:p>
      <w:pPr>
        <w:pStyle w:val="Bibliography"/>
      </w:pPr>
      <w:r>
        <w:rPr>
          <w:b w:val="0"/>
          <w:b/>
        </w:rPr>
        <w:t xml:space="preserve">D’Angelo E</w:t>
      </w:r>
      <w:r>
        <w:rPr>
          <w:b/>
        </w:rPr>
        <w:t xml:space="preserve">,</w:t>
      </w:r>
      <w:r>
        <w:rPr>
          <w:b/>
        </w:rPr>
        <w:t xml:space="preserve"> </w:t>
      </w:r>
      <w:r>
        <w:rPr>
          <w:b w:val="0"/>
          <w:b/>
        </w:rPr>
        <w:t xml:space="preserve">Crutchfield J</w:t>
      </w:r>
      <w:r>
        <w:rPr>
          <w:b/>
        </w:rPr>
        <w:t xml:space="preserve">,</w:t>
      </w:r>
      <w:r>
        <w:rPr>
          <w:b/>
        </w:rPr>
        <w:t xml:space="preserve"> </w:t>
      </w:r>
      <w:r>
        <w:rPr>
          <w:b w:val="0"/>
          <w:b/>
        </w:rPr>
        <w:t xml:space="preserve">Vandiviere M</w:t>
      </w:r>
      <w:r>
        <w:t xml:space="preserve">.</w:t>
      </w:r>
      <w:r>
        <w:t xml:space="preserve"> </w:t>
      </w:r>
      <w:r>
        <w:rPr>
          <w:b/>
        </w:rPr>
        <w:t xml:space="preserve">2001</w:t>
      </w:r>
      <w:r>
        <w:t xml:space="preserve">. Rapid, Sensitive, Microscale Determination of Phosphate in Water and Soil.</w:t>
      </w:r>
      <w:r>
        <w:t xml:space="preserve"> </w:t>
      </w:r>
      <w:r>
        <w:rPr>
          <w:i/>
        </w:rPr>
        <w:t xml:space="preserve">Journal of Environmental Quality</w:t>
      </w:r>
      <w:r>
        <w:t xml:space="preserve"> </w:t>
      </w:r>
      <w:r>
        <w:rPr>
          <w:b/>
        </w:rPr>
        <w:t xml:space="preserve">30</w:t>
      </w:r>
      <w:r>
        <w:t xml:space="preserve">: 2206–2209.</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Lenth R</w:t>
      </w:r>
      <w:r>
        <w:t xml:space="preserve">.</w:t>
      </w:r>
      <w:r>
        <w:t xml:space="preserve"> </w:t>
      </w:r>
      <w:r>
        <w:rPr>
          <w:b/>
        </w:rPr>
        <w:t xml:space="preserve">2019</w:t>
      </w:r>
      <w:r>
        <w:t xml:space="preserve">.</w:t>
      </w:r>
      <w:r>
        <w:t xml:space="preserve"> </w:t>
      </w:r>
      <w:r>
        <w:rPr>
          <w:i/>
        </w:rPr>
        <w:t xml:space="preserve">Emmeans: Estimated Marginal Means, aka Least-Squares Means</w:t>
      </w:r>
      <w:r>
        <w:t xml:space="preserve">.</w:t>
      </w:r>
    </w:p>
    <w:p>
      <w:pPr>
        <w:pStyle w:val="Bibliography"/>
      </w:pPr>
      <w:r>
        <w:rPr>
          <w:b w:val="0"/>
          <w:b/>
        </w:rPr>
        <w:t xml:space="preserve">Lobo F de A</w:t>
      </w:r>
      <w:r>
        <w:rPr>
          <w:b/>
        </w:rPr>
        <w:t xml:space="preserve">,</w:t>
      </w:r>
      <w:r>
        <w:rPr>
          <w:b/>
        </w:rPr>
        <w:t xml:space="preserve"> </w:t>
      </w:r>
      <w:r>
        <w:rPr>
          <w:b w:val="0"/>
          <w:b/>
        </w:rPr>
        <w:t xml:space="preserve">Barros MP de</w:t>
      </w:r>
      <w:r>
        <w:rPr>
          <w:b/>
        </w:rPr>
        <w:t xml:space="preserve">,</w:t>
      </w:r>
      <w:r>
        <w:rPr>
          <w:b/>
        </w:rPr>
        <w:t xml:space="preserve"> </w:t>
      </w:r>
      <w:r>
        <w:rPr>
          <w:b w:val="0"/>
          <w:b/>
        </w:rPr>
        <w:t xml:space="preserve">Dalmagro HJ</w:t>
      </w:r>
      <w:r>
        <w:rPr>
          <w:b/>
        </w:rPr>
        <w:t xml:space="preserve">,</w:t>
      </w:r>
      <w:r>
        <w:rPr>
          <w:b/>
        </w:rPr>
        <w:t xml:space="preserve"> </w:t>
      </w:r>
      <w:r>
        <w:rPr>
          <w:b w:val="0"/>
          <w:b/>
        </w:rPr>
        <w:t xml:space="preserve">Dalmolin ÂC</w:t>
      </w:r>
      <w:r>
        <w:rPr>
          <w:b/>
        </w:rPr>
        <w:t xml:space="preserve">,</w:t>
      </w:r>
      <w:r>
        <w:rPr>
          <w:b/>
        </w:rPr>
        <w:t xml:space="preserve"> </w:t>
      </w:r>
      <w:r>
        <w:rPr>
          <w:b w:val="0"/>
          <w:b/>
        </w:rPr>
        <w:t xml:space="preserve">Pereira WE</w:t>
      </w:r>
      <w:r>
        <w:rPr>
          <w:b/>
        </w:rPr>
        <w:t xml:space="preserve">,</w:t>
      </w:r>
      <w:r>
        <w:rPr>
          <w:b/>
        </w:rPr>
        <w:t xml:space="preserve"> </w:t>
      </w:r>
      <w:r>
        <w:rPr>
          <w:b w:val="0"/>
          <w:b/>
        </w:rPr>
        <w:t xml:space="preserve">Souza ÉC de</w:t>
      </w:r>
      <w:r>
        <w:rPr>
          <w:b/>
        </w:rPr>
        <w:t xml:space="preserve">,</w:t>
      </w:r>
      <w:r>
        <w:rPr>
          <w:b/>
        </w:rPr>
        <w:t xml:space="preserve"> </w:t>
      </w:r>
      <w:r>
        <w:rPr>
          <w:b w:val="0"/>
          <w:b/>
        </w:rPr>
        <w:t xml:space="preserve">Vourlitis GL</w:t>
      </w:r>
      <w:r>
        <w:rPr>
          <w:b/>
        </w:rPr>
        <w:t xml:space="preserve">,</w:t>
      </w:r>
      <w:r>
        <w:rPr>
          <w:b/>
        </w:rPr>
        <w:t xml:space="preserve"> </w:t>
      </w:r>
      <w:r>
        <w:rPr>
          <w:b w:val="0"/>
          <w:b/>
        </w:rPr>
        <w:t xml:space="preserve">Rodríguez Ortíz CE</w:t>
      </w:r>
      <w:r>
        <w:t xml:space="preserve">.</w:t>
      </w:r>
      <w:r>
        <w:t xml:space="preserve"> </w:t>
      </w:r>
      <w:r>
        <w:rPr>
          <w:b/>
        </w:rPr>
        <w:t xml:space="preserve">2013</w:t>
      </w:r>
      <w:r>
        <w:t xml:space="preserve">. Fitting net photosynthetic light-response curves with Microsoft Excel — a critical look at the models.</w:t>
      </w:r>
      <w:r>
        <w:t xml:space="preserve"> </w:t>
      </w:r>
      <w:r>
        <w:rPr>
          <w:i/>
        </w:rPr>
        <w:t xml:space="preserve">Photosynthetica</w:t>
      </w:r>
      <w:r>
        <w:t xml:space="preserve"> </w:t>
      </w:r>
      <w:r>
        <w:rPr>
          <w:b/>
        </w:rPr>
        <w:t xml:space="preserve">51</w:t>
      </w:r>
      <w:r>
        <w:t xml:space="preserve">: 445–456.</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R\textsuperscript2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Oksanen J</w:t>
      </w:r>
      <w:r>
        <w:rPr>
          <w:b/>
        </w:rPr>
        <w:t xml:space="preserve">,</w:t>
      </w:r>
      <w:r>
        <w:rPr>
          <w:b/>
        </w:rPr>
        <w:t xml:space="preserve"> </w:t>
      </w:r>
      <w:r>
        <w:rPr>
          <w:b w:val="0"/>
          <w:b/>
        </w:rPr>
        <w:t xml:space="preserve">Blanchet FG</w:t>
      </w:r>
      <w:r>
        <w:rPr>
          <w:b/>
        </w:rPr>
        <w:t xml:space="preserve">,</w:t>
      </w:r>
      <w:r>
        <w:rPr>
          <w:b/>
        </w:rPr>
        <w:t xml:space="preserve"> </w:t>
      </w:r>
      <w:r>
        <w:rPr>
          <w:b w:val="0"/>
          <w:b/>
        </w:rPr>
        <w:t xml:space="preserve">Friendly M</w:t>
      </w:r>
      <w:r>
        <w:rPr>
          <w:b/>
        </w:rPr>
        <w:t xml:space="preserve">,</w:t>
      </w:r>
      <w:r>
        <w:rPr>
          <w:b/>
        </w:rPr>
        <w:t xml:space="preserve"> </w:t>
      </w:r>
      <w:r>
        <w:rPr>
          <w:b w:val="0"/>
          <w:b/>
        </w:rPr>
        <w:t xml:space="preserve">Kindt R</w:t>
      </w:r>
      <w:r>
        <w:rPr>
          <w:b/>
        </w:rPr>
        <w:t xml:space="preserve">,</w:t>
      </w:r>
      <w:r>
        <w:rPr>
          <w:b/>
        </w:rPr>
        <w:t xml:space="preserve"> </w:t>
      </w:r>
      <w:r>
        <w:rPr>
          <w:b w:val="0"/>
          <w:b/>
        </w:rPr>
        <w:t xml:space="preserve">Legendre P</w:t>
      </w:r>
      <w:r>
        <w:rPr>
          <w:b/>
        </w:rPr>
        <w:t xml:space="preserve">,</w:t>
      </w:r>
      <w:r>
        <w:rPr>
          <w:b/>
        </w:rPr>
        <w:t xml:space="preserve"> </w:t>
      </w:r>
      <w:r>
        <w:rPr>
          <w:b w:val="0"/>
          <w:b/>
        </w:rPr>
        <w:t xml:space="preserve">McGlinn D</w:t>
      </w:r>
      <w:r>
        <w:rPr>
          <w:b/>
        </w:rPr>
        <w:t xml:space="preserve">,</w:t>
      </w:r>
      <w:r>
        <w:rPr>
          <w:b/>
        </w:rPr>
        <w:t xml:space="preserve"> </w:t>
      </w:r>
      <w:r>
        <w:rPr>
          <w:b w:val="0"/>
          <w:b/>
        </w:rPr>
        <w:t xml:space="preserve">Minchin PR</w:t>
      </w:r>
      <w:r>
        <w:rPr>
          <w:b/>
        </w:rPr>
        <w:t xml:space="preserve">,</w:t>
      </w:r>
      <w:r>
        <w:rPr>
          <w:b/>
        </w:rPr>
        <w:t xml:space="preserve"> </w:t>
      </w:r>
      <w:r>
        <w:rPr>
          <w:b w:val="0"/>
          <w:b/>
        </w:rPr>
        <w:t xml:space="preserve">O’Hara RB</w:t>
      </w:r>
      <w:r>
        <w:rPr>
          <w:b/>
        </w:rPr>
        <w:t xml:space="preserve">,</w:t>
      </w:r>
      <w:r>
        <w:rPr>
          <w:b/>
        </w:rPr>
        <w:t xml:space="preserve"> </w:t>
      </w:r>
      <w:r>
        <w:rPr>
          <w:b w:val="0"/>
          <w:b/>
        </w:rPr>
        <w:t xml:space="preserve">Simpson GL</w:t>
      </w:r>
      <w:r>
        <w:rPr>
          <w:b/>
        </w:rPr>
        <w:t xml:space="preserve">,</w:t>
      </w:r>
      <w:r>
        <w:rPr>
          <w:b/>
        </w:rPr>
        <w:t xml:space="preserve"> </w:t>
      </w:r>
      <w:r>
        <w:rPr>
          <w:b w:val="0"/>
          <w:b/>
        </w:rPr>
        <w:t xml:space="preserve">Solymos P</w:t>
      </w:r>
      <w:r>
        <w:rPr>
          <w:b/>
        </w:rPr>
        <w:t xml:space="preserve"> </w:t>
      </w:r>
      <w:r>
        <w:rPr>
          <w:i/>
          <w:b/>
        </w:rPr>
        <w:t xml:space="preserve">et al.</w:t>
      </w:r>
      <w:r>
        <w:t xml:space="preserve"> </w:t>
      </w:r>
      <w:r>
        <w:rPr>
          <w:b/>
        </w:rPr>
        <w:t xml:space="preserve">2019</w:t>
      </w:r>
      <w:r>
        <w:t xml:space="preserve">.</w:t>
      </w:r>
      <w:r>
        <w:t xml:space="preserve"> </w:t>
      </w:r>
      <w:r>
        <w:rPr>
          <w:i/>
        </w:rPr>
        <w:t xml:space="preserve">Vegan: Community Ecology Package</w:t>
      </w:r>
      <w:r>
        <w:t xml:space="preserve">.</w:t>
      </w:r>
    </w:p>
    <w:p>
      <w:pPr>
        <w:pStyle w:val="Bibliography"/>
      </w:pPr>
      <w:r>
        <w:rPr>
          <w:b w:val="0"/>
          <w:b/>
        </w:rPr>
        <w:t xml:space="preserve">R Core Team</w:t>
      </w:r>
      <w:r>
        <w:t xml:space="preserve">.</w:t>
      </w:r>
      <w:r>
        <w:t xml:space="preserve"> </w:t>
      </w:r>
      <w:r>
        <w:rPr>
          <w:b/>
        </w:rPr>
        <w:t xml:space="preserve">2018</w:t>
      </w:r>
      <w:r>
        <w:t xml:space="preserve">.</w:t>
      </w:r>
      <w:r>
        <w:t xml:space="preserve"> </w:t>
      </w:r>
      <w:r>
        <w:rPr>
          <w:i/>
        </w:rPr>
        <w:t xml:space="preserve">R: A Language and Environment for Statistical Computing</w:t>
      </w:r>
      <w:r>
        <w:t xml:space="preserve">. Vienna, Austria: R Foundation for Statistical Computing.</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587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ef7b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97b9c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of ecophysiological traits structure how herbaceous plant lineages make a living in shaded environments</dc:title>
  <dc:creator/>
  <dcterms:created xsi:type="dcterms:W3CDTF">2019-03-27T18:31:04Z</dcterms:created>
  <dcterms:modified xsi:type="dcterms:W3CDTF">2019-03-27T18:31:04Z</dcterms:modified>
</cp:coreProperties>
</file>