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41.png" ContentType="image/png"/>
  <Override PartName="/word/media/rId42.png" ContentType="image/png"/>
  <Override PartName="/word/media/rId43.png" ContentType="image/png"/>
  <Override PartName="/word/media/rId34.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6.png" ContentType="image/png"/>
  <Override PartName="/word/media/rId37.png" ContentType="image/png"/>
  <Override PartName="/word/media/rId38.png" ContentType="image/png"/>
  <Override PartName="/word/media/rId4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Saccoloma</w:t>
      </w:r>
      <w:r>
        <w:t xml:space="preserve"> </w:t>
      </w:r>
      <w:r>
        <w:t xml:space="preserve">inaequale</w:t>
      </w:r>
    </w:p>
    <w:p>
      <w:pPr>
        <w:pStyle w:val="FirstParagraph"/>
      </w:pPr>
      <w:r>
        <w:br w:type="textWrapping"/>
      </w:r>
      <w:r>
        <w:t xml:space="preserve">Courtney E. Campany</w:t>
      </w:r>
      <w:r>
        <w:rPr>
          <w:vertAlign w:val="superscript"/>
        </w:rPr>
        <w:t xml:space="preserve">1</w:t>
      </w:r>
      <w:r>
        <w:t xml:space="preserve">, Christopher Krieg</w:t>
      </w:r>
      <w:r>
        <w:rPr>
          <w:vertAlign w:val="superscript"/>
        </w:rPr>
        <w:t xml:space="preserve">2</w:t>
      </w:r>
      <w:r>
        <w:t xml:space="preserve">, James E. Watkins Jr.</w:t>
      </w:r>
      <w:r>
        <w:rPr>
          <w:vertAlign w:val="superscript"/>
        </w:rPr>
        <w:t xml:space="preserve">1</w:t>
      </w:r>
    </w:p>
    <w:p>
      <w:pPr>
        <w:pStyle w:val="BodyText"/>
      </w:pPr>
      <w:r>
        <w:br w:type="textWrapping"/>
      </w:r>
      <w:r>
        <w:rPr>
          <w:vertAlign w:val="superscript"/>
        </w:rPr>
        <w:t xml:space="preserve">1</w:t>
      </w:r>
      <w:r>
        <w:t xml:space="preserve"> </w:t>
      </w:r>
      <w:r>
        <w:t xml:space="preserve">Department of Biology, Colgate University, Hamilton, NY, USA</w:t>
      </w:r>
      <w:r>
        <w:br w:type="textWrapping"/>
      </w:r>
      <w:r>
        <w:rPr>
          <w:vertAlign w:val="superscript"/>
        </w:rPr>
        <w:t xml:space="preserve">2</w:t>
      </w:r>
      <w:r>
        <w:t xml:space="preserve"> </w:t>
      </w:r>
      <w:r>
        <w:t xml:space="preserve">Department of Biology, University of Florida, Gainesville, Fl, USA</w:t>
      </w:r>
    </w:p>
    <w:p>
      <w:pPr>
        <w:pStyle w:val="BodyText"/>
      </w:pPr>
      <w:r>
        <w:br w:type="textWrapping"/>
      </w:r>
      <w:r>
        <w:t xml:space="preserve">Corresponding author:</w:t>
      </w:r>
    </w:p>
    <w:p>
      <w:pPr>
        <w:pStyle w:val="BodyText"/>
      </w:pPr>
      <w:r>
        <w:br w:type="textWrapping"/>
      </w:r>
      <w:r>
        <w:t xml:space="preserve">Key Words:</w:t>
      </w:r>
    </w:p>
    <w:p>
      <w:pPr>
        <w:pStyle w:val="Heading1"/>
      </w:pPr>
      <w:bookmarkStart w:id="21" w:name="abstract"/>
      <w:bookmarkEnd w:id="21"/>
      <w:r>
        <w:t xml:space="preserve">Abstract</w:t>
      </w:r>
    </w:p>
    <w:p>
      <w:pPr>
        <w:pStyle w:val="FirstParagraph"/>
      </w:pPr>
      <w:r>
        <w:t xml:space="preserve">/</w:t>
      </w:r>
      <w:r>
        <w:t xml:space="preserve"> </w:t>
      </w:r>
      <w:r>
        <w:t xml:space="preserve">Key Words:</w:t>
      </w:r>
    </w:p>
    <w:p>
      <w:pPr>
        <w:pStyle w:val="Heading1"/>
      </w:pPr>
      <w:bookmarkStart w:id="22" w:name="introduction"/>
      <w:bookmarkEnd w:id="22"/>
      <w:r>
        <w:t xml:space="preserve">Introduction</w:t>
      </w:r>
    </w:p>
    <w:p>
      <w:pPr>
        <w:pStyle w:val="Heading1"/>
      </w:pPr>
      <w:bookmarkStart w:id="23" w:name="methods"/>
      <w:bookmarkEnd w:id="23"/>
      <w:r>
        <w:t xml:space="preserve">Methods</w:t>
      </w:r>
    </w:p>
    <w:p>
      <w:pPr>
        <w:pStyle w:val="Heading2"/>
      </w:pPr>
      <w:bookmarkStart w:id="24" w:name="site-and-species-surveys"/>
      <w:bookmarkEnd w:id="24"/>
      <w:r>
        <w:t xml:space="preserve">Site and species surveys</w:t>
      </w:r>
    </w:p>
    <w:p>
      <w:pPr>
        <w:pStyle w:val="FirstParagraph"/>
      </w:pPr>
      <w:r>
        <w:t xml:space="preserve">This study was located at La Selva Biological Research Station in Heredia, Costa Rica (84°00’12W, 10°25’52N). This site is a 600 hectare wet tropical forest, with elevation ranging from 35-137m above sea level. The site receives 4m of annual rainfall with a moderate dry season. Annual mean temperatures fluctuates between between 24-27 °C, while daily temperatures can fluctuate up to 12 °C</w:t>
      </w:r>
      <w:r>
        <w:t xml:space="preserve"> </w:t>
      </w:r>
      <w:r>
        <w:t xml:space="preserve">(McDade and Hartshorn 1994)</w:t>
      </w:r>
      <w:r>
        <w:t xml:space="preserve">.</w:t>
      </w:r>
    </w:p>
    <w:p>
      <w:pPr>
        <w:pStyle w:val="BodyText"/>
      </w:pPr>
      <w:r>
        <w:br w:type="textWrapping"/>
      </w:r>
      <w:r>
        <w:t xml:space="preserve">At least once per year (insert methods from Diedra) newly formed fronds of</w:t>
      </w:r>
      <w:r>
        <w:t xml:space="preserve"> </w:t>
      </w:r>
      <w:r>
        <w:rPr>
          <w:i/>
        </w:rPr>
        <w:t xml:space="preserve">Saccoloma inaequale</w:t>
      </w:r>
      <w:r>
        <w:t xml:space="preserve"> </w:t>
      </w:r>
      <w:r>
        <w:t xml:space="preserve">(n = ?) were color tagged according to year. Fronds generally lasted from 3-4 years, with dissappearance mostly occuring from stem fall distubance.</w:t>
      </w:r>
    </w:p>
    <w:p>
      <w:pPr>
        <w:pStyle w:val="Heading2"/>
      </w:pPr>
      <w:bookmarkStart w:id="25" w:name="physiological-measurements"/>
      <w:bookmarkEnd w:id="25"/>
      <w:r>
        <w:t xml:space="preserve">Physiological measurements</w:t>
      </w:r>
    </w:p>
    <w:p>
      <w:pPr>
        <w:pStyle w:val="FirstParagraph"/>
      </w:pPr>
      <w:r>
        <w:t xml:space="preserve">A survey of physiological and stoichiometric parameters was conducted on all present age classes of fronds for a subset of 10</w:t>
      </w:r>
      <w:r>
        <w:t xml:space="preserve"> </w:t>
      </w:r>
      <w:r>
        <w:rPr>
          <w:i/>
        </w:rPr>
        <w:t xml:space="preserve">S. inaequale</w:t>
      </w:r>
      <w:r>
        <w:t xml:space="preserve"> </w:t>
      </w:r>
      <w:r>
        <w:t xml:space="preserve">individuals. For leaf gas exchange measurements, a LiCor 6400 portable photosynthesis system (LiCor BioSciences) was used with the standard leaf chamber (2 x 3 cm) equipped with blue-red light emitting diodes. The CO</w:t>
      </w:r>
      <w:r>
        <w:rPr>
          <w:vertAlign w:val="subscript"/>
        </w:rPr>
        <w:t xml:space="preserve">2</w:t>
      </w:r>
      <w:r>
        <w:t xml:space="preserve"> </w:t>
      </w:r>
      <w:r>
        <w:t xml:space="preserve">mixer was set to 400 μmol m</w:t>
      </w:r>
      <w:r>
        <w:rPr>
          <w:vertAlign w:val="superscript"/>
        </w:rPr>
        <w:t xml:space="preserve">-2</w:t>
      </w:r>
      <w:r>
        <w:t xml:space="preserve"> </w:t>
      </w:r>
      <w:r>
        <w:t xml:space="preserve">sec</w:t>
      </w:r>
      <w:r>
        <w:rPr>
          <w:vertAlign w:val="superscript"/>
        </w:rPr>
        <w:t xml:space="preserve">-1</w:t>
      </w:r>
      <w:r>
        <w:t xml:space="preserve"> </w:t>
      </w:r>
      <w:r>
        <w:t xml:space="preserve">and leaf temperature was maintained at 25 °C. Gas exchange parameters were logged once CO</w:t>
      </w:r>
      <w:r>
        <w:rPr>
          <w:vertAlign w:val="subscript"/>
        </w:rPr>
        <w:t xml:space="preserve">2</w:t>
      </w:r>
      <w:r>
        <w:t xml:space="preserve"> </w:t>
      </w:r>
      <w:r>
        <w:t xml:space="preserve">and water vapor fluxes were stable. Net photosynthetic rate (An) and stomatal conductance (g</w:t>
      </w:r>
      <w:r>
        <w:rPr>
          <w:vertAlign w:val="subscript"/>
        </w:rPr>
        <w:t xml:space="preserve">s</w:t>
      </w:r>
      <w:r>
        <w:t xml:space="preserve">) were logged at a standard photosynthetic photon flux density (PPFD) level of 500</w:t>
      </w:r>
      <w:r>
        <w:t xml:space="preserve"> </w:t>
      </w:r>
      <m:oMath>
        <m:r>
          <m:t>μ</m:t>
        </m:r>
      </m:oMath>
      <w:r>
        <w:t xml:space="preserve">mol m</w:t>
      </w:r>
      <w:r>
        <w:rPr>
          <w:vertAlign w:val="superscript"/>
        </w:rPr>
        <w:t xml:space="preserve">-2</w:t>
      </w:r>
      <w:r>
        <w:t xml:space="preserve"> </w:t>
      </w:r>
      <w:r>
        <w:t xml:space="preserve">s</w:t>
      </w:r>
      <w:r>
        <w:rPr>
          <w:vertAlign w:val="superscript"/>
        </w:rPr>
        <w:t xml:space="preserve">-1</w:t>
      </w:r>
      <w:r>
        <w:t xml:space="preserve">,which has been previously shown to produce maximum photosynthetic rates for tropical understory terrestrial plants</w:t>
      </w:r>
      <w:r>
        <w:t xml:space="preserve"> </w:t>
      </w:r>
      <w:r>
        <w:t xml:space="preserve">(Watkins et al. 2010)</w:t>
      </w:r>
      <w:r>
        <w:t xml:space="preserve">. All in situ gas exchange measurements were conducted during mid-morning hours.</w:t>
      </w:r>
    </w:p>
    <w:p>
      <w:pPr>
        <w:pStyle w:val="Heading2"/>
      </w:pPr>
      <w:bookmarkStart w:id="26" w:name="leaf-chemistry"/>
      <w:bookmarkEnd w:id="26"/>
      <w:r>
        <w:t xml:space="preserve">Leaf chemistry</w:t>
      </w:r>
    </w:p>
    <w:p>
      <w:pPr>
        <w:pStyle w:val="FirstParagraph"/>
      </w:pPr>
      <w:r>
        <w:t xml:space="preserve">Foliar tissue was collected following gas exchange measurements and used for nutrient and istopte analyses. Samples were dried to a constant mass and ground to a powder. Foliar</w:t>
      </w:r>
      <w:r>
        <w:t xml:space="preserve"> </w:t>
      </w:r>
      <m:oMath>
        <m:r>
          <m:t>δ</m:t>
        </m:r>
      </m:oMath>
      <w:r>
        <w:rPr>
          <w:vertAlign w:val="superscript"/>
        </w:rPr>
        <w:t xml:space="preserve">13</w:t>
      </w:r>
      <w:r>
        <w:t xml:space="preserve">C, carbon content and nitrogen content were measured using a Cornell machine (insert specs). The percentage of carbon and nitrogen in samples was calculated by comparison with certified standards and and isotopic signatures are reported relative to the standard Vienna Pee Dee Belemnite scale. Photosynthetic nitrogen use efficiency (PNUE) was defined as the ratio of photosynthesis to leaf N content on a mass basis.</w:t>
      </w:r>
    </w:p>
    <w:p>
      <w:pPr>
        <w:pStyle w:val="Heading2"/>
      </w:pPr>
      <w:bookmarkStart w:id="27" w:name="chlorophyll-content"/>
      <w:bookmarkEnd w:id="27"/>
      <w:r>
        <w:t xml:space="preserve">Chlorophyll content</w:t>
      </w:r>
    </w:p>
    <w:p>
      <w:pPr>
        <w:pStyle w:val="FirstParagraph"/>
      </w:pPr>
      <w:r>
        <w:t xml:space="preserve">For each Selaginella species, subsamples of fresh foliar tissue used during gas exchange measurements were used to calculate chlorophyll content (Chl). Specs for cholorphyll meter requested from Pitterman.</w:t>
      </w:r>
    </w:p>
    <w:p>
      <w:pPr>
        <w:pStyle w:val="Heading1"/>
      </w:pPr>
      <w:bookmarkStart w:id="28" w:name="results"/>
      <w:bookmarkEnd w:id="28"/>
      <w:r>
        <w:t xml:space="preserve">Results</w:t>
      </w:r>
    </w:p>
    <w:p>
      <w:pPr>
        <w:pStyle w:val="FirstParagraph"/>
      </w:pPr>
      <w:r>
        <w:t xml:space="preserve">Below are the boxplots (excluding outliers) for physiological measurements, including; photosynthesis (A</w:t>
      </w:r>
      <w:r>
        <w:rPr>
          <w:vertAlign w:val="subscript"/>
        </w:rPr>
        <w:t xml:space="preserve">n</w:t>
      </w:r>
      <w:r>
        <w:t xml:space="preserve">), stomatal conductance (g</w:t>
      </w:r>
      <w:r>
        <w:rPr>
          <w:vertAlign w:val="subscript"/>
        </w:rPr>
        <w:t xml:space="preserve">s</w:t>
      </w:r>
      <w:r>
        <w:t xml:space="preserve">), instantaneous water use efficiency (ITE), transpiration (E</w:t>
      </w:r>
      <w:r>
        <w:rPr>
          <w:vertAlign w:val="subscript"/>
        </w:rPr>
        <w:t xml:space="preserve">l</w:t>
      </w:r>
      <w:r>
        <w:t xml:space="preserve">) and chlorophyll content. Gas exchange was performed on a subset of individuals (n=10).</w:t>
      </w:r>
    </w:p>
    <w:p>
      <w:pPr>
        <w:pStyle w:val="BodyText"/>
      </w:pPr>
      <w:r>
        <w:br w:type="textWrapping"/>
      </w:r>
      <w:r>
        <w:t xml:space="preserve">There is an issue with the gas exchange data from some fronds for individual #26 (2</w:t>
      </w:r>
      <w:r>
        <w:rPr>
          <w:vertAlign w:val="superscript"/>
        </w:rPr>
        <w:t xml:space="preserve">nd</w:t>
      </w:r>
      <w:r>
        <w:t xml:space="preserve"> </w:t>
      </w:r>
      <w:r>
        <w:t xml:space="preserve">and 3</w:t>
      </w:r>
      <w:r>
        <w:rPr>
          <w:vertAlign w:val="superscript"/>
        </w:rPr>
        <w:t xml:space="preserve">rd</w:t>
      </w:r>
      <w:r>
        <w:t xml:space="preserve"> </w:t>
      </w:r>
      <w:r>
        <w:t xml:space="preserve">year fronds). I have deleted it from physiology figures at the moment. I pasted the raw deleted data at the bottom so you can have a look.</w:t>
      </w:r>
    </w:p>
    <w:p>
      <w:pPr>
        <w:pStyle w:val="BodyText"/>
      </w:pPr>
      <w:r>
        <w:br w:type="textWrapping"/>
      </w:r>
      <w:r>
        <w:drawing>
          <wp:inline>
            <wp:extent cx="4620126" cy="3696101"/>
            <wp:effectExtent b="0" l="0" r="0" t="0"/>
            <wp:docPr descr="" title="" id="1" name="Picture"/>
            <a:graphic>
              <a:graphicData uri="http://schemas.openxmlformats.org/drawingml/2006/picture">
                <pic:pic>
                  <pic:nvPicPr>
                    <pic:cNvPr descr="saccoloma_report_files/figure-docx/gas%20exchang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accoloma_report_files/figure-docx/gas%20exchange-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accoloma_report_files/figure-docx/gas%20exchange-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br w:type="textWrapping"/>
      </w:r>
      <w:r>
        <w:drawing>
          <wp:inline>
            <wp:extent cx="4620126" cy="3696101"/>
            <wp:effectExtent b="0" l="0" r="0" t="0"/>
            <wp:docPr descr="" title="" id="1" name="Picture"/>
            <a:graphic>
              <a:graphicData uri="http://schemas.openxmlformats.org/drawingml/2006/picture">
                <pic:pic>
                  <pic:nvPicPr>
                    <pic:cNvPr descr="saccoloma_report_files/figure-docx/iwu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accoloma_report_files/figure-docx/iwue-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Instantaneous water use efficiency looks like it declines in year 3,likely driven by transpiration instead of A</w:t>
      </w:r>
      <w:r>
        <w:rPr>
          <w:vertAlign w:val="subscript"/>
        </w:rPr>
        <w:t xml:space="preserve">n</w:t>
      </w:r>
    </w:p>
    <w:p>
      <w:pPr>
        <w:pStyle w:val="BodyText"/>
      </w:pPr>
      <w:r>
        <w:br w:type="textWrapping"/>
      </w:r>
      <w:r>
        <w:drawing>
          <wp:inline>
            <wp:extent cx="4620126" cy="3696101"/>
            <wp:effectExtent b="0" l="0" r="0" t="0"/>
            <wp:docPr descr="" title="" id="1" name="Picture"/>
            <a:graphic>
              <a:graphicData uri="http://schemas.openxmlformats.org/drawingml/2006/picture">
                <pic:pic>
                  <pic:nvPicPr>
                    <pic:cNvPr descr="saccoloma_report_files/figure-docx/chl-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traits-by-leaf-age"/>
      <w:bookmarkEnd w:id="35"/>
      <w:r>
        <w:t xml:space="preserve">Traits by leaf age</w:t>
      </w:r>
    </w:p>
    <w:p>
      <w:pPr>
        <w:pStyle w:val="FirstParagraph"/>
      </w:pPr>
      <w:r>
        <w:drawing>
          <wp:inline>
            <wp:extent cx="4620126" cy="3696101"/>
            <wp:effectExtent b="0" l="0" r="0" t="0"/>
            <wp:docPr descr="" title="" id="1" name="Picture"/>
            <a:graphic>
              <a:graphicData uri="http://schemas.openxmlformats.org/drawingml/2006/picture">
                <pic:pic>
                  <pic:nvPicPr>
                    <pic:cNvPr descr="saccoloma_report_files/figure-docx/phy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accoloma_report_files/figure-docx/phys-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accoloma_report_files/figure-docx/phys-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bivariate-relationships"/>
      <w:bookmarkEnd w:id="39"/>
      <w:r>
        <w:t xml:space="preserve">Bivariate relationships</w:t>
      </w:r>
    </w:p>
    <w:p>
      <w:pPr>
        <w:pStyle w:val="FirstParagraph"/>
      </w:pPr>
      <w:r>
        <w:drawing>
          <wp:inline>
            <wp:extent cx="4620126" cy="3696101"/>
            <wp:effectExtent b="0" l="0" r="0" t="0"/>
            <wp:docPr descr="" title="" id="1" name="Picture"/>
            <a:graphic>
              <a:graphicData uri="http://schemas.openxmlformats.org/drawingml/2006/picture">
                <pic:pic>
                  <pic:nvPicPr>
                    <pic:cNvPr descr="saccoloma_report_files/figure-docx/bivar-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accoloma_report_files/figure-docx/bivar-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accoloma_report_files/figure-docx/bivar-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accoloma_report_files/figure-docx/bivar-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saccoloma_report_files/figure-docx/pnue-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5" w:name="transpiration-data-seems-bad-for-certain-ages-for-26"/>
      <w:bookmarkEnd w:id="45"/>
      <w:r>
        <w:t xml:space="preserve">Transpiration data seems bad for certain ages for #26</w:t>
      </w:r>
    </w:p>
    <w:p>
      <w:pPr>
        <w:pStyle w:val="SourceCode"/>
      </w:pPr>
      <w:r>
        <w:rPr>
          <w:rStyle w:val="NormalTok"/>
        </w:rPr>
        <w:t xml:space="preserve">photo[photo</w:t>
      </w:r>
      <w:r>
        <w:rPr>
          <w:rStyle w:val="OperatorTok"/>
        </w:rPr>
        <w:t xml:space="preserve">$</w:t>
      </w:r>
      <w:r>
        <w:rPr>
          <w:rStyle w:val="NormalTok"/>
        </w:rPr>
        <w:t xml:space="preserve">Indiv </w:t>
      </w:r>
      <w:r>
        <w:rPr>
          <w:rStyle w:val="OperatorTok"/>
        </w:rPr>
        <w:t xml:space="preserve">==</w:t>
      </w:r>
      <w:r>
        <w:rPr>
          <w:rStyle w:val="StringTok"/>
        </w:rPr>
        <w:t xml:space="preserve"> </w:t>
      </w:r>
      <w:r>
        <w:rPr>
          <w:rStyle w:val="DecValTok"/>
        </w:rPr>
        <w:t xml:space="preserve">26</w:t>
      </w:r>
      <w:r>
        <w:rPr>
          <w:rStyle w:val="NormalTok"/>
        </w:rPr>
        <w:t xml:space="preserve">, </w:t>
      </w:r>
      <w:r>
        <w:rPr>
          <w:rStyle w:val="KeywordTok"/>
        </w:rPr>
        <w:t xml:space="preserve">c</w:t>
      </w:r>
      <w:r>
        <w:rPr>
          <w:rStyle w:val="NormalTok"/>
        </w:rPr>
        <w:t xml:space="preserve">(</w:t>
      </w:r>
      <w:r>
        <w:rPr>
          <w:rStyle w:val="StringTok"/>
        </w:rPr>
        <w:t xml:space="preserve">"Indiv"</w:t>
      </w:r>
      <w:r>
        <w:rPr>
          <w:rStyle w:val="NormalTok"/>
        </w:rPr>
        <w:t xml:space="preserve">, </w:t>
      </w:r>
      <w:r>
        <w:rPr>
          <w:rStyle w:val="StringTok"/>
        </w:rPr>
        <w:t xml:space="preserve">"Photo"</w:t>
      </w:r>
      <w:r>
        <w:rPr>
          <w:rStyle w:val="NormalTok"/>
        </w:rPr>
        <w:t xml:space="preserve">, </w:t>
      </w:r>
      <w:r>
        <w:rPr>
          <w:rStyle w:val="StringTok"/>
        </w:rPr>
        <w:t xml:space="preserve">"Cond"</w:t>
      </w:r>
      <w:r>
        <w:rPr>
          <w:rStyle w:val="NormalTok"/>
        </w:rPr>
        <w:t xml:space="preserve">, </w:t>
      </w:r>
      <w:r>
        <w:rPr>
          <w:rStyle w:val="StringTok"/>
        </w:rPr>
        <w:t xml:space="preserve">"Trmmol"</w:t>
      </w:r>
      <w:r>
        <w:rPr>
          <w:rStyle w:val="NormalTok"/>
        </w:rPr>
        <w:t xml:space="preserve">, </w:t>
      </w:r>
      <w:r>
        <w:rPr>
          <w:rStyle w:val="StringTok"/>
        </w:rPr>
        <w:t xml:space="preserve">"Ci"</w:t>
      </w:r>
      <w:r>
        <w:rPr>
          <w:rStyle w:val="NormalTok"/>
        </w:rPr>
        <w:t xml:space="preserve">)] </w:t>
      </w:r>
    </w:p>
    <w:p>
      <w:pPr>
        <w:pStyle w:val="SourceCode"/>
      </w:pPr>
      <w:r>
        <w:rPr>
          <w:rStyle w:val="VerbatimChar"/>
        </w:rPr>
        <w:t xml:space="preserve">##     Indiv    Photo        Cond      Trmmol            Ci</w:t>
      </w:r>
      <w:r>
        <w:br w:type="textWrapping"/>
      </w:r>
      <w:r>
        <w:rPr>
          <w:rStyle w:val="VerbatimChar"/>
        </w:rPr>
        <w:t xml:space="preserve">## 126    26 2.824424  0.04675524  0.23189451    295.715372</w:t>
      </w:r>
      <w:r>
        <w:br w:type="textWrapping"/>
      </w:r>
      <w:r>
        <w:rPr>
          <w:rStyle w:val="VerbatimChar"/>
        </w:rPr>
        <w:t xml:space="preserve">## 127    26 2.904937  0.04856116  0.24026454    296.610524</w:t>
      </w:r>
      <w:r>
        <w:br w:type="textWrapping"/>
      </w:r>
      <w:r>
        <w:rPr>
          <w:rStyle w:val="VerbatimChar"/>
        </w:rPr>
        <w:t xml:space="preserve">## 128    26 2.892093  0.05008391  0.24733693    299.905604</w:t>
      </w:r>
      <w:r>
        <w:br w:type="textWrapping"/>
      </w:r>
      <w:r>
        <w:rPr>
          <w:rStyle w:val="VerbatimChar"/>
        </w:rPr>
        <w:t xml:space="preserve">## 129    26 2.842304  0.05027426  0.24760333    301.860485</w:t>
      </w:r>
      <w:r>
        <w:br w:type="textWrapping"/>
      </w:r>
      <w:r>
        <w:rPr>
          <w:rStyle w:val="VerbatimChar"/>
        </w:rPr>
        <w:t xml:space="preserve">## 130    26 2.914478  0.05171821  0.25459295    302.094215</w:t>
      </w:r>
      <w:r>
        <w:br w:type="textWrapping"/>
      </w:r>
      <w:r>
        <w:rPr>
          <w:rStyle w:val="VerbatimChar"/>
        </w:rPr>
        <w:t xml:space="preserve">## 131    26 4.609996  0.23620553  1.17445255    359.434307</w:t>
      </w:r>
      <w:r>
        <w:br w:type="textWrapping"/>
      </w:r>
      <w:r>
        <w:rPr>
          <w:rStyle w:val="VerbatimChar"/>
        </w:rPr>
        <w:t xml:space="preserve">## 132    26 5.005046  0.23242589  1.15506460    356.139980</w:t>
      </w:r>
      <w:r>
        <w:br w:type="textWrapping"/>
      </w:r>
      <w:r>
        <w:rPr>
          <w:rStyle w:val="VerbatimChar"/>
        </w:rPr>
        <w:t xml:space="preserve">## 133    26 6.115575  0.23133812  1.14665426    348.475770</w:t>
      </w:r>
      <w:r>
        <w:br w:type="textWrapping"/>
      </w:r>
      <w:r>
        <w:rPr>
          <w:rStyle w:val="VerbatimChar"/>
        </w:rPr>
        <w:t xml:space="preserve">## 134    26 5.158546  0.22737963  1.12857218    355.295895</w:t>
      </w:r>
      <w:r>
        <w:br w:type="textWrapping"/>
      </w:r>
      <w:r>
        <w:rPr>
          <w:rStyle w:val="VerbatimChar"/>
        </w:rPr>
        <w:t xml:space="preserve">## 135    26 4.904599  0.22759632  1.12539941    357.250962</w:t>
      </w:r>
      <w:r>
        <w:br w:type="textWrapping"/>
      </w:r>
      <w:r>
        <w:rPr>
          <w:rStyle w:val="VerbatimChar"/>
        </w:rPr>
        <w:t xml:space="preserve">## 136    26 4.955464  0.22556127  1.11609797    356.567020</w:t>
      </w:r>
      <w:r>
        <w:br w:type="textWrapping"/>
      </w:r>
      <w:r>
        <w:rPr>
          <w:rStyle w:val="VerbatimChar"/>
        </w:rPr>
        <w:t xml:space="preserve">## 137    26 4.832140  0.22344820  1.10621043    357.190813</w:t>
      </w:r>
      <w:r>
        <w:br w:type="textWrapping"/>
      </w:r>
      <w:r>
        <w:rPr>
          <w:rStyle w:val="VerbatimChar"/>
        </w:rPr>
        <w:t xml:space="preserve">## 138    26 4.901738  0.22084907  1.09297862    356.095426</w:t>
      </w:r>
      <w:r>
        <w:br w:type="textWrapping"/>
      </w:r>
      <w:r>
        <w:rPr>
          <w:rStyle w:val="VerbatimChar"/>
        </w:rPr>
        <w:t xml:space="preserve">## 139    26 3.501050 -0.11815613 -0.89533178    436.375503</w:t>
      </w:r>
      <w:r>
        <w:br w:type="textWrapping"/>
      </w:r>
      <w:r>
        <w:rPr>
          <w:rStyle w:val="VerbatimChar"/>
        </w:rPr>
        <w:t xml:space="preserve">## 140    26 4.299755 -0.08520550 -0.59366998    470.254426</w:t>
      </w:r>
      <w:r>
        <w:br w:type="textWrapping"/>
      </w:r>
      <w:r>
        <w:rPr>
          <w:rStyle w:val="VerbatimChar"/>
        </w:rPr>
        <w:t xml:space="preserve">## 141    26 3.802566 -0.05946067 -0.39221844    492.464190</w:t>
      </w:r>
      <w:r>
        <w:br w:type="textWrapping"/>
      </w:r>
      <w:r>
        <w:rPr>
          <w:rStyle w:val="VerbatimChar"/>
        </w:rPr>
        <w:t xml:space="preserve">## 142    26 3.752104 -0.03605563 -0.22764603    556.507654</w:t>
      </w:r>
      <w:r>
        <w:br w:type="textWrapping"/>
      </w:r>
      <w:r>
        <w:rPr>
          <w:rStyle w:val="VerbatimChar"/>
        </w:rPr>
        <w:t xml:space="preserve">## 143    26 3.652737 -0.01536409 -0.09336252    769.503156</w:t>
      </w:r>
      <w:r>
        <w:br w:type="textWrapping"/>
      </w:r>
      <w:r>
        <w:rPr>
          <w:rStyle w:val="VerbatimChar"/>
        </w:rPr>
        <w:t xml:space="preserve">## 144    26 3.646284  0.00009900  0.00058572 -58274.990560</w:t>
      </w:r>
      <w:r>
        <w:br w:type="textWrapping"/>
      </w:r>
      <w:r>
        <w:rPr>
          <w:rStyle w:val="VerbatimChar"/>
        </w:rPr>
        <w:t xml:space="preserve">## 145    26 3.728219  0.01488440  0.08604899     -8.000332</w:t>
      </w:r>
    </w:p>
    <w:p>
      <w:pPr>
        <w:pStyle w:val="Heading1"/>
      </w:pPr>
      <w:bookmarkStart w:id="46" w:name="discussion"/>
      <w:bookmarkEnd w:id="46"/>
      <w:r>
        <w:t xml:space="preserve">Discussion</w:t>
      </w:r>
    </w:p>
    <w:p>
      <w:pPr>
        <w:pStyle w:val="Heading1"/>
      </w:pPr>
      <w:bookmarkStart w:id="47" w:name="literature-cited"/>
      <w:bookmarkEnd w:id="47"/>
      <w:r>
        <w:t xml:space="preserve">Literature Cited</w:t>
      </w:r>
    </w:p>
    <w:p>
      <w:pPr>
        <w:pStyle w:val="Bibliography"/>
      </w:pPr>
      <w:r>
        <w:t xml:space="preserve">McDade LA, Hartshorn GS (1994) La Selva biological station. La Selva: Ecology and natural history of a Neotropical rain forest:6–14.</w:t>
      </w:r>
    </w:p>
    <w:p>
      <w:pPr>
        <w:pStyle w:val="Bibliography"/>
      </w:pPr>
      <w:r>
        <w:t xml:space="preserve">Watkins JE, Holbrook NM, Zwieniecki MA (2010) Hydraulic properties of fern sporophytes: Consequences for ecological and evolutionary diversification. American Journal of Botany 97:2007–2019.</w:t>
      </w:r>
      <w:r>
        <w:t xml:space="preserve"> </w:t>
      </w:r>
      <w:hyperlink r:id="rId48">
        <w:r>
          <w:rPr>
            <w:rStyle w:val="Hyperlink"/>
          </w:rPr>
          <w:t xml:space="preserve">https://onlinelibrary.wiley.com/doi/full/10.3732/ajb.1000124</w:t>
        </w:r>
      </w:hyperlink>
      <w:r>
        <w:t xml:space="preserve"> </w:t>
      </w:r>
      <w:r>
        <w:t xml:space="preserve">(6 June 2018, date last accessed ).</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a342e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hyperlink" Id="rId48" Target="https://onlinelibrary.wiley.com/doi/full/10.3732/ajb.1000124" TargetMode="External" /></Relationships>
</file>

<file path=word/_rels/footnotes.xml.rels><?xml version="1.0" encoding="UTF-8"?>
<Relationships xmlns="http://schemas.openxmlformats.org/package/2006/relationships"><Relationship Type="http://schemas.openxmlformats.org/officeDocument/2006/relationships/hyperlink" Id="rId48" Target="https://onlinelibrary.wiley.com/doi/full/10.3732/ajb.1000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Saccoloma inaequale</dc:title>
  <dc:creator/>
  <dcterms:created xsi:type="dcterms:W3CDTF">2018-09-06T14:08:56Z</dcterms:created>
  <dcterms:modified xsi:type="dcterms:W3CDTF">2018-09-06T14:08:56Z</dcterms:modified>
</cp:coreProperties>
</file>