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Author"/>
      </w:pPr>
      <w:r>
        <w:t xml:space="preserve"/>
      </w:r>
    </w:p>
    <w:p>
      <w:pPr>
        <w:pStyle w:val="Date"/>
      </w:pPr>
      <w:r>
        <w:t xml:space="preserve"/>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and James E. Watkins Jr.</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2" w:name="abstract"/>
      <w:bookmarkEnd w:id="22"/>
      <w:r>
        <w:t xml:space="preserve">Abstract</w:t>
      </w:r>
    </w:p>
    <w:p>
      <w:pPr>
        <w:pStyle w:val="FirstParagraph"/>
      </w:pPr>
      <w:r>
        <w:br w:type="textWrapping"/>
      </w:r>
      <w:r>
        <w:t xml:space="preserve">Key Words:</w:t>
      </w:r>
    </w:p>
    <w:p>
      <w:pPr>
        <w:pStyle w:val="Heading1"/>
      </w:pPr>
      <w:bookmarkStart w:id="23" w:name="introduction"/>
      <w:bookmarkEnd w:id="23"/>
      <w:r>
        <w:t xml:space="preserve">Introduction</w:t>
      </w:r>
    </w:p>
    <w:p>
      <w:pPr>
        <w:pStyle w:val="Compact"/>
        <w:numPr>
          <w:numId w:val="1001"/>
          <w:ilvl w:val="0"/>
        </w:numPr>
      </w:pPr>
      <w:r>
        <w:t xml:space="preserve">Epiphytism, ferns and evoln. history</w:t>
      </w:r>
    </w:p>
    <w:p>
      <w:pPr>
        <w:pStyle w:val="FirstParagraph"/>
      </w:pPr>
      <w:r>
        <w:t xml:space="preserve">Within forests, epiphytes grow at many levels. Some are restricted to the dark understory, whereas others grow on the exposed twigs of emergent tree (Watkeins 2012)</w:t>
      </w:r>
    </w:p>
    <w:p>
      <w:pPr>
        <w:numPr>
          <w:numId w:val="1002"/>
          <w:ilvl w:val="0"/>
        </w:numPr>
      </w:pPr>
      <w:r>
        <w:t xml:space="preserve">microhabitat differences</w:t>
      </w:r>
    </w:p>
    <w:p>
      <w:pPr>
        <w:numPr>
          <w:numId w:val="1002"/>
          <w:ilvl w:val="0"/>
        </w:numPr>
      </w:pPr>
      <w:r>
        <w:t xml:space="preserve">Consequences of radiation of plants into canopy, seed vs spore</w:t>
      </w:r>
    </w:p>
    <w:p>
      <w:pPr>
        <w:numPr>
          <w:numId w:val="1002"/>
          <w:ilvl w:val="0"/>
        </w:numPr>
      </w:pPr>
      <w:r>
        <w:t xml:space="preserve">Evolution of traits</w:t>
      </w:r>
      <w:r>
        <w:t xml:space="preserve"> </w:t>
      </w:r>
      <w:r>
        <w:t xml:space="preserve">With tropical ferns, there is a fundamental evolutionary clade where one clade of ferns (Euploypoid I) had predomintaley radiated into epiphytic nihces, while a sister clade (Eupolypoid II) has mostley diversified on the forest floor (Watkings 2012).</w:t>
      </w:r>
      <w:r>
        <w:t xml:space="preserve"> </w:t>
      </w:r>
      <w:r>
        <w:t xml:space="preserve">Previous works by Zhang shows how these traits influence gas exchange however, what lead to these initial success is unclear</w:t>
      </w:r>
    </w:p>
    <w:p>
      <w:pPr>
        <w:numPr>
          <w:numId w:val="1002"/>
          <w:ilvl w:val="0"/>
        </w:numPr>
      </w:pPr>
      <w:r>
        <w:t xml:space="preserve">water relations and stomata</w:t>
      </w:r>
    </w:p>
    <w:p>
      <w:pPr>
        <w:pStyle w:val="FirstParagraph"/>
      </w:pPr>
      <w:r>
        <w:t xml:space="preserve">Terrestrial ferns may have reduced water use efficiency, which would be consistent with Brodribb and McAdam’s hypothesis of inefficient stomatal control.</w:t>
      </w:r>
    </w:p>
    <w:p>
      <w:pPr>
        <w:pStyle w:val="BodyText"/>
      </w:pPr>
      <w:r>
        <w:t xml:space="preserve">if stomata are regulated by leaf water status, what traits realted to water relations allows ferns to succeed.</w:t>
      </w:r>
    </w:p>
    <w:p>
      <w:pPr>
        <w:pStyle w:val="Compact"/>
        <w:numPr>
          <w:numId w:val="1003"/>
          <w:ilvl w:val="0"/>
        </w:numPr>
      </w:pPr>
      <w:r>
        <w:t xml:space="preserve">this study seeks…</w:t>
      </w:r>
      <w:r>
        <w:t xml:space="preserve"> </w:t>
      </w:r>
      <w:r>
        <w:t xml:space="preserve">looking within E1 and E2</w:t>
      </w:r>
      <w:r>
        <w:t xml:space="preserve"> </w:t>
      </w:r>
      <w:r>
        <w:t xml:space="preserve">Additionally, a hemi-epiphyitc life form co-exists with both these groups which may represent an evolutionary transition between terrestrial and epipythic life histories.</w:t>
      </w:r>
    </w:p>
    <w:p>
      <w:pPr>
        <w:pStyle w:val="Heading1"/>
      </w:pPr>
      <w:bookmarkStart w:id="24" w:name="methods"/>
      <w:bookmarkEnd w:id="24"/>
      <w:r>
        <w:t xml:space="preserve">Methods</w:t>
      </w:r>
    </w:p>
    <w:p>
      <w:pPr>
        <w:pStyle w:val="Heading2"/>
      </w:pPr>
      <w:bookmarkStart w:id="25" w:name="study-site-and-species-selection"/>
      <w:bookmarkEnd w:id="25"/>
      <w:r>
        <w:t xml:space="preserve">Study Site and Species Selection</w:t>
      </w:r>
    </w:p>
    <w:p>
      <w:pPr>
        <w:pStyle w:val="FirstParagraph"/>
      </w:pPr>
      <w:r>
        <w:t xml:space="preserve">The sites used for this study included two Costa Rican wet tropical forest locations at La Selva Biological Research Station in Heredia (84⁰00’12W, 10⁰25’52N) and Las Cruce Research Station in San Vito (8° 47′ 7” N, 82° 57′ 32” W). The La Selva site is a low elevation (ca 50 m) tropical forest, with a moderate dry season. The Las Cruces site is a premontane tropical forest located at a higher elvation (ca 1200 m). Both sites receive approximately 4m of annual rainfall</w:t>
      </w:r>
      <w:r>
        <w:t xml:space="preserve"> </w:t>
      </w:r>
      <w:r>
        <w:t xml:space="preserve">(Holdridge, 1967,</w:t>
      </w:r>
      <w:r>
        <w:t xml:space="preserve">Gentry (1993)</w:t>
      </w:r>
      <w:r>
        <w:t xml:space="preserve">)</w:t>
      </w:r>
      <w:r>
        <w:t xml:space="preserve">.</w:t>
      </w:r>
    </w:p>
    <w:p>
      <w:pPr>
        <w:pStyle w:val="BodyText"/>
      </w:pPr>
      <w:r>
        <w:br w:type="textWrapping"/>
      </w:r>
      <w:r>
        <w:t xml:space="preserve">A survey of morphological, stoichiometric, anatomical and leaf water relations parameters were conducted for six individuals from 39 fern species across three fundamentally distinct life froms (Table 1). Across both sites, 18 terrestrial, 15 epiphytic and 6 hemi-epiphytic species were collected and meausured. In this study, terrestrial life froms were all collected from shaded closed canopy understories in the forest floor. Epiphyitc life forms were sampled from trunks or within tree canopies,depending on the species. Epiphytic species were collected from canopy trees using single-rope climbing techniques. Hemi-epiphytic species were all collected along lower sections of trees trunks (1-3 m). Importantly, all sampled hemi-epiphtic species are known to have root connections to forest floor soils at some point in their life history. Individuals of species were collected across multiple populations but within similar microhabitat conditions. All sampled fern species were restricted to the eupolypod I and II clades. Vouchers for each species were deposited at the sites of collection at either the La Selva (LSCR) or Las Cruces (LCCR) herbariums.</w:t>
      </w:r>
    </w:p>
    <w:p>
      <w:pPr>
        <w:pStyle w:val="Heading2"/>
      </w:pPr>
      <w:bookmarkStart w:id="26" w:name="plant-material"/>
      <w:bookmarkEnd w:id="26"/>
      <w:r>
        <w:t xml:space="preserve">Plant Material</w:t>
      </w:r>
    </w:p>
    <w:p>
      <w:pPr>
        <w:pStyle w:val="FirstParagraph"/>
      </w:pPr>
      <w:r>
        <w:t xml:space="preserve">Two complete fronds from sampled individuals were field collected in the early morning (6-7:00 am). Stipes were cut at the base of the rhizome and cut ends were wrapped in wet paper towels and transported to the lab in black plastic bags. Stipes were re-cut under water adn rehydrated until time of hydaulic measurement (1-6 hours). Due to the difficulty in sampling some canopy species; whole epiphytic individuals were removed, maintained overnight in well-watered conditions in an abient air laboratory and sampled the following day. One frond from each individual was utlized for presssure volume curves, while the other was sampled for strucutral morphology, lamina stoichmetry and anatomical traits.</w:t>
      </w:r>
      <w:r>
        <w:t xml:space="preserve"> </w:t>
      </w:r>
      <w:r>
        <w:t xml:space="preserve">## Leaf Morphometric traits</w:t>
      </w:r>
    </w:p>
    <w:p>
      <w:pPr>
        <w:pStyle w:val="BodyText"/>
      </w:pPr>
      <w:r>
        <w:t xml:space="preserve">Stipe length (cm) and lamina length (cm) were calculated from one sampled frond per indiviudal. Total lamina area for each frond was measured with a Li-3100 leaf area meter (LiCor Biosciences, ). Leaf mass per unit area (LMA, g cm</w:t>
      </w:r>
      <w:r>
        <w:rPr>
          <w:vertAlign w:val="superscript"/>
        </w:rPr>
        <w:t xml:space="preserve">-2</w:t>
      </w:r>
      <w:r>
        <w:t xml:space="preserve">) was calculated using the tissue punch method. For each individual, ten lamina punches (5 mm</w:t>
      </w:r>
      <w:r>
        <w:t xml:space="preserve"> </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bookmarkEnd w:id="27"/>
      <w:r>
        <w:t xml:space="preserve">Anatomical traits</w:t>
      </w:r>
    </w:p>
    <w:p>
      <w:pPr>
        <w:pStyle w:val="FirstParagraph"/>
      </w:pPr>
      <w:r>
        <w:t xml:space="preserve">Total</w:t>
      </w:r>
      <w:r>
        <w:t xml:space="preserve"> </w:t>
      </w:r>
      <w:r>
        <w:rPr>
          <w:b/>
        </w:rPr>
        <w:t xml:space="preserve">xylem vascular</w:t>
      </w:r>
      <w:r>
        <w:t xml:space="preserve"> </w:t>
      </w:r>
      <w:r>
        <w:t xml:space="preserve">area was determined for stipe segments from hand cross-sections. Each cross section was stained with toulune blue….for.</w:t>
      </w:r>
      <w:r>
        <w:t xml:space="preserve"> </w:t>
      </w:r>
      <w:r>
        <w:t xml:space="preserve">Images under 10x were …</w:t>
      </w:r>
      <w:r>
        <w:t xml:space="preserve"> </w:t>
      </w:r>
      <w:r>
        <w:t xml:space="preserve">Total vascular area was determined by measuring the area of all vascular bundles within a stipe cross section. Images were analyzed using Image J software (National Institutes of Health, Bethesda Maryland, USA).</w:t>
      </w:r>
    </w:p>
    <w:p>
      <w:pPr>
        <w:pStyle w:val="BodyText"/>
      </w:pPr>
      <w:r>
        <w:br w:type="textWrapping"/>
      </w: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fiew were counted in three random regions on each of three leaf punches. The stomatal density for each indivudal is presented as the mean SD across all 9 sampled regions</w:t>
      </w:r>
    </w:p>
    <w:p>
      <w:pPr>
        <w:pStyle w:val="BodyText"/>
      </w:pPr>
      <w:r>
        <w:br w:type="textWrapping"/>
      </w:r>
      <w:r>
        <w:t xml:space="preserve">Indiviudal images of stomata were directly photographed under 40x magnification (AmCcope FMA050) across all three leaf punches per individual. Stomatal length and width of both guard cells were calculated for 9 stomata for each individual using Image J. Stomatal size (SS) was calculated as guard cell length multipled by the combined width of each guard cell pair, as in</w:t>
      </w:r>
      <w:r>
        <w:t xml:space="preserve"> </w:t>
      </w:r>
      <w:r>
        <w:t xml:space="preserve">Franks &amp; Beerling (2009)</w:t>
      </w:r>
      <w:r>
        <w:t xml:space="preserve">.</w:t>
      </w:r>
    </w:p>
    <w:p>
      <w:pPr>
        <w:pStyle w:val="Heading2"/>
      </w:pPr>
      <w:bookmarkStart w:id="28" w:name="foliar-chemistry"/>
      <w:bookmarkEnd w:id="28"/>
      <w:r>
        <w:t xml:space="preserve">Foliar chemistry</w:t>
      </w:r>
    </w:p>
    <w:p>
      <w:pPr>
        <w:pStyle w:val="FirstParagraph"/>
      </w:pPr>
      <w:r>
        <w:t xml:space="preserve">Subsamples of foliar tissue used for lamina area calculation were samples across muliple pinnae for each individual. These subsamples were dired to a constant mass and ground using a Wig-L-Bug (Sigma-Aldrich Co. St. Louis, USA).</w:t>
      </w:r>
    </w:p>
    <w:p>
      <w:pPr>
        <w:pStyle w:val="BodyText"/>
      </w:pPr>
      <w:r>
        <w:t xml:space="preserve">Nitrogen content and deltaC</w:t>
      </w:r>
      <w:r>
        <w:rPr>
          <w:vertAlign w:val="superscript"/>
        </w:rPr>
        <w:t xml:space="preserve">13</w:t>
      </w:r>
      <w:r>
        <w:t xml:space="preserve"> </w:t>
      </w:r>
      <w:r>
        <w:t xml:space="preserve">were measured using a</w:t>
      </w:r>
    </w:p>
    <w:p>
      <w:pPr>
        <w:pStyle w:val="BodyText"/>
      </w:pPr>
      <w:r>
        <w:t xml:space="preserve">by comparison with certified standards.</w:t>
      </w:r>
    </w:p>
    <w:p>
      <w:pPr>
        <w:pStyle w:val="Heading2"/>
      </w:pPr>
      <w:bookmarkStart w:id="29" w:name="pressure-volume-curves"/>
      <w:bookmarkEnd w:id="29"/>
      <w:r>
        <w:t xml:space="preserve">Pressure volume curves</w:t>
      </w:r>
    </w:p>
    <w:p>
      <w:pPr>
        <w:pStyle w:val="FirstParagraph"/>
      </w:pPr>
      <w:r>
        <w:t xml:space="preserve">We used a modified pressure–volume technique of Tyree and Hammel (1972) to estimate the following tissue-water relations: osmotic potential at full tissue hydration ( Ψ π , sat ), osmotic potential at the turgor loss point of tissues ( Ψ π , tlp ), bulk modulus of tissue elasticity ( ε ), and tissue-water capacitance ( C ). This method has been fully described by Davis and Mooney (1986).</w:t>
      </w:r>
    </w:p>
    <w:p>
      <w:pPr>
        <w:pStyle w:val="BodyText"/>
      </w:pPr>
      <w:r>
        <w:br w:type="textWrapping"/>
      </w:r>
      <w:r>
        <w:t xml:space="preserve">For each pressure-volume curve we sampled top most intact pinnae for each fully hydrated frond. We generated pressure–volume curves by taking sequential water potential measurements ( Ψ ) as fronds air dried first in closed plastic bages (0-2 hrs) and then on a bench top. The fresh mass was recored immediately before and after each Ψ determination. Following each PV curve, samples were dried to a constant mass to calculate relative water content (RWC).</w:t>
      </w:r>
    </w:p>
    <w:p>
      <w:pPr>
        <w:pStyle w:val="BodyText"/>
      </w:pPr>
      <w:r>
        <w:br w:type="textWrapping"/>
      </w:r>
      <w:r>
        <w:t xml:space="preserve">Lawren Sack’s = something here</w:t>
      </w:r>
      <w:r>
        <w:t xml:space="preserve"> </w:t>
      </w:r>
      <w:r>
        <w:t xml:space="preserve">To determine Ψπ, tlp , a plot of 1/ Ψ vs. RWC was generated, and the</w:t>
      </w:r>
      <w:r>
        <w:t xml:space="preserve"> </w:t>
      </w:r>
      <w:r>
        <w:t xml:space="preserve">point at which the graph linearized was taken as the Ψπ, tlp ( Davis and</w:t>
      </w:r>
      <w:r>
        <w:t xml:space="preserve"> </w:t>
      </w:r>
      <w:r>
        <w:t xml:space="preserve">Mooney, 1986 ). Ψπ, sat was determined by extending the regression line to the point where x = 0 (RWC =100). ε was determined from the slope m of the line of Ψpvs. RWC and the RWC at the turgor loss point (RWC°), such that ε= m RWC ° ,</w:t>
      </w:r>
      <w:r>
        <w:t xml:space="preserve"> </w:t>
      </w:r>
      <w:r>
        <w:t xml:space="preserve">and C was determined as the slope of RWC vs. Ψ ( Table 2 ).</w:t>
      </w:r>
    </w:p>
    <w:p>
      <w:pPr>
        <w:pStyle w:val="Heading2"/>
      </w:pPr>
      <w:bookmarkStart w:id="30" w:name="statistical-analysis"/>
      <w:bookmarkEnd w:id="30"/>
      <w:r>
        <w:t xml:space="preserve">Statistical analysis</w:t>
      </w:r>
    </w:p>
    <w:p>
      <w:pPr>
        <w:pStyle w:val="FirstParagraph"/>
      </w:pPr>
      <w:r>
        <w:t xml:space="preserve">Tests of allometric relationships between log-transformed biomass components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t>
      </w:r>
      <w:r>
        <w:rPr>
          <w:b/>
        </w:rPr>
        <w:t xml:space="preserve">???</w:t>
      </w:r>
      <w:r>
        <w:t xml:space="preserve">)</w:t>
      </w:r>
      <w:r>
        <w:t xml:space="preserve">. All tests of statistical significance were conducted at an</w:t>
      </w:r>
      <w:r>
        <w:t xml:space="preserve"> </w:t>
      </w:r>
      <m:oMath>
        <m:r>
          <m:t>α</m:t>
        </m:r>
      </m:oMath>
      <w:r>
        <w:t xml:space="preserve"> </w:t>
      </w:r>
      <w:r>
        <w:t xml:space="preserve">level of 0.05.</w:t>
      </w:r>
    </w:p>
    <w:p>
      <w:pPr>
        <w:pStyle w:val="Heading1"/>
      </w:pPr>
      <w:bookmarkStart w:id="31" w:name="results"/>
      <w:bookmarkEnd w:id="31"/>
      <w:r>
        <w:t xml:space="preserve">Results</w:t>
      </w:r>
    </w:p>
    <w:p>
      <w:pPr>
        <w:pStyle w:val="Heading2"/>
      </w:pPr>
      <w:bookmarkStart w:id="32" w:name="frond-morphology"/>
      <w:bookmarkEnd w:id="32"/>
      <w:r>
        <w:t xml:space="preserve">Frond Morphology</w:t>
      </w:r>
    </w:p>
    <w:p>
      <w:pPr>
        <w:pStyle w:val="FirstParagraph"/>
      </w:pPr>
      <w:r>
        <w:t xml:space="preserve">No differences in lamina area, however, this depends on which model I choose (with or without niche x site interaction). There is a massive amount of variation tied up in species-specific differences. Stipes in terrestrial species are 56% longer than epiphytic or hemi-epiphytic species. Total frond length is 30% longer in terrestrial than epiphytic species, with hemi-epiphytic species as intermediates.</w:t>
      </w:r>
    </w:p>
    <w:p>
      <w:pPr>
        <w:pStyle w:val="BodyText"/>
      </w:pPr>
      <w:r>
        <w:t xml:space="preserve">Specific leaf area is 35% higher in terrestrials ferns compared to epiphytic ferns, with hemi-epiphytes as intermediates.</w:t>
      </w:r>
    </w:p>
    <w:p>
      <w:pPr>
        <w:pStyle w:val="BodyText"/>
      </w:pPr>
      <w:r>
        <w:t xml:space="preserve">Not surprising, but frond area-length relationships are strong across all fern species.</w:t>
      </w:r>
    </w:p>
    <w:p>
      <w:pPr>
        <w:pStyle w:val="Heading2"/>
      </w:pPr>
      <w:bookmarkStart w:id="33" w:name="anatomical-traits-xylem-and-stomata"/>
      <w:bookmarkEnd w:id="33"/>
      <w:r>
        <w:t xml:space="preserve">Anatomical traits (xylem and stomata)</w:t>
      </w:r>
    </w:p>
    <w:p>
      <w:pPr>
        <w:pStyle w:val="FirstParagraph"/>
      </w:pPr>
      <w:r>
        <w:t xml:space="preserve">Epiphytic and hemi-epiphytic species have 51% fewer stomata per given area than terrestrial species!</w:t>
      </w:r>
    </w:p>
    <w:p>
      <w:pPr>
        <w:pStyle w:val="Heading2"/>
      </w:pPr>
      <w:bookmarkStart w:id="34" w:name="foliar-chemistry-1"/>
      <w:bookmarkEnd w:id="34"/>
      <w:r>
        <w:t xml:space="preserve">Foliar Chemistry</w:t>
      </w:r>
    </w:p>
    <w:p>
      <w:pPr>
        <w:pStyle w:val="FirstParagraph"/>
      </w:pPr>
      <w:r>
        <w:t xml:space="preserve">Foliar nitrogen is 29.8% lower in epiphytes compared to other groupgs</w:t>
      </w:r>
    </w:p>
    <w:p>
      <w:pPr>
        <w:pStyle w:val="BodyText"/>
      </w:pPr>
      <w:r>
        <w:t xml:space="preserve">Foliar nitrogen and lma relationships differ between habitat groups</w:t>
      </w:r>
    </w:p>
    <w:p>
      <w:pPr>
        <w:pStyle w:val="BodyText"/>
      </w:pPr>
      <w:r>
        <w:t xml:space="preserve">Mean foliar</w:t>
      </w:r>
      <w:r>
        <w:t xml:space="preserve"> </w:t>
      </w:r>
      <m:oMath>
        <m:r>
          <m:t>δ</m:t>
        </m:r>
      </m:oMath>
      <w:r>
        <w:rPr>
          <w:vertAlign w:val="superscript"/>
        </w:rPr>
        <w:t xml:space="preserve">13</w:t>
      </w:r>
      <w:r>
        <w:t xml:space="preserve">C for epiphytes is -34.4‰ compared with -32.5‰ for terrestrial + hemi-epiphytes. These is also a significant site effect. Is this relevant?</w:t>
      </w:r>
    </w:p>
    <w:p>
      <w:pPr>
        <w:pStyle w:val="BodyText"/>
      </w:pPr>
      <w:r>
        <w:t xml:space="preserve">I had to perform a little data mining to get this result. I dropped one epiphytic species with way to variable data (400-800 mg m</w:t>
      </w:r>
      <w:r>
        <w:rPr>
          <w:vertAlign w:val="superscript"/>
        </w:rPr>
        <w:t xml:space="preserve">-2</w:t>
      </w:r>
      <w:r>
        <w:t xml:space="preserve">) and a few outliers. Not sure how meaningful these differences are.</w:t>
      </w:r>
    </w:p>
    <w:p>
      <w:pPr>
        <w:pStyle w:val="Heading2"/>
      </w:pPr>
      <w:bookmarkStart w:id="35" w:name="foliar-hydraulic-traits"/>
      <w:bookmarkEnd w:id="35"/>
      <w:r>
        <w:t xml:space="preserve">Foliar Hydraulic Traits</w:t>
      </w:r>
    </w:p>
    <w:p>
      <w:pPr>
        <w:pStyle w:val="Heading1"/>
      </w:pPr>
      <w:bookmarkStart w:id="36" w:name="discussion"/>
      <w:bookmarkEnd w:id="36"/>
      <w:r>
        <w:t xml:space="preserve">Discussion</w:t>
      </w:r>
    </w:p>
    <w:p>
      <w:pPr>
        <w:pStyle w:val="FirstParagraph"/>
      </w:pPr>
      <w:r>
        <w:t xml:space="preserve">(Brodribb 2017): A passive linkage between leaf water status and guard cell turgor observed in extant basal vascular plants appears to be sufficient to prevent xylem cavitation during diurnal changes in evaporative demand (Martins et al., 2015). However, without more sophisticated mechanisms to reduce guard cell turgor and produce complete stomatal closure, it has been hypothesized that passive closure does not provide a sufficiently tight stomatal seal capable of preventing ferns and lycophytes from rapidly reaching critical leaf water potentials when soil water is depleted during drought (McAdam and Brodribb, 2013). As a result, ferns and lycophytes in dry environments rely on either a high plant capacitance or low stomatal density (McAdam and Brodribb, 2013), desiccation tolerance (Hietz, 2010), and in some cases, rather cavitation-resistant xylem (Baer et al., 2016).</w:t>
      </w:r>
      <w:r>
        <w:br w:type="textWrapping"/>
      </w:r>
      <w:r>
        <w:t xml:space="preserve">We foudn that cavaitaion-resistant xylem where not the case here (see review too)</w:t>
      </w:r>
    </w:p>
    <w:p>
      <w:pPr>
        <w:pStyle w:val="Heading1"/>
      </w:pPr>
      <w:bookmarkStart w:id="37" w:name="acknowledgements"/>
      <w:bookmarkEnd w:id="37"/>
      <w:r>
        <w:t xml:space="preserve">Acknowledgements</w:t>
      </w:r>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38" w:name="bibliography"/>
      <w:bookmarkEnd w:id="38"/>
      <w:r>
        <w:t xml:space="preserve">Bibliography</w:t>
      </w:r>
    </w:p>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e98cf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94af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dcterms:created xsi:type="dcterms:W3CDTF">2019-05-17T13:41:26Z</dcterms:created>
  <dcterms:modified xsi:type="dcterms:W3CDTF">2019-05-17T13:41:26Z</dcterms:modified>
</cp:coreProperties>
</file>