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w:t>
      </w:r>
      <w:r>
        <w:rPr>
          <w:b/>
        </w:rPr>
        <w:t xml:space="preserve">???</w:t>
      </w:r>
      <w:r>
        <w:t xml:space="preserve">)</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w:t>
      </w:r>
      <w:r>
        <w:rPr>
          <w:b/>
        </w:rPr>
        <w:t xml:space="preserve">???</w:t>
      </w:r>
      <w:r>
        <w:t xml:space="preserve">)</w:t>
      </w:r>
      <w:r>
        <w:t xml:space="preserve">. Consquently, one clade of ferns (Euploypoid I) has largely radiated into epiphytic niches, while a sister clade (Eupolypoid II) remained and diversified on the forest floor in tropical ecosystems (Watkins 2012).</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 (Watkins 2012).</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1"/>
          <w:ilvl w:val="0"/>
        </w:numPr>
      </w:pPr>
      <w:r>
        <w:t xml:space="preserve">A host of studies reveal how anatomical traits directly influence physiology in ferns in a manner that is functionally different from seed plants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p>
    <w:p>
      <w:pPr>
        <w:pStyle w:val="Compact"/>
        <w:numPr>
          <w:numId w:val="1001"/>
          <w:ilvl w:val="0"/>
        </w:numPr>
      </w:pPr>
      <w:r>
        <w:t xml:space="preserve">includes drought tolerance in gametophyte life stage, in both life stages</w:t>
      </w:r>
      <w:r>
        <w:t xml:space="preserve"> </w:t>
      </w:r>
      <w:r>
        <w:t xml:space="preserve">(</w:t>
      </w:r>
      <w:r>
        <w:rPr>
          <w:b/>
        </w:rPr>
        <w:t xml:space="preserve">???</w:t>
      </w:r>
      <w:r>
        <w:t xml:space="preserve">)</w:t>
      </w:r>
    </w:p>
    <w:p>
      <w:pPr>
        <w:pStyle w:val="Compact"/>
        <w:numPr>
          <w:numId w:val="1001"/>
          <w:ilvl w:val="0"/>
        </w:numPr>
      </w:pPr>
      <w:r>
        <w:t xml:space="preserve">It appears likely that the canalization of stomatal traits…</w:t>
      </w:r>
    </w:p>
    <w:p>
      <w:pPr>
        <w:numPr>
          <w:numId w:val="1001"/>
          <w:ilvl w:val="0"/>
        </w:numPr>
      </w:pPr>
      <w:r>
        <w:t xml:space="preserve">Regardless, epiphytic ferns span a vast arraw of micrhabitats that will undergo a suite of environmental stresses (high light, high ph, limited water) that should….</w:t>
      </w:r>
    </w:p>
    <w:p>
      <w:pPr>
        <w:pStyle w:val="Compact"/>
        <w:numPr>
          <w:numId w:val="1001"/>
          <w:ilvl w:val="0"/>
        </w:numPr>
      </w:pPr>
      <w:r>
        <w:t xml:space="preserve">Paragraph: water relations and strucutre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w:t>
      </w:r>
      <w:r>
        <w:rPr>
          <w:b/>
        </w:rPr>
        <w:t xml:space="preserve">???</w:t>
      </w:r>
      <w:r>
        <w:t xml:space="preserve">)</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 (Sperry, 2004).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w:t>
      </w:r>
      <w:r>
        <w:rPr>
          <w:b/>
        </w:rPr>
        <w:t xml:space="preserve">???</w:t>
      </w:r>
      <w:r>
        <w:t xml:space="preserve">)</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p>
    <w:p>
      <w:pPr>
        <w:pStyle w:val="BodyText"/>
      </w:pP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p>
    <w:p>
      <w:pPr>
        <w:pStyle w:val="BodyText"/>
      </w:pPr>
      <w:r>
        <w:t xml:space="preserve">Stipes measured for vulnerability to cavitation were transversely sectioned by hand using razorblade.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p>
    <w:p>
      <w:pPr>
        <w:pStyle w:val="BodyText"/>
      </w:pP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p>
    <w:p>
      <w:pPr>
        <w:pStyle w:val="BodyText"/>
      </w:pP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p>
    <w:p>
      <w:pPr>
        <w:pStyle w:val="BodyText"/>
      </w:pPr>
      <w:r>
        <w:rPr>
          <w:b/>
        </w:rPr>
        <w:t xml:space="preserve">A phylogenetic tree for these 30 fern species was constructed based on chloroplast rbcL sequences obtained from the GenBank website (</w:t>
      </w:r>
      <w:hyperlink r:id="rId31">
        <w:r>
          <w:rPr>
            <w:rStyle w:val="Hyperlink"/>
            <w:b/>
          </w:rPr>
          <w:t xml:space="preserve">http://www.ncbi.nlm.nih.gov/genbank/</w:t>
        </w:r>
      </w:hyperlink>
      <w:r>
        <w:rPr>
          <w:b/>
        </w:rP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 The phylogenetic signal (K-statistic) for each trait was calculated using</w:t>
      </w:r>
      <w:r>
        <w:rPr>
          <w:b/>
        </w:rPr>
        <w:t xml:space="preserve"> </w:t>
      </w:r>
      <w:r>
        <w:rPr>
          <w:b/>
        </w:rPr>
        <w:t xml:space="preserve">‘</w:t>
      </w:r>
      <w:r>
        <w:rPr>
          <w:b/>
        </w:rPr>
        <w:t xml:space="preserve">picante</w:t>
      </w:r>
      <w:r>
        <w:rPr>
          <w:b/>
        </w:rPr>
        <w:t xml:space="preserve">’</w:t>
      </w:r>
      <w:r>
        <w:rPr>
          <w:b/>
        </w:rPr>
        <w:t xml:space="preserve"> </w:t>
      </w:r>
      <w:r>
        <w:rPr>
          <w:b/>
        </w:rPr>
        <w:t xml:space="preserve">based on the R package. Such K-statistics can express the conservatism of traits. Cases where the K-value is ,1 indicate convergent traits while K.1 represents that traits are more conserved than would be presumed from a Brownian expectation [47]. Relationships among variables were evaluated by both pair-wise Pearson correlations in the R package and a phylogenetically independent contrast (PIC). Possible evolutionary associations were assessed via PIC analysis, utilizing the molecular phylogenetic tree. This PIC analysis was examined with the</w:t>
      </w:r>
      <w:r>
        <w:rPr>
          <w:b/>
        </w:rPr>
        <w:t xml:space="preserve"> </w:t>
      </w:r>
      <w:r>
        <w:rPr>
          <w:b/>
        </w:rPr>
        <w:t xml:space="preserve">‘</w:t>
      </w:r>
      <w:r>
        <w:rPr>
          <w:b/>
        </w:rPr>
        <w:t xml:space="preserve">‘analysis of traits</w:t>
      </w:r>
      <w:r>
        <w:rPr>
          <w:b/>
        </w:rPr>
        <w:t xml:space="preserve">’</w:t>
      </w:r>
      <w:r>
        <w:rPr>
          <w:b/>
        </w:rPr>
        <w:t xml:space="preserve">’ module in Phylocom, which calculates the internal node values for continuous traits [48].</w:t>
      </w:r>
    </w:p>
    <w:p>
      <w:pPr>
        <w:pStyle w:val="BodyText"/>
      </w:pPr>
      <w:r>
        <w:br w:type="textWrapping"/>
      </w:r>
    </w:p>
    <w:p>
      <w:pPr>
        <w:pStyle w:val="BodyText"/>
      </w:pPr>
      <w:r>
        <w:t xml:space="preserve">For bivariate trait relationships, responses of dependent variables were analysed with linear mixed-effect models, with species as a random effect and life form as a categorical fixed effect. Explained variance (R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 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2" w:name="results"/>
      <w:r>
        <w:t xml:space="preserve">Results</w:t>
      </w:r>
      <w:bookmarkEnd w:id="32"/>
    </w:p>
    <w:p>
      <w:pPr>
        <w:pStyle w:val="Heading2"/>
      </w:pPr>
      <w:bookmarkStart w:id="33" w:name="frond-morphology"/>
      <w:r>
        <w:t xml:space="preserve">Frond morphology</w:t>
      </w:r>
      <w:bookmarkEnd w:id="33"/>
    </w:p>
    <w:p>
      <w:pPr>
        <w:pStyle w:val="FirstParagraph"/>
      </w:pPr>
      <w:r>
        <w:rPr>
          <w:b/>
        </w:rPr>
        <w:t xml:space="preserve">Allomteric relationships between lamina area and total frond length had similar slopes across all three life forms (Figure 1a). This broad convergence in frond allometry suggests that tropical ferns build leaf structures in predictable proportions, despite variation in frond structural traits.</w:t>
      </w:r>
    </w:p>
    <w:p>
      <w:pPr>
        <w:pStyle w:val="BodyText"/>
      </w:pPr>
      <w:r>
        <w:br w:type="textWrapping"/>
      </w:r>
    </w:p>
    <w:p>
      <w:pPr>
        <w:pStyle w:val="BodyText"/>
      </w:pPr>
      <w:r>
        <w:t xml:space="preserve">Allometric relationships between lamina area and stipe length were functionally different between epiphytic species compared to terrestrial and hemi-epiphytic species (Figure 1A).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allometric relationship for epiphytic species. This functional shift in leaf structural relationships for epiphtic species likely represents adaptation to the reduce the path length of water transport.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1B).</w:t>
      </w:r>
    </w:p>
    <w:p>
      <w:pPr>
        <w:pStyle w:val="BodyText"/>
      </w:pPr>
      <w:r>
        <w:br w:type="textWrapping"/>
      </w:r>
    </w:p>
    <w:p>
      <w:pPr>
        <w:pStyle w:val="BodyText"/>
      </w:pP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Heading2"/>
      </w:pPr>
      <w:bookmarkStart w:id="34" w:name="anatomical-traits-1"/>
      <w:r>
        <w:t xml:space="preserve">Anatomical traits</w:t>
      </w:r>
      <w:bookmarkEnd w:id="34"/>
    </w:p>
    <w:p>
      <w:pPr>
        <w:pStyle w:val="FirstParagraph"/>
      </w:pP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BodyText"/>
      </w:pPr>
      <w:r>
        <w:br w:type="textWrapping"/>
      </w:r>
    </w:p>
    <w:p>
      <w:pPr>
        <w:pStyle w:val="BodyText"/>
      </w:pPr>
      <w:r>
        <w:t xml:space="preserve">Total xylem area was 65 % smaller in epiphytic species compared to terrestrial species (</w:t>
      </w:r>
      <w:r>
        <w:rPr>
          <w:i/>
        </w:rPr>
        <w:t xml:space="preserve">P</w:t>
      </w:r>
      <w:r>
        <w:t xml:space="preserve"> </w:t>
      </w:r>
      <w:r>
        <w:t xml:space="preserve">= 0.003), with hemi-epiphytic species has intermediates (</w:t>
      </w:r>
      <w:r>
        <w:rPr>
          <w:b/>
        </w:rPr>
        <w:t xml:space="preserve">add means here if no figure</w:t>
      </w:r>
      <w:r>
        <w:t xml:space="preserve">). Consequently, terrestrial species produced more xylem area per unit leaf area than epiphytic or hemi-epiphytic species, resulting in a higher Huber value (</w:t>
      </w:r>
      <w:r>
        <w:rPr>
          <w:i/>
        </w:rPr>
        <w:t xml:space="preserve">P</w:t>
      </w:r>
      <w:r>
        <w:t xml:space="preserve"> </w:t>
      </w:r>
      <w:r>
        <w:t xml:space="preserve">= 0.001). (</w:t>
      </w:r>
      <w:r>
        <w:rPr>
          <w:b/>
        </w:rPr>
        <w:t xml:space="preserve">add means here if no figure</w:t>
      </w:r>
      <w:r>
        <w:t xml:space="preserve">)</w:t>
      </w:r>
    </w:p>
    <w:p>
      <w:pPr>
        <w:pStyle w:val="Heading2"/>
      </w:pPr>
      <w:bookmarkStart w:id="35" w:name="foliar-chemistry-1"/>
      <w:r>
        <w:t xml:space="preserve">Foliar chemistry</w:t>
      </w:r>
      <w:bookmarkEnd w:id="35"/>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p>
    <w:p>
      <w:pPr>
        <w:pStyle w:val="BodyText"/>
      </w:pP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6" w:name="frond-hydraulic-traits"/>
      <w:r>
        <w:t xml:space="preserve">Frond hydraulic traits</w:t>
      </w:r>
      <w:bookmarkEnd w:id="36"/>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p>
    <w:p>
      <w:pPr>
        <w:pStyle w:val="BodyText"/>
      </w:pP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p>
    <w:p>
      <w:pPr>
        <w:pStyle w:val="Heading2"/>
      </w:pPr>
      <w:bookmarkStart w:id="37" w:name="bivariate-traits-relationships"/>
      <w:r>
        <w:t xml:space="preserve">Bivariate traits relationships:</w:t>
      </w:r>
      <w:bookmarkEnd w:id="37"/>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pStyle w:val="Compact"/>
        <w:numPr>
          <w:numId w:val="1007"/>
          <w:ilvl w:val="0"/>
        </w:numPr>
      </w:pPr>
      <w:r>
        <w:t xml:space="preserve">others?</w:t>
      </w:r>
    </w:p>
    <w:p>
      <w:pPr>
        <w:pStyle w:val="Heading1"/>
      </w:pPr>
      <w:bookmarkStart w:id="38" w:name="figures"/>
      <w:r>
        <w:t xml:space="preserve">Figures</w:t>
      </w:r>
      <w:bookmarkEnd w:id="38"/>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40"/>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4a-1.png" id="0" name="Picture"/>
                    <pic:cNvPicPr>
                      <a:picLocks noChangeArrowheads="1" noChangeAspect="1"/>
                    </pic:cNvPicPr>
                  </pic:nvPicPr>
                  <pic:blipFill>
                    <a:blip r:embed="rId43"/>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5A. Global view of pv curves. I am currently making this with ggplots, which means it looks different and I need to figure out how to combine with pv parameter figures (below).</w:t>
      </w:r>
    </w:p>
    <w:p>
      <w:pPr>
        <w:pStyle w:val="BodyText"/>
      </w:pPr>
      <w:r>
        <w:br w:type="textWrapping"/>
      </w:r>
    </w:p>
    <w:p>
      <w:pPr>
        <w:pStyle w:val="BodyText"/>
      </w:pPr>
      <w:r>
        <w:drawing>
          <wp:inline>
            <wp:extent cx="5943600" cy="2971800"/>
            <wp:effectExtent b="0" l="0" r="0" t="0"/>
            <wp:docPr descr="" title="" id="1" name="Picture"/>
            <a:graphic>
              <a:graphicData uri="http://schemas.openxmlformats.org/drawingml/2006/picture">
                <pic:pic>
                  <pic:nvPicPr>
                    <pic:cNvPr descr="leafwater_manuscript_files/figure-docx/figure4b-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Figure 5B. Epiphytic not more drought tolerant. Osmotic adjustments, not shifts in cell wall flexibility explain differences in TLP. I am not sure what capacitance at TLP means. There are possibly a few low outliers that may help TLP stats….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5-1.png" id="0" name="Picture"/>
                    <pic:cNvPicPr>
                      <a:picLocks noChangeArrowheads="1" noChangeAspect="1"/>
                    </pic:cNvPicPr>
                  </pic:nvPicPr>
                  <pic:blipFill>
                    <a:blip r:embed="rId4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6. This PCA is a mostly a placeholder, I imagine we will replace it with trait phylogeny mapping</w:t>
      </w:r>
    </w:p>
    <w:p>
      <w:pPr>
        <w:pStyle w:val="Heading1"/>
      </w:pPr>
      <w:bookmarkStart w:id="46" w:name="more-plots"/>
      <w:r>
        <w:t xml:space="preserve">More Plots</w:t>
      </w:r>
      <w:bookmarkEnd w:id="46"/>
    </w:p>
    <w:p>
      <w:pPr>
        <w:pStyle w:val="FirstParagraph"/>
      </w:pPr>
      <w:r>
        <w:drawing>
          <wp:inline>
            <wp:extent cx="5544151" cy="5544151"/>
            <wp:effectExtent b="0" l="0" r="0" t="0"/>
            <wp:docPr descr="" title="" id="1" name="Picture"/>
            <a:graphic>
              <a:graphicData uri="http://schemas.openxmlformats.org/drawingml/2006/picture">
                <pic:pic>
                  <pic:nvPicPr>
                    <pic:cNvPr descr="leafwater_manuscript_files/figure-docx/middays-1.png" id="0"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Midday water potential similar across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allom2-1.png" id="0" name="Picture"/>
                    <pic:cNvPicPr>
                      <a:picLocks noChangeArrowheads="1" noChangeAspect="1"/>
                    </pic:cNvPicPr>
                  </pic:nvPicPr>
                  <pic:blipFill>
                    <a:blip r:embed="rId48"/>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Frond length and lamina area allometry same among life forms.</w:t>
      </w:r>
    </w:p>
    <w:p>
      <w:pPr>
        <w:pStyle w:val="Heading1"/>
      </w:pPr>
      <w:bookmarkStart w:id="49" w:name="discussion"/>
      <w:r>
        <w:t xml:space="preserve">Discussion</w:t>
      </w:r>
      <w:bookmarkEnd w:id="49"/>
    </w:p>
    <w:p>
      <w:pPr>
        <w:pStyle w:val="Heading2"/>
      </w:pPr>
      <w:bookmarkStart w:id="50" w:name="Xa710c3b15b7ed8c298efba60981ece5b5b22afd"/>
      <w:r>
        <w:t xml:space="preserve">Do biomechanical relationships define water transport capacity?</w:t>
      </w:r>
      <w:bookmarkEnd w:id="50"/>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w:t>
      </w:r>
      <w:r>
        <w:rPr>
          <w:b/>
        </w:rPr>
        <w:t xml:space="preserve">???</w:t>
      </w:r>
      <w:r>
        <w:t xml:space="preserve">)</w:t>
      </w:r>
    </w:p>
    <w:p>
      <w:pPr>
        <w:numPr>
          <w:numId w:val="1008"/>
          <w:ilvl w:val="0"/>
        </w:numPr>
      </w:pPr>
      <w:r>
        <w:t xml:space="preserve">Foliar Narea increases with LMA () in terrestrial temperate ferns understory [</w:t>
      </w:r>
      <w:r>
        <w:t xml:space="preserve">(</w:t>
      </w:r>
      <w:r>
        <w:rPr>
          <w:b/>
        </w:rPr>
        <w:t xml:space="preserve">???</w:t>
      </w:r>
      <w:r>
        <w:t xml:space="preserve">)</w:t>
      </w:r>
      <w:r>
        <w:t xml:space="preserve">; *campany</w:t>
      </w:r>
    </w:p>
    <w:p>
      <w:pPr>
        <w:pStyle w:val="Heading2"/>
      </w:pPr>
      <w:bookmarkStart w:id="51" w:name="Xa60dab6c47f99d2658d08afecb06bb71dd7c8e6"/>
      <w:r>
        <w:t xml:space="preserve">Do canalized traits define leaf water status?</w:t>
      </w:r>
      <w:bookmarkEnd w:id="51"/>
    </w:p>
    <w:p>
      <w:pPr>
        <w:pStyle w:val="Heading1"/>
      </w:pPr>
      <w:bookmarkStart w:id="52" w:name="acknowledgements"/>
      <w:r>
        <w:t xml:space="preserve">Acknowledgements</w:t>
      </w:r>
      <w:bookmarkEnd w:id="52"/>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53" w:name="bibliography"/>
      <w:r>
        <w:t xml:space="preserve">Bibliography</w:t>
      </w:r>
      <w:bookmarkEnd w:id="53"/>
    </w:p>
    <w:bookmarkStart w:id="61" w:name="refs"/>
    <w:bookmarkStart w:id="54"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4"/>
    <w:bookmarkStart w:id="55"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5"/>
    <w:bookmarkStart w:id="56"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6"/>
    <w:bookmarkStart w:id="57"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7"/>
    <w:bookmarkStart w:id="58"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58"/>
    <w:bookmarkStart w:id="59"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59"/>
    <w:bookmarkStart w:id="60"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60"/>
    <w:bookmarkEnd w:id="61"/>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2019-05-31T17:20:01Z</dcterms:created>
  <dcterms:modified xsi:type="dcterms:W3CDTF">2019-05-31T17:20:01Z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