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pStyle w:val="Compact"/>
        <w:numPr>
          <w:numId w:val="1002"/>
          <w:ilvl w:val="1"/>
        </w:numPr>
      </w:pPr>
      <w:r>
        <w:t xml:space="preserve">Following the rise of angiosperms, a major radiation event in ferns occurred in the Cretaceous period, leading to diversification and proliferation of modern fern taxa</w:t>
      </w:r>
      <w:r>
        <w:t xml:space="preserve"> </w:t>
      </w:r>
      <w:r>
        <w:t xml:space="preserve">(</w:t>
      </w:r>
      <w:r>
        <w:rPr>
          <w:b/>
        </w:rPr>
        <w:t xml:space="preserve">???</w:t>
      </w:r>
      <w:r>
        <w:t xml:space="preserve">)</w:t>
      </w:r>
      <w:r>
        <w:t xml:space="preserve">. Globally, fern species continue to adapt and thrive in shaded understory environments. Part of this recent Cretaceous radiation event in ferns (polypods), however, included oppourtunistic diversification into more complex ecological niches provided by now dominant angiosperm canopies</w:t>
      </w:r>
      <w:r>
        <w:t xml:space="preserve"> </w:t>
      </w:r>
      <w:r>
        <w:t xml:space="preserve">(</w:t>
      </w:r>
      <w:r>
        <w:rPr>
          <w:b/>
        </w:rPr>
        <w:t xml:space="preserve">???</w:t>
      </w:r>
      <w:r>
        <w:t xml:space="preserve">)</w:t>
      </w:r>
      <w:r>
        <w:t xml:space="preserve">. Consquently, one clade of ferns (Euploypoid I) has largely radiated into epiphytic niches, while a sister clade (Eupolypoid II) remained and diversified on the forest floor in tropical ecosystems (Watkins 2012).</w:t>
      </w:r>
    </w:p>
    <w:p>
      <w:pPr>
        <w:numPr>
          <w:numId w:val="1001"/>
          <w:ilvl w:val="0"/>
        </w:numPr>
      </w:pPr>
      <w:r>
        <w:t xml:space="preserve">Paragraph: microhabitat differences</w:t>
      </w:r>
    </w:p>
    <w:p>
      <w:pPr>
        <w:pStyle w:val="Compact"/>
        <w:numPr>
          <w:numId w:val="1003"/>
          <w:ilvl w:val="1"/>
        </w:numPr>
      </w:pPr>
      <w:r>
        <w:t xml:space="preserve">terrestrial vs epiphytes (cardelus)</w:t>
      </w:r>
    </w:p>
    <w:p>
      <w:pPr>
        <w:pStyle w:val="Compact"/>
        <w:numPr>
          <w:numId w:val="1003"/>
          <w:ilvl w:val="1"/>
        </w:numPr>
      </w:pPr>
      <w:r>
        <w:t xml:space="preserve">Within forests, epiphytes grow at many levels. Some are restricted to the dark understory, whereas others grow on the exposed twigs of emergent tree (Watkins 2012).</w:t>
      </w:r>
    </w:p>
    <w:p>
      <w:pPr>
        <w:pStyle w:val="Compact"/>
        <w:numPr>
          <w:numId w:val="1003"/>
          <w:ilvl w:val="1"/>
        </w:numPr>
      </w:pPr>
      <w:r>
        <w:t xml:space="preserve">As non-parasites, epiphyitc plants face a variety of ecological stressors, regardless of canopy position, that drive selection of functional traits key across their life history.</w:t>
      </w:r>
    </w:p>
    <w:p>
      <w:pPr>
        <w:pStyle w:val="Compact"/>
        <w:numPr>
          <w:numId w:val="1003"/>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1"/>
          <w:ilvl w:val="0"/>
        </w:numPr>
      </w:pPr>
      <w:r>
        <w:t xml:space="preserve">A host of studies reveal how anatomical traits directly influence physiology in ferns in a manner that is functionally different from seed plants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w:t>
      </w:r>
    </w:p>
    <w:p>
      <w:pPr>
        <w:pStyle w:val="Compact"/>
        <w:numPr>
          <w:numId w:val="1001"/>
          <w:ilvl w:val="0"/>
        </w:numPr>
      </w:pPr>
      <w:r>
        <w:t xml:space="preserve">includes drought tolerance in gametophyte life stage, in both life stages</w:t>
      </w:r>
      <w:r>
        <w:t xml:space="preserve"> </w:t>
      </w:r>
      <w:r>
        <w:t xml:space="preserve">(</w:t>
      </w:r>
      <w:r>
        <w:rPr>
          <w:b/>
        </w:rPr>
        <w:t xml:space="preserve">???</w:t>
      </w:r>
      <w:r>
        <w:t xml:space="preserve">)</w:t>
      </w:r>
    </w:p>
    <w:p>
      <w:pPr>
        <w:pStyle w:val="Compact"/>
        <w:numPr>
          <w:numId w:val="1001"/>
          <w:ilvl w:val="0"/>
        </w:numPr>
      </w:pPr>
      <w:r>
        <w:t xml:space="preserve">It appears likely that the canalization of stomatal traits…</w:t>
      </w:r>
    </w:p>
    <w:p>
      <w:pPr>
        <w:numPr>
          <w:numId w:val="1001"/>
          <w:ilvl w:val="0"/>
        </w:numPr>
      </w:pPr>
      <w:r>
        <w:t xml:space="preserve">Regardless, epiphytic ferns span a vast arraw of micrhabitats that will undergo a suite of environmental stresses (high light, high ph, limited water) that should….</w:t>
      </w:r>
    </w:p>
    <w:p>
      <w:pPr>
        <w:pStyle w:val="Compact"/>
        <w:numPr>
          <w:numId w:val="1001"/>
          <w:ilvl w:val="0"/>
        </w:numPr>
      </w:pPr>
      <w:r>
        <w:t xml:space="preserve">Paragraph: water relations and strucutre</w:t>
      </w:r>
    </w:p>
    <w:p>
      <w:pPr>
        <w:pStyle w:val="Compact"/>
        <w:numPr>
          <w:numId w:val="1005"/>
          <w:ilvl w:val="1"/>
        </w:numPr>
      </w:pPr>
      <w:r>
        <w:t xml:space="preserve">As water transport in ferns occurs exclusively through primary vascular tissue, wrapped in discrete bundles that can span the entire frond</w:t>
      </w:r>
      <w:r>
        <w:t xml:space="preserve"> </w:t>
      </w:r>
      <w:r>
        <w:t xml:space="preserve">(</w:t>
      </w:r>
      <w:r>
        <w:rPr>
          <w:b/>
        </w:rPr>
        <w:t xml:space="preserve">???</w:t>
      </w:r>
      <w:r>
        <w:t xml:space="preserve">)</w:t>
      </w:r>
      <w:r>
        <w:t xml:space="preserve">…</w:t>
      </w:r>
    </w:p>
    <w:p>
      <w:pPr>
        <w:pStyle w:val="Compact"/>
        <w:numPr>
          <w:numId w:val="1005"/>
          <w:ilvl w:val="1"/>
        </w:numPr>
      </w:pPr>
      <w:r>
        <w:t xml:space="preserve">Terrestrial ferns may have reduced water use efficiency, which would be consistent with Brodribb and McAdam’s hypothesis of inefficient stomatal control.</w:t>
      </w:r>
    </w:p>
    <w:p>
      <w:pPr>
        <w:pStyle w:val="Compact"/>
        <w:numPr>
          <w:numId w:val="1005"/>
          <w:ilvl w:val="1"/>
        </w:numPr>
      </w:pPr>
      <w:r>
        <w:t xml:space="preserve">if stomata are regulated by leaf water status, what traits related to water relations allows ferns to succeed.</w:t>
      </w:r>
      <w:r>
        <w:t xml:space="preserve"> </w:t>
      </w:r>
      <w:r>
        <w:t xml:space="preserve">+The evolution of xylem and that of stomata are</w:t>
      </w:r>
      <w:r>
        <w:t xml:space="preserve"> </w:t>
      </w:r>
      <w:r>
        <w:t xml:space="preserve">tightly interconnected (Sperry, 2004). (read) -</w:t>
      </w:r>
    </w:p>
    <w:p>
      <w:pPr>
        <w:pStyle w:val="Compact"/>
        <w:numPr>
          <w:numId w:val="1001"/>
          <w:ilvl w:val="0"/>
        </w:numPr>
      </w:pPr>
      <w:r>
        <w:t xml:space="preserve">Paragraph: this study seeks…</w:t>
      </w:r>
    </w:p>
    <w:p>
      <w:pPr>
        <w:pStyle w:val="Compact"/>
        <w:numPr>
          <w:numId w:val="1006"/>
          <w:ilvl w:val="1"/>
        </w:numPr>
      </w:pPr>
      <w:r>
        <w:t xml:space="preserve">looking within E1 and E2 at traits related to water relations</w:t>
      </w:r>
    </w:p>
    <w:p>
      <w:pPr>
        <w:pStyle w:val="Compact"/>
        <w:numPr>
          <w:numId w:val="1006"/>
          <w:ilvl w:val="1"/>
        </w:numPr>
      </w:pPr>
      <w:r>
        <w:t xml:space="preserve">hemi as intermediaries? hemiepiphytic species begin life as epiphytes and transform into hemiepiphytes by eventually developing terrestrial root systems</w:t>
      </w:r>
      <w:r>
        <w:t xml:space="preserve"> </w:t>
      </w:r>
      <w:r>
        <w:t xml:space="preserve">(</w:t>
      </w:r>
      <w:r>
        <w:rPr>
          <w:b/>
        </w:rPr>
        <w:t xml:space="preserve">???</w:t>
      </w:r>
      <w:r>
        <w:t xml:space="preserve">)</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Epiphyitc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r>
        <w:t xml:space="preserve">Stipes measured for vulnerability to cavitation were transversely sectioned by hand using razorblade. Stipes were sectioned at the distal end, where conduit resistivity impacts hydraulic conductivity the most. Sections were stained in toluidine blue and then mounted in glycerine on microscope slides. Each section was photographed using a light microscope mounted with a digital camera (Amscope FMA050). Section photographs were anatomically analyzed using ImageJ (National Institutes of Health, Bethesda, ML, USA). Total xylem vascular area (mm</w:t>
      </w:r>
      <w:r>
        <w:rPr>
          <w:vertAlign w:val="superscript"/>
        </w:rPr>
        <w:t xml:space="preserve">2</w:t>
      </w:r>
      <w:r>
        <w:t xml:space="preserve">) was considered the conduit lumen area and the wall area for all xylem in each cross section.</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The interaction between life form and site was tested to confirm any potential environmental or climate influence on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When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2018)</w:t>
      </w:r>
      <w:r>
        <w:t xml:space="preserve"> </w:t>
      </w:r>
      <w:r>
        <w:t xml:space="preserve">to investigate interactions between life form and site.</w:t>
      </w:r>
    </w:p>
    <w:p>
      <w:pPr>
        <w:pStyle w:val="BodyText"/>
      </w:pPr>
      <w:r>
        <w:t xml:space="preserve">The conditional and marginal r2 values were calculated as per Nakagawa &amp; Schielzeth (2013)</w:t>
      </w:r>
    </w:p>
    <w:p>
      <w:pPr>
        <w:pStyle w:val="BodyText"/>
      </w:pPr>
      <w:r>
        <w:br w:type="textWrapping"/>
      </w:r>
      <w:r>
        <w:rPr>
          <w:b/>
        </w:rPr>
        <w:t xml:space="preserve">A phylogenetic tree for these 30 fern species was constructed based on chloroplast rbcL sequences obtained from the GenBank website (</w:t>
      </w:r>
      <w:hyperlink r:id="rId31">
        <w:r>
          <w:rPr>
            <w:rStyle w:val="Hyperlink"/>
            <w:b/>
          </w:rPr>
          <w:t xml:space="preserve">http://www.ncbi.nlm.nih.gov/genbank/</w:t>
        </w:r>
      </w:hyperlink>
      <w:r>
        <w:rPr>
          <w:b/>
        </w:rPr>
        <w:t xml:space="preserve">). Phylogenetic analyses for each matrix were carried out using the maximum likelihood method in PAUP* v.4.0b10 [44]. Schneider et al. (2004) has integrated Colysis and major components of Microsorum into Leptochilus by using nucleotide sequences derived from three plastid loci [45]. For simplicity, the old Latin names of species in Colysis and Microsorum were used in the present study. The phylogenetic signal (K-statistic) for each trait was calculated using</w:t>
      </w:r>
      <w:r>
        <w:rPr>
          <w:b/>
        </w:rPr>
        <w:t xml:space="preserve"> </w:t>
      </w:r>
      <w:r>
        <w:rPr>
          <w:b/>
        </w:rPr>
        <w:t xml:space="preserve">‘</w:t>
      </w:r>
      <w:r>
        <w:rPr>
          <w:b/>
        </w:rPr>
        <w:t xml:space="preserve">picante</w:t>
      </w:r>
      <w:r>
        <w:rPr>
          <w:b/>
        </w:rPr>
        <w:t xml:space="preserve">’</w:t>
      </w:r>
      <w:r>
        <w:rPr>
          <w:b/>
        </w:rPr>
        <w:t xml:space="preserve"> </w:t>
      </w:r>
      <w:r>
        <w:rPr>
          <w:b/>
        </w:rPr>
        <w:t xml:space="preserve">based on the R package. Such K-statistics can express the conservatism of traits. Cases where the K-value is ,1 indicate convergent traits while K.1 represents that traits are more conserved than would be presumed from a Brownian expectation [47]. Relationships among variables were evaluated by both pair-wise Pearson correlations in the R package and a phylogenetically independent contrast (PIC). Possible evolutionary associations were assessed via PIC analysis, utilizing the molecular phylogenetic tree. This PIC analysis was examined with the</w:t>
      </w:r>
      <w:r>
        <w:rPr>
          <w:b/>
        </w:rPr>
        <w:t xml:space="preserve"> </w:t>
      </w:r>
      <w:r>
        <w:rPr>
          <w:b/>
        </w:rPr>
        <w:t xml:space="preserve">‘</w:t>
      </w:r>
      <w:r>
        <w:rPr>
          <w:b/>
        </w:rPr>
        <w:t xml:space="preserve">‘analysis of traits</w:t>
      </w:r>
      <w:r>
        <w:rPr>
          <w:b/>
        </w:rPr>
        <w:t xml:space="preserve">’</w:t>
      </w:r>
      <w:r>
        <w:rPr>
          <w:b/>
        </w:rPr>
        <w:t xml:space="preserve">’ module in Phylocom, which calculates the internal node values for continuous traits [48].</w:t>
      </w:r>
    </w:p>
    <w:p>
      <w:pPr>
        <w:pStyle w:val="BodyText"/>
      </w:pPr>
      <w:r>
        <w:br w:type="textWrapping"/>
      </w:r>
      <w:r>
        <w:t xml:space="preserve">For bivariate trait relationships, responses of dependent variables were analysed with linear mixed-effect models, with species as a random effect and life form as a categorical fixed effect. Explained variance (R</w:t>
      </w:r>
      <w:r>
        <w:rPr>
          <w:vertAlign w:val="superscript"/>
        </w:rPr>
        <w:t xml:space="preserve">2</w:t>
      </w:r>
      <w:r>
        <w:t xml:space="preserve">) of mixed models were computed as in</w:t>
      </w:r>
      <w:r>
        <w:t xml:space="preserve"> </w:t>
      </w:r>
      <w:r>
        <w:t xml:space="preserve">(</w:t>
      </w:r>
      <w:r>
        <w:rPr>
          <w:b/>
        </w:rPr>
        <w:t xml:space="preserve">???</w:t>
      </w:r>
      <w:r>
        <w:t xml:space="preserve">)</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t>
      </w:r>
      <w:r>
        <w:rPr>
          <w:b/>
        </w:rPr>
        <w:t xml:space="preserve">???</w:t>
      </w:r>
      <w:r>
        <w:t xml:space="preserve">)</w:t>
      </w:r>
      <w:r>
        <w:t xml:space="preserve">. 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w:t>
      </w:r>
      <w:r>
        <w:rPr>
          <w:b/>
        </w:rPr>
        <w:t xml:space="preserve">???</w:t>
      </w:r>
      <w:r>
        <w:t xml:space="preserve">)</w:t>
      </w:r>
      <w:r>
        <w:t xml:space="preserve">, was used to explore how measured functional traits were distributed and co-varied among species (mean values) and life form. All tests of statistical significance were conducted at an</w:t>
      </w:r>
      <w:r>
        <w:t xml:space="preserve"> </w:t>
      </w:r>
      <m:oMath>
        <m:r>
          <m:t>α</m:t>
        </m:r>
      </m:oMath>
      <w:r>
        <w:t xml:space="preserve"> </w:t>
      </w:r>
      <w:r>
        <w:t xml:space="preserve">level of 0.05. All analyses were performed with R 3.5.1</w:t>
      </w:r>
      <w:r>
        <w:t xml:space="preserve"> </w:t>
      </w:r>
      <w:r>
        <w:t xml:space="preserve">(</w:t>
      </w:r>
      <w:r>
        <w:rPr>
          <w:b/>
        </w:rPr>
        <w:t xml:space="preserve">???</w:t>
      </w:r>
      <w:r>
        <w:t xml:space="preserve">)</w:t>
      </w:r>
      <w:r>
        <w:t xml:space="preserve">.</w:t>
      </w:r>
    </w:p>
    <w:p>
      <w:pPr>
        <w:pStyle w:val="Heading1"/>
      </w:pPr>
      <w:bookmarkStart w:id="32" w:name="results"/>
      <w:r>
        <w:t xml:space="preserve">Results</w:t>
      </w:r>
      <w:bookmarkEnd w:id="32"/>
    </w:p>
    <w:p>
      <w:pPr>
        <w:pStyle w:val="Heading2"/>
      </w:pPr>
      <w:bookmarkStart w:id="33" w:name="frond-morphology-and-anatomy"/>
      <w:r>
        <w:t xml:space="preserve">Frond morphology and anatomy</w:t>
      </w:r>
      <w:bookmarkEnd w:id="33"/>
    </w:p>
    <w:p>
      <w:pPr>
        <w:pStyle w:val="FirstParagraph"/>
      </w:pPr>
      <w:r>
        <w:t xml:space="preserve">Functional shifts in frond structural relationships for epiphtic species likely represent adaptation to the reduce the path length of water transport to lamina tissues.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1A). The majority of epiphytic and hemi-epiphytic ferns had stipes restricted to less than 20 cm (80% quantiles), while maximum stipe length of terrestrial ferns from the same probablity distribution was 42.3 cm. Allometric relationships between stipe length and lamina area were functionally different between epiphytic species compared to terrestrial and hemi-epiphytic species (Figure 1B). Log relationships of stipe length and lamina area were positively correlated for each life form, however, pair wise differences were detected in both the slopes (</w:t>
      </w:r>
      <w:r>
        <w:rPr>
          <w:i/>
        </w:rPr>
        <w:t xml:space="preserve">P</w:t>
      </w:r>
      <w:r>
        <w:t xml:space="preserve"> </w:t>
      </w:r>
      <w:r>
        <w:t xml:space="preserve">&lt; 0.001) and elevation (</w:t>
      </w:r>
      <w:r>
        <w:rPr>
          <w:i/>
        </w:rPr>
        <w:t xml:space="preserve">P</w:t>
      </w:r>
      <w:r>
        <w:t xml:space="preserve"> </w:t>
      </w:r>
      <w:r>
        <w:t xml:space="preserve">&lt; 0.001) of this structural relationship for epiphytic species.</w:t>
      </w:r>
    </w:p>
    <w:p>
      <w:pPr>
        <w:pStyle w:val="BodyText"/>
      </w:pPr>
      <w:r>
        <w:br w:type="textWrapping"/>
      </w:r>
      <w:r>
        <w:t xml:space="preserve">Total xylem area was 65 % smaller in epiphytic species compared to terrestrial species (</w:t>
      </w:r>
      <w:r>
        <w:rPr>
          <w:i/>
        </w:rPr>
        <w:t xml:space="preserve">P</w:t>
      </w:r>
      <w:r>
        <w:t xml:space="preserve"> </w:t>
      </w:r>
      <w:r>
        <w:t xml:space="preserve">= 0.003), with hemi-epiphytic species has intermediates (Figure 2A). Consequently, terrestrial species produced more xylem area per unit leaf area than epiphytic or hemi-epiphytic species, resulting in higher Huber valuec (</w:t>
      </w:r>
      <w:r>
        <w:rPr>
          <w:i/>
        </w:rPr>
        <w:t xml:space="preserve">P</w:t>
      </w:r>
      <w:r>
        <w:t xml:space="preserve"> </w:t>
      </w:r>
      <w:r>
        <w:t xml:space="preserve">= 0.001). (</w:t>
      </w:r>
      <w:r>
        <w:rPr>
          <w:b/>
        </w:rPr>
        <w:t xml:space="preserve">add means here if no figure</w:t>
      </w:r>
      <w:r>
        <w:t xml:space="preserve">). Overall, increases in total xylem area were postively correlated with increases in stipe length (</w:t>
      </w:r>
      <w:r>
        <w:rPr>
          <w:i/>
        </w:rPr>
        <w:t xml:space="preserve">P</w:t>
      </w:r>
      <w:r>
        <w:t xml:space="preserve"> </w:t>
      </w:r>
      <w:r>
        <w:t xml:space="preserve">&lt; 0.0001, Figure 2B), with a marginally significant effect of fern life form. The relationship between total xylem area and stipe length in hemi-epiphytes</w:t>
      </w:r>
    </w:p>
    <w:p>
      <w:pPr>
        <w:pStyle w:val="BodyText"/>
      </w:pPr>
      <w:r>
        <w:br w:type="textWrapping"/>
      </w:r>
      <w:r>
        <w:rPr>
          <w:b/>
        </w:rPr>
        <w:t xml:space="preserve">data check for stipe xylem regression, pick back up here</w:t>
      </w:r>
      <w:r>
        <w:t xml:space="preserve"> </w:t>
      </w:r>
      <w:r>
        <w:rPr>
          <w:b/>
        </w:rPr>
        <w:t xml:space="preserve">you cannot have a large stipe without a large xylem area</w:t>
      </w:r>
    </w:p>
    <w:p>
      <w:pPr>
        <w:pStyle w:val="BodyText"/>
      </w:pPr>
      <w:r>
        <w:br w:type="textWrapping"/>
      </w: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was 67% higher in epiphytic compared to terrestrial species, with hemi-epiphytic species intermediates between both life forms (</w:t>
      </w:r>
      <w:r>
        <w:rPr>
          <w:i/>
        </w:rPr>
        <w:t xml:space="preserve">P</w:t>
      </w:r>
      <w:r>
        <w:t xml:space="preserve"> </w:t>
      </w:r>
      <w:r>
        <w:t xml:space="preserve">= 0.002, Figure 1C).</w:t>
      </w:r>
    </w:p>
    <w:p>
      <w:pPr>
        <w:pStyle w:val="BodyText"/>
      </w:pPr>
      <w:r>
        <w:br w:type="textWrapping"/>
      </w: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w:t>
      </w:r>
    </w:p>
    <w:p>
      <w:pPr>
        <w:pStyle w:val="Heading2"/>
      </w:pPr>
      <w:bookmarkStart w:id="34" w:name="foliar-chemistry-1"/>
      <w:r>
        <w:t xml:space="preserve">Foliar chemistry</w:t>
      </w:r>
      <w:bookmarkEnd w:id="34"/>
    </w:p>
    <w:p>
      <w:pPr>
        <w:pStyle w:val="FirstParagraph"/>
      </w:pPr>
      <w:r>
        <w:t xml:space="preserve">Foliar nitrogen content was 29.8% lower in epiphytic ferns compared to terrestrial and hemi-epiphytic ferns (</w:t>
      </w:r>
      <w:r>
        <w:rPr>
          <w:i/>
        </w:rPr>
        <w:t xml:space="preserve">P</w:t>
      </w:r>
      <w:r>
        <w:t xml:space="preserve"> </w:t>
      </w:r>
      <w:r>
        <w:t xml:space="preserve">= 0.007). 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br w:type="textWrapping"/>
      </w: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5" w:name="frond-hydraulic-traits"/>
      <w:r>
        <w:t xml:space="preserve">Frond hydraulic traits</w:t>
      </w:r>
      <w:bookmarkEnd w:id="35"/>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Bartlett</w:t>
      </w:r>
      <w:r>
        <w:t xml:space="preserve"> </w:t>
      </w:r>
      <w:r>
        <w:rPr>
          <w:i/>
        </w:rPr>
        <w:t xml:space="preserve">et al.</w:t>
      </w:r>
      <w:r>
        <w:t xml:space="preserve"> </w:t>
      </w:r>
      <w:r>
        <w:t xml:space="preserve">(2012)</w:t>
      </w:r>
      <w:r>
        <w:t xml:space="preserve">).</w:t>
      </w:r>
    </w:p>
    <w:p>
      <w:pPr>
        <w:pStyle w:val="BodyText"/>
      </w:pPr>
      <w:r>
        <w:br w:type="textWrapping"/>
      </w: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r>
        <w:t xml:space="preserve"> </w:t>
      </w:r>
      <w:r>
        <w:rPr>
          <w:b/>
        </w:rPr>
        <w:t xml:space="preserve">add normal capactiance instead</w:t>
      </w:r>
    </w:p>
    <w:p>
      <w:pPr>
        <w:pStyle w:val="Heading2"/>
      </w:pPr>
      <w:bookmarkStart w:id="36" w:name="bivariate-traits-relationships"/>
      <w:r>
        <w:t xml:space="preserve">Bivariate traits relationships:</w:t>
      </w:r>
      <w:bookmarkEnd w:id="36"/>
    </w:p>
    <w:p>
      <w:pPr>
        <w:pStyle w:val="Compact"/>
        <w:numPr>
          <w:numId w:val="1007"/>
          <w:ilvl w:val="0"/>
        </w:numPr>
      </w:pPr>
      <w:r>
        <w:t xml:space="preserve">leaf area/stipe or others with with xylem</w:t>
      </w:r>
    </w:p>
    <w:p>
      <w:pPr>
        <w:pStyle w:val="Compact"/>
        <w:numPr>
          <w:numId w:val="1007"/>
          <w:ilvl w:val="0"/>
        </w:numPr>
      </w:pPr>
      <w:r>
        <w:t xml:space="preserve">lma and nitrogen</w:t>
      </w:r>
    </w:p>
    <w:p>
      <w:pPr>
        <w:pStyle w:val="Compact"/>
        <w:numPr>
          <w:numId w:val="1007"/>
          <w:ilvl w:val="0"/>
        </w:numPr>
      </w:pPr>
      <w:r>
        <w:t xml:space="preserve">density vs size (not much with stomata and other traits)</w:t>
      </w:r>
    </w:p>
    <w:p>
      <w:pPr>
        <w:pStyle w:val="Compact"/>
        <w:numPr>
          <w:numId w:val="1007"/>
          <w:ilvl w:val="0"/>
        </w:numPr>
      </w:pPr>
      <w:r>
        <w:t xml:space="preserve">others?</w:t>
      </w:r>
    </w:p>
    <w:p>
      <w:pPr>
        <w:pStyle w:val="Heading1"/>
      </w:pPr>
      <w:bookmarkStart w:id="37" w:name="figures"/>
      <w:r>
        <w:t xml:space="preserve">Figures</w:t>
      </w:r>
      <w:bookmarkEnd w:id="37"/>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Functional shift in path length to transport water, via stipe length, alters how different fern life forms build conductive structures</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2. Stipe length and xylem anatomy define water supply.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2-1.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3. Shifts in LMA between life forms alters relationships with nitrogen and water use efficiency</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1"/>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4. Stomatal traits and xylem area are functional different between life forms.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figure4a-1.png" id="0"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5A. Global view of pv curves. I am currently making this with ggplots, which means it looks different and I need to figure out how to combine with pv parameter figures (below).</w:t>
      </w:r>
    </w:p>
    <w:p>
      <w:pPr>
        <w:pStyle w:val="BodyText"/>
      </w:pPr>
      <w:r>
        <w:br w:type="textWrapping"/>
      </w:r>
    </w:p>
    <w:p>
      <w:pPr>
        <w:pStyle w:val="BodyText"/>
      </w:pPr>
      <w:r>
        <w:drawing>
          <wp:inline>
            <wp:extent cx="5943600" cy="2971800"/>
            <wp:effectExtent b="0" l="0" r="0" t="0"/>
            <wp:docPr descr="" title="" id="1" name="Picture"/>
            <a:graphic>
              <a:graphicData uri="http://schemas.openxmlformats.org/drawingml/2006/picture">
                <pic:pic>
                  <pic:nvPicPr>
                    <pic:cNvPr descr="leafwater_manuscript_files/figure-docx/figure4b-1.png" id="0"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Figure 5B. Epiphytic not more drought tolerant. Osmotic adjustments, not shifts in cell wall flexibility explain differences in TLP. I am not sure what capacitance at TLP means. There are possibly a few low outliers that may help TLP stats….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figure5-1.png" id="0" name="Picture"/>
                    <pic:cNvPicPr>
                      <a:picLocks noChangeArrowheads="1" noChangeAspect="1"/>
                    </pic:cNvPicPr>
                  </pic:nvPicPr>
                  <pic:blipFill>
                    <a:blip r:embed="rId44"/>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6. This PCA is a mostly a placeholder, I imagine we will replace it with trait phylogeny mapping</w:t>
      </w:r>
    </w:p>
    <w:p>
      <w:pPr>
        <w:pStyle w:val="Heading1"/>
      </w:pPr>
      <w:bookmarkStart w:id="45" w:name="more-plots"/>
      <w:r>
        <w:t xml:space="preserve">More Plots</w:t>
      </w:r>
      <w:bookmarkEnd w:id="45"/>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acr-1.png" id="0" name="Picture"/>
                    <pic:cNvPicPr>
                      <a:picLocks noChangeArrowheads="1" noChangeAspect="1"/>
                    </pic:cNvPicPr>
                  </pic:nvPicPr>
                  <pic:blipFill>
                    <a:blip r:embed="rId46"/>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Ancestral state reconstruction for frond length</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middays-1.png" id="0" name="Picture"/>
                    <pic:cNvPicPr>
                      <a:picLocks noChangeArrowheads="1" noChangeAspect="1"/>
                    </pic:cNvPicPr>
                  </pic:nvPicPr>
                  <pic:blipFill>
                    <a:blip r:embed="rId47"/>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Midday water potential similar across life forms.</w:t>
      </w:r>
    </w:p>
    <w:p>
      <w:pPr>
        <w:pStyle w:val="Heading1"/>
      </w:pPr>
      <w:bookmarkStart w:id="48" w:name="discussion"/>
      <w:r>
        <w:t xml:space="preserve">Discussion</w:t>
      </w:r>
      <w:bookmarkEnd w:id="48"/>
    </w:p>
    <w:p>
      <w:pPr>
        <w:pStyle w:val="Heading2"/>
      </w:pPr>
      <w:bookmarkStart w:id="49" w:name="Xa710c3b15b7ed8c298efba60981ece5b5b22afd"/>
      <w:r>
        <w:t xml:space="preserve">Do biomechanical relationships define water transport capacity?</w:t>
      </w:r>
      <w:bookmarkEnd w:id="49"/>
    </w:p>
    <w:p>
      <w:pPr>
        <w:numPr>
          <w:numId w:val="1008"/>
          <w:ilvl w:val="0"/>
        </w:numPr>
      </w:pPr>
      <w:r>
        <w:t xml:space="preserve">Differences in slopes of scaling realtionships between epiphyitc and terrestrial (more than with phyloegny) ferns have been detected with LMA and petiole width, suggesting a balance is required between optimizing hydaulic support and providing sufficient biomechanical support</w:t>
      </w:r>
      <w:r>
        <w:t xml:space="preserve"> </w:t>
      </w:r>
      <w:r>
        <w:t xml:space="preserve">(</w:t>
      </w:r>
      <w:r>
        <w:rPr>
          <w:b/>
        </w:rPr>
        <w:t xml:space="preserve">???</w:t>
      </w:r>
      <w:r>
        <w:t xml:space="preserve">)</w:t>
      </w:r>
    </w:p>
    <w:p>
      <w:pPr>
        <w:numPr>
          <w:numId w:val="1008"/>
          <w:ilvl w:val="0"/>
        </w:numPr>
      </w:pPr>
      <w:r>
        <w:t xml:space="preserve">Foliar Narea increases with LMA () in terrestrial temperate ferns understory [</w:t>
      </w:r>
      <w:r>
        <w:t xml:space="preserve">(</w:t>
      </w:r>
      <w:r>
        <w:rPr>
          <w:b/>
        </w:rPr>
        <w:t xml:space="preserve">???</w:t>
      </w:r>
      <w:r>
        <w:t xml:space="preserve">)</w:t>
      </w:r>
      <w:r>
        <w:t xml:space="preserve">; *campany</w:t>
      </w:r>
    </w:p>
    <w:p>
      <w:pPr>
        <w:pStyle w:val="Heading2"/>
      </w:pPr>
      <w:bookmarkStart w:id="50" w:name="Xa60dab6c47f99d2658d08afecb06bb71dd7c8e6"/>
      <w:r>
        <w:t xml:space="preserve">Do canalized traits define leaf water status?</w:t>
      </w:r>
      <w:bookmarkEnd w:id="50"/>
    </w:p>
    <w:p>
      <w:pPr>
        <w:pStyle w:val="Heading1"/>
      </w:pPr>
      <w:bookmarkStart w:id="51" w:name="acknowledgements"/>
      <w:r>
        <w:t xml:space="preserve">Acknowledgements</w:t>
      </w:r>
      <w:bookmarkEnd w:id="51"/>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52" w:name="bibliography"/>
      <w:r>
        <w:t xml:space="preserve">Bibliography</w:t>
      </w:r>
      <w:bookmarkEnd w:id="52"/>
    </w:p>
    <w:bookmarkStart w:id="60" w:name="refs"/>
    <w:bookmarkStart w:id="53" w:name="ref-bartlett_determinants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Sack L</w:t>
      </w:r>
      <w:r>
        <w:t xml:space="preserve">.</w:t>
      </w:r>
      <w:r>
        <w:t xml:space="preserve"> </w:t>
      </w:r>
      <w:r>
        <w:rPr>
          <w:b/>
        </w:rPr>
        <w:t xml:space="preserve">2012</w:t>
      </w:r>
      <w:r>
        <w:t xml:space="preserve">. The determinants of leaf turgor loss point and prediction of drought tolerance of species and biomes: A global meta-analysis.</w:t>
      </w:r>
      <w:r>
        <w:t xml:space="preserve"> </w:t>
      </w:r>
      <w:r>
        <w:rPr>
          <w:i/>
        </w:rPr>
        <w:t xml:space="preserve">Ecology Letters</w:t>
      </w:r>
      <w:r>
        <w:t xml:space="preserve"> </w:t>
      </w:r>
      <w:r>
        <w:rPr>
          <w:b/>
        </w:rPr>
        <w:t xml:space="preserve">15</w:t>
      </w:r>
      <w:r>
        <w:t xml:space="preserve">: 393–405.</w:t>
      </w:r>
    </w:p>
    <w:bookmarkEnd w:id="53"/>
    <w:bookmarkStart w:id="54"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4"/>
    <w:bookmarkStart w:id="55"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5"/>
    <w:bookmarkStart w:id="56"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6"/>
    <w:bookmarkStart w:id="57" w:name="ref-lenth_emmeans:_2018"/>
    <w:p>
      <w:pPr>
        <w:pStyle w:val="Bibliography"/>
      </w:pPr>
      <w:r>
        <w:rPr>
          <w:b w:val="0"/>
          <w:b/>
        </w:rPr>
        <w:t xml:space="preserve">Lenth R</w:t>
      </w:r>
      <w:r>
        <w:t xml:space="preserve">.</w:t>
      </w:r>
      <w:r>
        <w:t xml:space="preserve"> </w:t>
      </w:r>
      <w:r>
        <w:rPr>
          <w:b/>
        </w:rPr>
        <w:t xml:space="preserve">2018</w:t>
      </w:r>
      <w:r>
        <w:t xml:space="preserve">. Emmeans: Estimated Marginal Means, aka Least-Squares Means.</w:t>
      </w:r>
    </w:p>
    <w:bookmarkEnd w:id="57"/>
    <w:bookmarkStart w:id="58"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58"/>
    <w:bookmarkStart w:id="59"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59"/>
    <w:bookmarkEnd w:id="60"/>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2019-06-05T20:02:15Z</dcterms:created>
  <dcterms:modified xsi:type="dcterms:W3CDTF">2019-06-05T20:02:15Z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