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Veracruz, México</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Running Head:</w:t>
      </w:r>
      <w:r>
        <w:t xml:space="preserve"> </w:t>
      </w:r>
      <w:r>
        <w:t xml:space="preserve">Terrestrial and epiphytic fern functional traits</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(-60%), shorter stipe lengths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 Our findings clearly demonstrate the prevalence of water conservatism in both epiphytic and hemi-epiphytic ferns, via selection of anatomical and structural traits that avoid leaf water stress. Even with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realted to water deficit for all residing vascular and non-vascular plant lineages. For example, epiphytic angiosperms exhibit high adaptive capacity to maintain leaf water balance, including both drought tolerance and avoidance mechanisms, tank water storage, foliar water uptake and shifts in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Alternatively, it is now generally accepted that seed-free vascular plant lineages (including ferns) exhibit evolutionary canalization of physiological function that may inhibit their plasticity to changing environmental conditions. For example,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ferns in epiphytic habitats should exhibit</w:t>
      </w:r>
      <w:r>
        <w:t xml:space="preserve"> </w:t>
      </w:r>
      <w:r>
        <w:t xml:space="preserve">variation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This study tests the hypothesis that the evolution of leaf traits typically related to drought tolerance promoted the radiation of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ψ</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The standardized leaf xylem fraction, calculated as the ratio of xylem area to lamina area, was similarly smaller in epiphytic and hemi-epiphytic species (</w:t>
      </w:r>
      <w:r>
        <w:rPr>
          <w:i/>
        </w:rPr>
        <w:t xml:space="preserve">P</w:t>
      </w:r>
      <w:r>
        <w:t xml:space="preserve"> </w:t>
      </w:r>
      <w:r>
        <w:t xml:space="preserve">&lt; 0.001,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 higher in epiphytic compared to terrestrial species, with hemi-epiphytic species intermediates between both life forms (</w:t>
      </w:r>
      <w:r>
        <w:rPr>
          <w:i/>
        </w:rPr>
        <w:t xml:space="preserve">P</w:t>
      </w:r>
      <w:r>
        <w:t xml:space="preserve"> </w:t>
      </w:r>
      <w:r>
        <w:t xml:space="preserve">= 0.002, Figure 3A).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3B). Lamina</w:t>
      </w:r>
      <w:r>
        <w:t xml:space="preserve"> </w:t>
      </w:r>
      <m:oMath>
        <m:r>
          <m:t>δ</m:t>
        </m:r>
      </m:oMath>
      <w:r>
        <w:rPr>
          <w:vertAlign w:val="superscript"/>
        </w:rPr>
        <w:t xml:space="preserve">13</w:t>
      </w:r>
      <w:r>
        <w:t xml:space="preserve">C for fern species at the higher elevation Las Cruces site was also less negative (-33.0±0.26 ‰) than fern species at the low elevation La Selva site (34.0±;0.15 ‰,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possible range of chlorophyll content (Figure S1).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105 per mm</w:t>
      </w:r>
      <w:r>
        <w:rPr>
          <w:vertAlign w:val="superscript"/>
        </w:rPr>
        <w:t xml:space="preserve">2</w:t>
      </w:r>
      <w:r>
        <w:t xml:space="preserve">. Stomata of epiphytic species were 10.4 %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 greater guard cell width in epiphytes and hemi-epiphytes (13.4±0.18 um) compared to terrestrial species (11.2±0.21 um,</w:t>
      </w:r>
      <w:r>
        <w:t xml:space="preserve"> </w:t>
      </w:r>
      <w:r>
        <w:rPr>
          <w:i/>
        </w:rPr>
        <w:t xml:space="preserve">P</w:t>
      </w:r>
      <w:r>
        <w:t xml:space="preserve"> </w:t>
      </w:r>
      <w:r>
        <w:t xml:space="preserve">= 0.002). Guard cell length was statistically similar across life forms (47.7±0.45 um). A linear mixed model of the relationship between between stomatal density and stomatal size was not significant, largely due to the large amount of variation present in the random effect of species. Increases in stomatal density were negatively correlated with stomatal size only when fern life forms where assessed individually (Figure S2). Phylogenetic independent contrasts did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5A).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5B).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measured trait phenotypes of surveyed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&amp; ↓ stomatal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w:t>
      </w:r>
      <w:r>
        <w:t xml:space="preserve">2020)</w:t>
      </w:r>
      <w:r>
        <w:t xml:space="preserve">. Here, we examine a suite of traits and biomechanical relationships related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trait coordination related to biomechanical and structural support have previously been detected between epiphytic and terrestrial ferns</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creating potential trade-offs to leaf water supply. Ferns also rely entirely on primary xylem</w:t>
      </w:r>
      <w:r>
        <w:t xml:space="preserve"> </w:t>
      </w:r>
      <w:r>
        <w:t xml:space="preserve">(Pittermann</w:t>
      </w:r>
      <w:r>
        <w:t xml:space="preserve"> </w:t>
      </w:r>
      <w:r>
        <w:rPr>
          <w:i/>
        </w:rPr>
        <w:t xml:space="preserve">et al.</w:t>
      </w:r>
      <w:r>
        <w:t xml:space="preserve"> </w:t>
      </w:r>
      <w:r>
        <w:t xml:space="preserve">2015; Nitta</w:t>
      </w:r>
      <w:r>
        <w:t xml:space="preserve"> </w:t>
      </w:r>
      <w:r>
        <w:rPr>
          <w:i/>
        </w:rPr>
        <w:t xml:space="preserve">et al.</w:t>
      </w:r>
      <w:r>
        <w:t xml:space="preserve"> </w:t>
      </w:r>
      <w:r>
        <w:t xml:space="preserve">2020)</w:t>
      </w:r>
      <w:r>
        <w:t xml:space="preserve"> </w:t>
      </w:r>
      <w:r>
        <w:t xml:space="preserve">and limited leaf venation</w:t>
      </w:r>
      <w:r>
        <w:t xml:space="preserve"> </w:t>
      </w:r>
      <w:r>
        <w:t xml:space="preserve">(Brodribb</w:t>
      </w:r>
      <w:r>
        <w:t xml:space="preserve"> </w:t>
      </w:r>
      <w:r>
        <w:rPr>
          <w:i/>
        </w:rPr>
        <w:t xml:space="preserve">et al.</w:t>
      </w:r>
      <w:r>
        <w:t xml:space="preserve"> </w:t>
      </w:r>
      <w:r>
        <w:t xml:space="preserve">2007)</w:t>
      </w:r>
      <w:r>
        <w:t xml:space="preserve"> </w:t>
      </w:r>
      <w:r>
        <w:t xml:space="preserve">to supply lamina tissues,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Many epiphytes were capable of supporting equally large lamina as terrestrial species with short or minimal stipes. Positive relationships between xylem area and stipe length were thus functionally distinct in epiphytes due to large reductions in both traits. The reductions in investment to leaf water supply (xylem fraction) appear buffered by coinciding reductions in hydraulic path length, allowing support of large lamina with reduced total frond length (smaller size) in epiphytic ferns.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w:t>
      </w:r>
      <w:r>
        <w:t xml:space="preserve"> </w:t>
      </w:r>
      <m:oMath>
        <m:r>
          <m:t>ϵ</m:t>
        </m:r>
      </m:oMath>
      <w:r>
        <w:t xml:space="preserve">). Furthermore, the water storage capacity at turgor loss points (</w:t>
      </w:r>
      <w:r>
        <w:rPr>
          <w:i/>
        </w:rPr>
        <w:t xml:space="preserve">C</w:t>
      </w:r>
      <w:r>
        <w:rPr>
          <w:vertAlign w:val="subscript"/>
          <w:i/>
        </w:rPr>
        <w:t xml:space="preserve">TLP</w:t>
      </w:r>
      <w:r>
        <w:t xml:space="preserve">) of epiphytic ferns was far lower than in terrestrial ferns. Combined, we detected no detected no specific traits associated with drought tolerance in epiphytic ferns.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with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w:t>
      </w:r>
      <w:r>
        <w:t xml:space="preserve">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were likely able to opportunistically diversify into the canopy habitat.</w:t>
      </w:r>
      <w:r>
        <w:t xml:space="preserve"> </w:t>
      </w:r>
      <w:r>
        <w:t xml:space="preserve">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):lamina area (mm</w:t>
      </w:r>
      <w:r>
        <w:rPr>
          <w:vertAlign w:val="superscript"/>
        </w:rPr>
        <w:t xml:space="preserve">2</w:t>
      </w:r>
      <w:r>
        <w:t xml:space="preserve">))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Christoper Krieg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FirstParagraph"/>
      </w:pPr>
      <w:r>
        <w:t xml:space="preserve">This material is based upon work supported by the National Science Foundation under grant no. 1656801</w:t>
      </w:r>
    </w:p>
    <w:p>
      <w:pPr>
        <w:pStyle w:val="Heading1"/>
      </w:pPr>
      <w:bookmarkStart w:id="58" w:name="bibliography"/>
      <w:r>
        <w:t xml:space="preserve">Bibliography</w:t>
      </w:r>
      <w:bookmarkEnd w:id="58"/>
    </w:p>
    <w:bookmarkStart w:id="142" w:name="refs"/>
    <w:bookmarkStart w:id="59"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9"/>
    <w:bookmarkStart w:id="60"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60"/>
    <w:bookmarkStart w:id="61"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61"/>
    <w:bookmarkStart w:id="62"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2"/>
    <w:bookmarkStart w:id="63"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3"/>
    <w:bookmarkStart w:id="64"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4"/>
    <w:bookmarkStart w:id="65"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5"/>
    <w:bookmarkStart w:id="66"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6"/>
    <w:bookmarkStart w:id="67"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7"/>
    <w:bookmarkStart w:id="68"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8"/>
    <w:bookmarkStart w:id="69"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9"/>
    <w:bookmarkStart w:id="70"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70"/>
    <w:bookmarkStart w:id="71"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71"/>
    <w:bookmarkStart w:id="72"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2"/>
    <w:bookmarkStart w:id="73"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3"/>
    <w:bookmarkStart w:id="74"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4"/>
    <w:bookmarkStart w:id="75"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5"/>
    <w:bookmarkStart w:id="76"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6"/>
    <w:bookmarkStart w:id="77"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7"/>
    <w:bookmarkStart w:id="78" w:name="ref-franks_maximum_2009"/>
    <w:p>
      <w:pPr>
        <w:pStyle w:val="Bibliography"/>
      </w:pPr>
      <w:r>
        <w:t xml:space="preserve">Franks P.J. &amp; Beerling D.J. (2009)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8"/>
    <w:bookmarkStart w:id="79"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9"/>
    <w:bookmarkStart w:id="80"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80"/>
    <w:bookmarkStart w:id="81"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1"/>
    <w:bookmarkStart w:id="82"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2"/>
    <w:bookmarkStart w:id="83"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3"/>
    <w:bookmarkStart w:id="84"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4"/>
    <w:bookmarkStart w:id="85"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5"/>
    <w:bookmarkStart w:id="86" w:name="ref-holdridge_life_1967"/>
    <w:p>
      <w:pPr>
        <w:pStyle w:val="Bibliography"/>
      </w:pPr>
      <w:r>
        <w:t xml:space="preserve">Holdridge L.R. (1967) Life zone ecology.</w:t>
      </w:r>
      <w:r>
        <w:t xml:space="preserve"> </w:t>
      </w:r>
      <w:r>
        <w:rPr>
          <w:i/>
        </w:rPr>
        <w:t xml:space="preserve">Life zone ecology.</w:t>
      </w:r>
    </w:p>
    <w:bookmarkEnd w:id="86"/>
    <w:bookmarkStart w:id="87"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7"/>
    <w:bookmarkStart w:id="88"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8"/>
    <w:bookmarkStart w:id="89"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9"/>
    <w:bookmarkStart w:id="90"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90"/>
    <w:bookmarkStart w:id="91"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1"/>
    <w:bookmarkStart w:id="92"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92"/>
    <w:bookmarkStart w:id="93" w:name="ref-lenth_emmeans_2018"/>
    <w:p>
      <w:pPr>
        <w:pStyle w:val="Bibliography"/>
      </w:pPr>
      <w:r>
        <w:t xml:space="preserve">Lenth R. (2018) Emmeans: Estimated marginal means, aka least-squares means.</w:t>
      </w:r>
    </w:p>
    <w:bookmarkEnd w:id="93"/>
    <w:bookmarkStart w:id="94"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4"/>
    <w:bookmarkStart w:id="95"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5"/>
    <w:bookmarkStart w:id="96"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6"/>
    <w:bookmarkStart w:id="97"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7"/>
    <w:bookmarkStart w:id="98"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8"/>
    <w:bookmarkStart w:id="99"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9"/>
    <w:bookmarkStart w:id="100"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100"/>
    <w:bookmarkStart w:id="101"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1"/>
    <w:bookmarkStart w:id="102"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2"/>
    <w:bookmarkStart w:id="103"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3"/>
    <w:bookmarkStart w:id="104"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4"/>
    <w:bookmarkStart w:id="105"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5"/>
    <w:bookmarkStart w:id="106"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6"/>
    <w:bookmarkStart w:id="107"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7"/>
    <w:bookmarkStart w:id="108"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8"/>
    <w:bookmarkStart w:id="109"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9"/>
    <w:bookmarkStart w:id="110"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10"/>
    <w:bookmarkStart w:id="111"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1"/>
    <w:bookmarkStart w:id="112"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2"/>
    <w:bookmarkStart w:id="113"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3"/>
    <w:bookmarkStart w:id="114"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4"/>
    <w:bookmarkStart w:id="115"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5"/>
    <w:bookmarkStart w:id="116"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6"/>
    <w:bookmarkStart w:id="117" w:name="ref-ruszala_land_2011"/>
    <w:p>
      <w:pPr>
        <w:pStyle w:val="Bibliography"/>
      </w:pPr>
      <w:r>
        <w:t xml:space="preserve">Ruszala E.M., Beerling D.J., Franks P.J., Chater C., Casson S.A., Gray J.E. &amp; Hetherington A.M. (2011)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17"/>
    <w:bookmarkStart w:id="118" w:name="ref-sack_prometheuswiki_2011"/>
    <w:p>
      <w:pPr>
        <w:pStyle w:val="Bibliography"/>
      </w:pPr>
      <w:r>
        <w:t xml:space="preserve">Sack L., Pasquet-Kok J. &amp; Contributors P. (2011) PrometheusWiki Leaf pressure-volume curve parameters.</w:t>
      </w:r>
    </w:p>
    <w:bookmarkEnd w:id="118"/>
    <w:bookmarkStart w:id="119"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9"/>
    <w:bookmarkStart w:id="120"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0"/>
    <w:bookmarkStart w:id="121"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1"/>
    <w:bookmarkStart w:id="122"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2"/>
    <w:bookmarkStart w:id="123"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23"/>
    <w:bookmarkStart w:id="124" w:name="ref-team_r_2013"/>
    <w:p>
      <w:pPr>
        <w:pStyle w:val="Bibliography"/>
      </w:pPr>
      <w:r>
        <w:t xml:space="preserve">Team R.C. (2013) R: A language and environment for statistical computing.</w:t>
      </w:r>
    </w:p>
    <w:bookmarkEnd w:id="124"/>
    <w:bookmarkStart w:id="125"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5"/>
    <w:bookmarkStart w:id="126" w:name="ref-testo_are_2018"/>
    <w:p>
      <w:pPr>
        <w:pStyle w:val="Bibliography"/>
      </w:pPr>
      <w:r>
        <w:t xml:space="preserve">Testo W.L. &amp; Sundue M.A. (2018)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26"/>
    <w:bookmarkStart w:id="127" w:name="ref-tyree_measurement_1972"/>
    <w:p>
      <w:pPr>
        <w:pStyle w:val="Bibliography"/>
      </w:pPr>
      <w:r>
        <w:t xml:space="preserve">Tyree M.T. &amp; Hammel H.T. (1972)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7"/>
    <w:bookmarkStart w:id="128"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8"/>
    <w:bookmarkStart w:id="129" w:name="ref-watkins_ferns_2012"/>
    <w:p>
      <w:pPr>
        <w:pStyle w:val="Bibliography"/>
      </w:pPr>
      <w:r>
        <w:t xml:space="preserve">Watkins J.E. &amp; Cardelús C.L. (2012)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9"/>
    <w:bookmarkStart w:id="130"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0"/>
    <w:bookmarkStart w:id="131"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1"/>
    <w:bookmarkStart w:id="132"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2"/>
    <w:bookmarkStart w:id="133"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3"/>
    <w:bookmarkStart w:id="134"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4"/>
    <w:bookmarkStart w:id="135"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5"/>
    <w:bookmarkStart w:id="136"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6"/>
    <w:bookmarkStart w:id="137"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7"/>
    <w:bookmarkStart w:id="138"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38"/>
    <w:bookmarkStart w:id="139"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39"/>
    <w:bookmarkStart w:id="140"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40"/>
    <w:bookmarkStart w:id="141"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1"/>
    <w:bookmarkEnd w:id="142"/>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2020-06-29T16:00:43Z</dcterms:created>
  <dcterms:modified xsi:type="dcterms:W3CDTF">2020-06-29T16:00:43Z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