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Root</w:t>
      </w:r>
      <w:r>
        <w:t xml:space="preserve"> </w:t>
      </w:r>
      <w:r>
        <w:t xml:space="preserve">Shoot</w:t>
      </w:r>
      <w:r>
        <w:t xml:space="preserve"> </w:t>
      </w:r>
      <w:r>
        <w:t xml:space="preserve">assessment</w:t>
      </w:r>
      <w:r>
        <w:t xml:space="preserve"> </w:t>
      </w:r>
      <w:r>
        <w:t xml:space="preserve">in</w:t>
      </w:r>
      <w:r>
        <w:t xml:space="preserve"> </w:t>
      </w:r>
      <w:r>
        <w:t xml:space="preserve">nursery</w:t>
      </w:r>
      <w:r>
        <w:t xml:space="preserve"> </w:t>
      </w:r>
      <w:r>
        <w:t xml:space="preserve">tree</w:t>
      </w:r>
      <w:r>
        <w:t xml:space="preserve"> </w:t>
      </w:r>
      <w:r>
        <w:t xml:space="preserve">stock</w:t>
      </w:r>
    </w:p>
    <w:p>
      <w:pPr>
        <w:pStyle w:val="Heading1"/>
      </w:pPr>
      <w:bookmarkStart w:id="21" w:name="overview"/>
      <w:bookmarkEnd w:id="21"/>
      <w:r>
        <w:t xml:space="preserve">Overview</w:t>
      </w:r>
    </w:p>
    <w:p>
      <w:r>
        <w:t xml:space="preserve">One of the most critical statements of the "Australian standard for Tree stock and landscape use" is that</w:t>
      </w:r>
    </w:p>
    <w:p>
      <w:pPr>
        <w:pStyle w:val="Heading3"/>
      </w:pPr>
      <w:bookmarkStart w:id="22" w:name="survival-and-establishment-ecology-and-economy"/>
      <w:bookmarkEnd w:id="22"/>
      <w:r>
        <w:t xml:space="preserve">survival and establishment (ecology and economy)</w:t>
      </w:r>
    </w:p>
    <w:p>
      <w:pPr>
        <w:pStyle w:val="Compact"/>
        <w:numPr>
          <w:numId w:val="1001"/>
          <w:ilvl w:val="0"/>
        </w:numPr>
      </w:pPr>
      <w:r>
        <w:t xml:space="preserve">lanscaping</w:t>
      </w:r>
    </w:p>
    <w:p>
      <w:pPr>
        <w:pStyle w:val="Compact"/>
        <w:numPr>
          <w:numId w:val="1001"/>
          <w:ilvl w:val="0"/>
        </w:numPr>
      </w:pPr>
      <w:r>
        <w:t xml:space="preserve">orhcards</w:t>
      </w:r>
    </w:p>
    <w:p>
      <w:pPr>
        <w:pStyle w:val="Compact"/>
        <w:numPr>
          <w:numId w:val="1001"/>
          <w:ilvl w:val="0"/>
        </w:numPr>
      </w:pPr>
      <w:r>
        <w:t xml:space="preserve">plantation</w:t>
      </w:r>
    </w:p>
    <w:p>
      <w:pPr>
        <w:pStyle w:val="Compact"/>
        <w:numPr>
          <w:numId w:val="1001"/>
          <w:ilvl w:val="0"/>
        </w:numPr>
      </w:pPr>
      <w:r>
        <w:t xml:space="preserve">urban</w:t>
      </w:r>
    </w:p>
    <w:p>
      <w:pPr>
        <w:pStyle w:val="Heading1"/>
      </w:pPr>
      <w:bookmarkStart w:id="23" w:name="the-major-assessment-players"/>
      <w:bookmarkEnd w:id="23"/>
      <w:r>
        <w:t xml:space="preserve">The major assessment players</w:t>
      </w:r>
    </w:p>
    <w:p>
      <w:r>
        <w:rPr>
          <w:i/>
        </w:rPr>
        <w:t xml:space="preserve">1. Tree stock balance: relationship between 'Size Index' and Rootball Volume</w:t>
      </w:r>
      <w:r>
        <w:br w:type="textWrapping"/>
      </w:r>
      <w:r>
        <w:t xml:space="preserve">2. Size Index (as Height x Calliper)</w:t>
      </w:r>
      <w:r>
        <w:t xml:space="preserve"> </w:t>
      </w:r>
      <w:r>
        <w:rPr>
          <w:i/>
        </w:rPr>
        <w:t xml:space="preserve">3. Height : Calliper</w:t>
      </w:r>
      <w:r>
        <w:rPr>
          <w:i/>
        </w:rPr>
        <w:t xml:space="preserve"> </w:t>
      </w:r>
      <w:r>
        <w:t xml:space="preserve">4. Rootball</w:t>
      </w:r>
    </w:p>
    <w:p>
      <w:pPr>
        <w:pStyle w:val="Heading2"/>
      </w:pPr>
      <w:bookmarkStart w:id="24" w:name="review-of-root-shoot-balance"/>
      <w:bookmarkEnd w:id="24"/>
      <w:r>
        <w:t xml:space="preserve">Review of Root : Shoot balance</w:t>
      </w:r>
    </w:p>
    <w:p>
      <w:pPr>
        <w:pStyle w:val="Heading3"/>
      </w:pPr>
      <w:bookmarkStart w:id="25" w:name="aboveground-height-diametercalliper"/>
      <w:bookmarkEnd w:id="25"/>
      <w:r>
        <w:t xml:space="preserve">Aboveground (Height, Diameter/Calliper)</w:t>
      </w:r>
    </w:p>
    <w:p>
      <w:pPr>
        <w:pStyle w:val="Heading3"/>
      </w:pPr>
      <w:bookmarkStart w:id="26" w:name="belowground-rootball-diameter-and-volume"/>
      <w:bookmarkEnd w:id="26"/>
      <w:r>
        <w:t xml:space="preserve">Belowground (Rootball diameter and volume)</w:t>
      </w:r>
    </w:p>
    <w:p>
      <w:pPr>
        <w:pStyle w:val="Heading2"/>
      </w:pPr>
      <w:bookmarkStart w:id="27" w:name="the-bench-warmers"/>
      <w:bookmarkEnd w:id="27"/>
      <w:r>
        <w:t xml:space="preserve">The bench warmers</w:t>
      </w:r>
    </w:p>
    <w:p>
      <w:pPr>
        <w:pStyle w:val="Heading3"/>
      </w:pPr>
      <w:bookmarkStart w:id="28" w:name="aboveground"/>
      <w:bookmarkEnd w:id="28"/>
      <w:r>
        <w:t xml:space="preserve">Aboveground</w:t>
      </w:r>
    </w:p>
    <w:p>
      <w:pPr>
        <w:pStyle w:val="Heading3"/>
      </w:pPr>
      <w:bookmarkStart w:id="29" w:name="belowground"/>
      <w:bookmarkEnd w:id="29"/>
      <w:r>
        <w:t xml:space="preserve">Belowground</w:t>
      </w:r>
    </w:p>
    <w:p>
      <w:r>
        <w:rPr>
          <w:i/>
        </w:rPr>
        <w:t xml:space="preserve">rootball occupancy</w:t>
      </w:r>
      <w:r>
        <w:t xml:space="preserve"> </w:t>
      </w:r>
      <w:r>
        <w:rPr>
          <w:i/>
        </w:rPr>
        <w:t xml:space="preserve">root direction</w:t>
      </w:r>
      <w:r>
        <w:t xml:space="preserve"> </w:t>
      </w:r>
      <w:r>
        <w:rPr>
          <w:i/>
        </w:rPr>
        <w:t xml:space="preserve">root division</w:t>
      </w:r>
      <w:r>
        <w:t xml:space="preserve"> </w:t>
      </w:r>
      <w:r>
        <w:rPr>
          <w:i/>
        </w:rPr>
        <w:t xml:space="preserve">height of root crown</w:t>
      </w:r>
    </w:p>
    <w:p>
      <w:pPr>
        <w:pStyle w:val="Heading1"/>
      </w:pPr>
      <w:bookmarkStart w:id="30" w:name="significant-to-the-nursery-industry"/>
      <w:bookmarkEnd w:id="30"/>
      <w:r>
        <w:t xml:space="preserve">Significant to the nursery industry</w:t>
      </w:r>
    </w:p>
    <w:p>
      <w:pPr>
        <w:pStyle w:val="Heading1"/>
      </w:pPr>
      <w:bookmarkStart w:id="31" w:name="australias-climate-zones"/>
      <w:bookmarkEnd w:id="31"/>
      <w:r>
        <w:t xml:space="preserve">australias climate zones</w:t>
      </w:r>
    </w:p>
    <w:p>
      <w:r>
        <w:t xml:space="preserve">Bureau of Meteorology Climate Zones. These are based on a modified Köppen classification system.</w:t>
      </w:r>
    </w:p>
    <w:p>
      <w:r>
        <w:br w:type="textWrapping"/>
      </w:r>
      <w:r>
        <w:drawing>
          <wp:inline>
            <wp:extent cx="5440680" cy="40805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eview_files/figure-docx/ausclima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>
            <wp:extent cx="5440680" cy="40805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eview_files/figure-docx/ausclimate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t xml:space="preserve">#do nursery practives change across climate zones</w:t>
      </w:r>
    </w:p>
    <w:sectPr w:rsidR="00273792" w:rsidSect="00EE50EF">
      <w:footerReference w:type="default" r:id="rId8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80969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10CF" w:rsidRDefault="006710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03B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710CF" w:rsidRDefault="006710CF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F69BA"/>
    <w:multiLevelType w:val="multilevel"/>
    <w:tmpl w:val="B43C11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F94FA20"/>
    <w:multiLevelType w:val="multilevel"/>
    <w:tmpl w:val="616847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e88731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4f9251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EastAsia" w:hAnsiTheme="maj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EC1C64"/>
    <w:pPr>
      <w:spacing w:line="48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267E"/>
    <w:pPr>
      <w:keepNext/>
      <w:pageBreakBefore/>
      <w:spacing w:before="240" w:after="60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68C"/>
    <w:pPr>
      <w:keepNext/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68C"/>
    <w:pPr>
      <w:keepNext/>
      <w:spacing w:before="240" w:after="60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068C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1068C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1068C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1068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1068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1068C"/>
    <w:pPr>
      <w:spacing w:before="240" w:after="60"/>
      <w:outlineLvl w:val="8"/>
    </w:pPr>
    <w:rPr>
      <w:rFonts w:eastAsiaTheme="maj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71068C"/>
    <w:pPr>
      <w:spacing w:before="240" w:after="60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68C"/>
    <w:pPr>
      <w:spacing w:after="60"/>
      <w:jc w:val="center"/>
      <w:outlineLvl w:val="1"/>
    </w:pPr>
    <w:rPr>
      <w:rFonts w:eastAsiaTheme="majorEastAsia" w:cstheme="majorBidi"/>
    </w:rPr>
  </w:style>
  <w:style w:type="paragraph" w:customStyle="1" w:styleId="Author">
    <w:name w:val="Author"/>
    <w:next w:val="Normal"/>
    <w:pPr>
      <w:keepNext/>
      <w:keepLines/>
      <w:jc w:val="center"/>
    </w:pPr>
  </w:style>
  <w:style w:type="paragraph" w:styleId="Date">
    <w:name w:val="Date"/>
    <w:next w:val="Normal"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customStyle="1" w:styleId="BlockQuote">
    <w:name w:val="Block Quote"/>
    <w:basedOn w:val="Normal"/>
    <w:next w:val="Normal"/>
    <w:uiPriority w:val="9"/>
    <w:unhideWhenUsed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Heading1Char">
    <w:name w:val="Heading 1 Char"/>
    <w:basedOn w:val="DefaultParagraphFont"/>
    <w:link w:val="Heading1"/>
    <w:uiPriority w:val="9"/>
    <w:rsid w:val="002B267E"/>
    <w:rPr>
      <w:rFonts w:ascii="Times New Roman" w:eastAsiaTheme="majorEastAsia" w:hAnsi="Times New Roman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068C"/>
    <w:rPr>
      <w:rFonts w:ascii="Times New Roman" w:eastAsiaTheme="majorEastAsia" w:hAnsi="Times New Roman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1068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1068C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1068C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1068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71068C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71068C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71068C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rsid w:val="0071068C"/>
    <w:rPr>
      <w:rFonts w:ascii="Times New Roman" w:eastAsiaTheme="majorEastAsia" w:hAnsi="Times New Roman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1068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1068C"/>
    <w:rPr>
      <w:b/>
      <w:bCs/>
    </w:rPr>
  </w:style>
  <w:style w:type="character" w:styleId="Emphasis">
    <w:name w:val="Emphasis"/>
    <w:basedOn w:val="DefaultParagraphFont"/>
    <w:uiPriority w:val="20"/>
    <w:qFormat/>
    <w:rsid w:val="0071068C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71068C"/>
    <w:rPr>
      <w:szCs w:val="32"/>
    </w:rPr>
  </w:style>
  <w:style w:type="paragraph" w:styleId="ListParagraph">
    <w:name w:val="List Paragraph"/>
    <w:basedOn w:val="Normal"/>
    <w:uiPriority w:val="34"/>
    <w:qFormat/>
    <w:rsid w:val="0071068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1068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1068C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68C"/>
    <w:pPr>
      <w:ind w:left="720" w:right="720"/>
    </w:pPr>
    <w:rPr>
      <w:b/>
      <w:i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68C"/>
    <w:rPr>
      <w:b/>
      <w:i/>
      <w:sz w:val="24"/>
    </w:rPr>
  </w:style>
  <w:style w:type="character" w:styleId="SubtleEmphasis">
    <w:name w:val="Subtle Emphasis"/>
    <w:uiPriority w:val="19"/>
    <w:qFormat/>
    <w:rsid w:val="0071068C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71068C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71068C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71068C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71068C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1068C"/>
    <w:pPr>
      <w:outlineLvl w:val="9"/>
    </w:pPr>
    <w:rPr>
      <w:rFonts w:cs="Times New Roman"/>
    </w:rPr>
  </w:style>
  <w:style w:type="character" w:styleId="LineNumber">
    <w:name w:val="line number"/>
    <w:basedOn w:val="DefaultParagraphFont"/>
    <w:rsid w:val="00EE50EF"/>
  </w:style>
  <w:style w:type="paragraph" w:styleId="Header">
    <w:name w:val="header"/>
    <w:basedOn w:val="Normal"/>
    <w:link w:val="HeaderChar"/>
    <w:rsid w:val="006710C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6710C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6710C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0CF"/>
    <w:rPr>
      <w:rFonts w:ascii="Times New Roman" w:hAnsi="Times New Roman"/>
      <w:sz w:val="24"/>
      <w:szCs w:val="24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anuscrip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msstyle</vt:lpstr>
    </vt:vector>
  </TitlesOfParts>
  <Company>University of Western Sydney</Company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Root Shoot assessment in nursery tree stock</dc:title>
  <dc:creator/>
</cp:coreProperties>
</file>