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Australian</w:t>
      </w:r>
      <w:r>
        <w:t xml:space="preserve"> </w:t>
      </w:r>
      <w:r>
        <w:t xml:space="preserve">nursery</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w:t>
      </w:r>
      <w:r>
        <w:t xml:space="preserve">and MARK G.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Western Sydney University, Locked Bag 1797, Penrith 2751 NSW, Australia</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w:t>
      </w:r>
      <w:r>
        <w:t xml:space="preserve"> </w:t>
      </w:r>
      <w:r>
        <w:rPr>
          <w:i/>
        </w:rPr>
        <w:t xml:space="preserve">Eucalyptus</w:t>
      </w:r>
      <w:r>
        <w:t xml:space="preserve"> </w:t>
      </w:r>
      <w:r>
        <w:t xml:space="preserve">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nurseries to produce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tree stock with uniform morphological characteristics</w:t>
      </w:r>
      <w:r>
        <w:t xml:space="preserve"> </w:t>
      </w:r>
      <w:r>
        <w:t xml:space="preserve">(Puttonen, 1997)</w:t>
      </w:r>
      <w:r>
        <w:t xml:space="preserve">. In 2015, the Australian nursery industry adopted a new standard (</w:t>
      </w:r>
      <w:r>
        <w:rPr>
          <w:b/>
        </w:rPr>
        <w:t xml:space="preserve">AS2303</w:t>
      </w:r>
      <w:r>
        <w:t xml:space="preserve">) to assess the quality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w:t>
      </w:r>
      <w:r>
        <w:t xml:space="preserve"> </w:t>
      </w:r>
      <w:r>
        <w:rPr>
          <w:b/>
        </w:rPr>
        <w:t xml:space="preserve">AS2303</w:t>
      </w:r>
      <w:r>
        <w:t xml:space="preserve"> </w:t>
      </w:r>
      <w:r>
        <w:t xml:space="preserve">standard is not currently mandatory, it is likely to be increasingly called upon in order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yet the quality of tree stock is often assessed inconsistently</w:t>
      </w:r>
      <w:r>
        <w:t xml:space="preserve"> </w:t>
      </w:r>
      <w:r>
        <w:t xml:space="preserve">(Haase, 2008)</w:t>
      </w:r>
      <w:r>
        <w:t xml:space="preserve">.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the assessment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attributes which accurately assess the condition and potential for growth of different stock types</w:t>
      </w:r>
      <w:r>
        <w:t xml:space="preserve"> </w:t>
      </w:r>
      <w:r>
        <w:t xml:space="preserve">(Wilson &amp; Jacobs, 2006)</w:t>
      </w:r>
      <w:r>
        <w:t xml:space="preserve">. As there is no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and these characteristics should relate to out-planting performance</w:t>
      </w:r>
      <w:r>
        <w:t xml:space="preserve"> </w:t>
      </w:r>
      <w:r>
        <w:t xml:space="preserve">(Landis,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Physiology and vigor of tree stock can change significantly between production and out-planting, while seedling morphology tends to stay the same</w:t>
      </w:r>
      <w:r>
        <w:t xml:space="preserve"> </w:t>
      </w:r>
      <w:r>
        <w:t xml:space="preserve">(Pinto, 2011)</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led 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The quality of an individual seedling represents how each of these main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an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photosynthesis</w:t>
      </w:r>
      <w:r>
        <w:t xml:space="preserve"> </w:t>
      </w:r>
      <w:r>
        <w:t xml:space="preserve">(Carlson &amp; Miller, 1990)</w:t>
      </w:r>
      <w:r>
        <w:t xml:space="preserve">. This has led to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Tree stock diameter (caliper)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reported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during nursery production. Recently planted seedlings will initially depend on the root system created during nursery production</w:t>
      </w:r>
      <w:r>
        <w:t xml:space="preserve"> </w:t>
      </w:r>
      <w:r>
        <w:t xml:space="preserve">(Grossnickle, 2005)</w:t>
      </w:r>
      <w:r>
        <w:t xml:space="preserve">, thus enhancing the potential for root proliferation following transplanting will improve field establishment</w:t>
      </w:r>
      <w:r>
        <w:t xml:space="preserve"> </w:t>
      </w:r>
      <w:r>
        <w:t xml:space="preserve">(Davis &amp; Jacobs, 2005)</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and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positively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important for the root system to fully colonize the container and contain actively growing white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root development will be affected by inherent variation across species, as well as nursery-specific root management practices.</w:t>
      </w:r>
    </w:p>
    <w:p>
      <w:pPr>
        <w:pStyle w:val="BodyText"/>
      </w:pPr>
      <w:r>
        <w:br w:type="textWrapping"/>
      </w:r>
      <w:r>
        <w:t xml:space="preserve">Root form can be permanently altered if early stage root systems are disturbed,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disproportionate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 As new roots regenerate from the original out-planted root system, it is vital to assess root distribution patterns during nursery production</w:t>
      </w:r>
      <w:r>
        <w:t xml:space="preserve"> </w:t>
      </w:r>
      <w:r>
        <w:t xml:space="preserve">(Watson &amp; Himelick, 1982)</w:t>
      </w:r>
      <w:r>
        <w:t xml:space="preserve">.</w:t>
      </w:r>
    </w:p>
    <w:p>
      <w:pPr>
        <w:pStyle w:val="Heading3"/>
      </w:pPr>
      <w:bookmarkStart w:id="27" w:name="pitfalls-of-single-parameter-assessments"/>
      <w:bookmarkEnd w:id="27"/>
      <w:r>
        <w:t xml:space="preserve">Pitfalls of single parameter assessments</w:t>
      </w:r>
    </w:p>
    <w:p>
      <w:pPr>
        <w:pStyle w:val="FirstParagraph"/>
      </w:pPr>
      <w:r>
        <w:t xml:space="preserve">Issues with using only morphological assessments, especially single parameter estimates of tree quality, have long been recognized has having overly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BodyText"/>
      </w:pPr>
      <w:r>
        <w:br w:type="textWrapping"/>
      </w:r>
      <w:r>
        <w:t xml:space="preserve">As grading standards of single morphological parameters may not capture natural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combining multiple morphological measurements better correlate to beneficial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and roots.</w:t>
      </w:r>
    </w:p>
    <w:p>
      <w:pPr>
        <w:pStyle w:val="BodyText"/>
      </w:pPr>
      <w:r>
        <w:br w:type="textWrapping"/>
      </w:r>
      <w:r>
        <w:t xml:space="preserve">A common aboveground index is tree slenderness, calculated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 type planting conditions</w:t>
      </w:r>
      <w:r>
        <w:t xml:space="preserve"> </w:t>
      </w:r>
      <w:r>
        <w:t xml:space="preserve">(Haase &amp; Others, 2007; Ford, 2014)</w:t>
      </w:r>
      <w:r>
        <w:t xml:space="preserve">. The slenderness index was correlated with mortality in patula pine,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root and shoot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 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is important for tree stock grown for landscape use.</w:t>
      </w:r>
    </w:p>
    <w:p>
      <w:pPr>
        <w:pStyle w:val="BodyText"/>
      </w:pPr>
      <w:r>
        <w:br w:type="textWrapping"/>
      </w:r>
      <w:r>
        <w:t xml:space="preserve">Proper root:shoot balance is also an essential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underdeveloped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seedling quality and predict future health of any nursery tree.</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silvicultural practices have a strong influence on seedling performance immediately after planting</w:t>
      </w:r>
      <w:r>
        <w:t xml:space="preserve"> </w:t>
      </w:r>
      <w:r>
        <w:t xml:space="preserve">(Grossnickle, 2012)</w:t>
      </w:r>
      <w:r>
        <w:t xml:space="preserve">. Thus, morphological parameters used to assess tree stock are likely to have a high degree of variation across different production nurseries. For example,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nursery practices, common in Australia, that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t xml:space="preserve">Tree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containerized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The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Fundamental differences between these two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however, generally have a different root morphology than field-grown plants</w:t>
      </w:r>
      <w:r>
        <w:t xml:space="preserve"> </w:t>
      </w:r>
      <w:r>
        <w:t xml:space="preserve">(NeSmith &amp; Duval, 1998)</w:t>
      </w:r>
      <w:r>
        <w:t xml:space="preserve">. Despite this, containerized seedlings then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considered to better meet the transpirational needs of the plant immediately after transplanting compared to bare-root stock</w:t>
      </w:r>
      <w:r>
        <w:t xml:space="preserve"> </w:t>
      </w:r>
      <w:r>
        <w:t xml:space="preserve">(Harris &amp; Gilman, 1993)</w:t>
      </w:r>
      <w:r>
        <w:t xml:space="preserve">, however, these less disturbed root systems do not always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an essential need to develop reliable quality assessment protocols that distinguish between these two stock types.</w:t>
      </w:r>
    </w:p>
    <w:p>
      <w:pPr>
        <w:pStyle w:val="Heading3"/>
      </w:pPr>
      <w:bookmarkStart w:id="32" w:name="container-type"/>
      <w:bookmarkEnd w:id="32"/>
      <w:r>
        <w:t xml:space="preserve">2. Container type</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Although roots deflected inside containers are commonly associated with tree instability, little is still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br w:type="textWrapping"/>
      </w:r>
      <w:r>
        <w:t xml:space="preserve">Containers that auto-prune roots may inadvertently alter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Height and diameter of red maple seedlings were similar across a range of container types after 24 weeks, however, root deflection was decreased in containers with air or chemically pruned roots compared to standard plastic containers</w:t>
      </w:r>
      <w:r>
        <w:t xml:space="preserve"> </w:t>
      </w:r>
      <w:r>
        <w:t xml:space="preserve">(Marshall &amp; Gilman, 1998)</w:t>
      </w:r>
      <w:r>
        <w:t xml:space="preserve">. Alternatively,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how root to shoot balance is affected by variety of available auto-pruning container types, especially for larger containers with longer production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decreasing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absence of any root pruning management, either manually or by container type, root binding and root restriction is likely to occur. Container root restriction can alter root morphology, affecting the ability to absorb water and causing symptoms of water stress in plants, even under well watered conditions</w:t>
      </w:r>
      <w:r>
        <w:t xml:space="preserve"> </w:t>
      </w:r>
      <w:r>
        <w:t xml:space="preserve">(Krizek</w:t>
      </w:r>
      <w:r>
        <w:t xml:space="preserve"> </w:t>
      </w:r>
      <w:r>
        <w:rPr>
          <w:i/>
        </w:rPr>
        <w:t xml:space="preserve">et al.</w:t>
      </w:r>
      <w:r>
        <w:t xml:space="preserve">, 1985)</w:t>
      </w:r>
      <w:r>
        <w:t xml:space="preserve">. Root:shoot ratios can then be confounded in quality assessments when low values do not reflect a thick taproot system instead of a large fibrous root system, which offers limited surface area for water uptake</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shoots that inhibit leaf physiology and growth</w:t>
      </w:r>
      <w:r>
        <w:t xml:space="preserve"> </w:t>
      </w:r>
      <w:r>
        <w:t xml:space="preserve">(Passioura, 2002)</w:t>
      </w:r>
      <w:r>
        <w:t xml:space="preserve">. Active management of root pruning can alleviate these negative feed-backs to physiology, growth and tree balance, and should be prioritized to improve overall seedling quality during nursery production.</w:t>
      </w:r>
    </w:p>
    <w:p>
      <w:pPr>
        <w:pStyle w:val="Heading3"/>
      </w:pPr>
      <w:bookmarkStart w:id="34" w:name="container-volume"/>
      <w:bookmarkEnd w:id="34"/>
      <w:r>
        <w:t xml:space="preserve">4. Container volume</w:t>
      </w:r>
    </w:p>
    <w:p>
      <w:pPr>
        <w:pStyle w:val="FirstParagraph"/>
      </w:pPr>
      <w:r>
        <w:t xml:space="preserve">Volume is one of the most obvious and important characteristics of a containerized production,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A review of the pot size effect on woody species found that increasing container volume generally increases biomass production</w:t>
      </w:r>
      <w:r>
        <w:t xml:space="preserve"> </w:t>
      </w:r>
      <w:r>
        <w:t xml:space="preserve">(Poorter</w:t>
      </w:r>
      <w:r>
        <w:t xml:space="preserve"> </w:t>
      </w:r>
      <w:r>
        <w:rPr>
          <w:i/>
        </w:rPr>
        <w:t xml:space="preserve">et al.</w:t>
      </w:r>
      <w:r>
        <w:t xml:space="preserve">, 2012)</w:t>
      </w:r>
      <w:r>
        <w:t xml:space="preserve">. For nurseries, larger volume containers require more medium, fertilizer, and space than smaller containers, which increases production cost</w:t>
      </w:r>
      <w:r>
        <w:t xml:space="preserve"> </w:t>
      </w:r>
      <w:r>
        <w:t xml:space="preserve">(Bowden, 1993)</w:t>
      </w:r>
      <w:r>
        <w:t xml:space="preserve">. Across a longer timescale, however, it may be more economical to purchase and plant an expensive tree with a higher rate of survival that a less expensive tree with a higher mortality rate</w:t>
      </w:r>
      <w:r>
        <w:t xml:space="preserve"> </w:t>
      </w:r>
      <w:r>
        <w:t xml:space="preserve">(Miller</w:t>
      </w:r>
      <w:r>
        <w:t xml:space="preserve"> </w:t>
      </w:r>
      <w:r>
        <w:rPr>
          <w:i/>
        </w:rPr>
        <w:t xml:space="preserve">et al.</w:t>
      </w:r>
      <w:r>
        <w:t xml:space="preserve">, 2015)</w:t>
      </w:r>
      <w:r>
        <w:t xml:space="preserve">. How overall tree balance and subsequent field performance are altered by growing stock in larger containers represents a fundamental question that intersects seedling quality and economics during nursery production.</w:t>
      </w:r>
    </w:p>
    <w:p>
      <w:pPr>
        <w:pStyle w:val="BodyText"/>
      </w:pPr>
      <w:r>
        <w:br w:type="textWrapping"/>
      </w:r>
      <w:r>
        <w:t xml:space="preserve">The use of different containers volumes has been shown to have morphological consequences above- and belowground, which manifest in multiple ways. Container volumes that are too small exert serious constraints on the growth and function of roots, especially in hardwood species</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This root restriction inhibits the ability of root system to supply water, negatively affects physiological activity and mechanically impedes whole plant growth, regardless of growing media, watering or fertilization</w:t>
      </w:r>
      <w:r>
        <w:t xml:space="preserve"> </w:t>
      </w:r>
      <w:r>
        <w:t xml:space="preserve">(McConnaughay &amp; Bazzaz, 1991; Will &amp; Teskey, 1997; Climent</w:t>
      </w:r>
      <w:r>
        <w:t xml:space="preserve"> </w:t>
      </w:r>
      <w:r>
        <w:rPr>
          <w:i/>
        </w:rPr>
        <w:t xml:space="preserve">et al.</w:t>
      </w:r>
      <w:r>
        <w:t xml:space="preserve">, 2011)</w:t>
      </w:r>
      <w:r>
        <w:t xml:space="preserve">. Alternatively, positive associations with height, caliper and total mass are observed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Increased container depth also improves root system growth and tap root length, which aids in soil colonization when out-planted</w:t>
      </w:r>
      <w:r>
        <w:t xml:space="preserve"> </w:t>
      </w:r>
      <w:r>
        <w:t xml:space="preserve">(Chirino</w:t>
      </w:r>
      <w:r>
        <w:t xml:space="preserve"> </w:t>
      </w:r>
      <w:r>
        <w:rPr>
          <w:i/>
        </w:rPr>
        <w:t xml:space="preserve">et al.</w:t>
      </w:r>
      <w:r>
        <w:t xml:space="preserve">, 2008)</w:t>
      </w:r>
      <w:r>
        <w:t xml:space="preserve">. The degree of these effects of rooting volume are likely to differ according to species grow rates</w:t>
      </w:r>
      <w:r>
        <w:t xml:space="preserve"> </w:t>
      </w:r>
      <w:r>
        <w:t xml:space="preserve">(Climent</w:t>
      </w:r>
      <w:r>
        <w:t xml:space="preserve"> </w:t>
      </w:r>
      <w:r>
        <w:rPr>
          <w:i/>
        </w:rPr>
        <w:t xml:space="preserve">et al.</w:t>
      </w:r>
      <w:r>
        <w:t xml:space="preserve">, 2011)</w:t>
      </w:r>
      <w:r>
        <w:t xml:space="preserve">, which is especially relevant for tree nurseries that produce a large variety of species for landscape use.</w:t>
      </w:r>
    </w:p>
    <w:p>
      <w:pPr>
        <w:pStyle w:val="BodyText"/>
      </w:pPr>
      <w:r>
        <w:br w:type="textWrapping"/>
      </w:r>
      <w:r>
        <w:t xml:space="preserve">The increasing demand for larger size trees for urban landscape plantings now dictates that a large range of container volumes be used in nursery production. Growing tree stock in large volume containers may result in natural shifts of root to shoot balance related to age and development as trees grow larger. However, the majority of existing research investigating the impacts of container volume on tree balance and growth is concentrated on trees grown for reforestation and plantation purposes. This has led to a large knowledge gap, as the typical range of container sizes used for these purposes (&lt;1 L) is massively smaller than now commonly used for nursery trees for landscape use (up to 2500 L). Increases, decrease and no effect of container volume on root:shoot ratios have been observed across many species from forestry related studies</w:t>
      </w:r>
      <w:r>
        <w:t xml:space="preserve"> </w:t>
      </w:r>
      <w:r>
        <w:t xml:space="preserve">(Carlson &amp; Endean, 1976; Aphalo &amp; Rikala, 2003; Close</w:t>
      </w:r>
      <w:r>
        <w:t xml:space="preserve"> </w:t>
      </w:r>
      <w:r>
        <w:rPr>
          <w:i/>
        </w:rPr>
        <w:t xml:space="preserve">et al.</w:t>
      </w:r>
      <w:r>
        <w:t xml:space="preserve">, 2003, 2010; Climent</w:t>
      </w:r>
      <w:r>
        <w:t xml:space="preserve"> </w:t>
      </w:r>
      <w:r>
        <w:rPr>
          <w:i/>
        </w:rPr>
        <w:t xml:space="preserve">et al.</w:t>
      </w:r>
      <w:r>
        <w:t xml:space="preserve">, 2011; Mariotti</w:t>
      </w:r>
      <w:r>
        <w:t xml:space="preserve"> </w:t>
      </w:r>
      <w:r>
        <w:rPr>
          <w:i/>
        </w:rPr>
        <w:t xml:space="preserve">et al.</w:t>
      </w:r>
      <w:r>
        <w:t xml:space="preserve">, 2015)</w:t>
      </w:r>
      <w:r>
        <w:t xml:space="preserve">, yet the maximum container size for any of these studies was &lt; 20L. Future work is needed to test if above- and belowground balance of species grown for landscape use are altered by container size, especially larger volumes.</w:t>
      </w:r>
    </w:p>
    <w:p>
      <w:pPr>
        <w:pStyle w:val="Heading3"/>
      </w:pPr>
      <w:bookmarkStart w:id="35" w:name="irrigation-fertilization-and-growing-media"/>
      <w:bookmarkEnd w:id="35"/>
      <w:r>
        <w:t xml:space="preserve">5. Irrigation, fertilization and growing media</w:t>
      </w:r>
    </w:p>
    <w:p>
      <w:pPr>
        <w:pStyle w:val="FirstParagraph"/>
      </w:pPr>
      <w:r>
        <w:t xml:space="preserve">Nursery tree production requires the use of large quantities of water</w:t>
      </w:r>
      <w:r>
        <w:t xml:space="preserve"> </w:t>
      </w:r>
      <w:r>
        <w:t xml:space="preserve">(Bumgarner</w:t>
      </w:r>
      <w:r>
        <w:t xml:space="preserve"> </w:t>
      </w:r>
      <w:r>
        <w:rPr>
          <w:i/>
        </w:rPr>
        <w:t xml:space="preserve">et al.</w:t>
      </w:r>
      <w:r>
        <w:t xml:space="preserve">, 2008)</w:t>
      </w:r>
      <w:r>
        <w:t xml:space="preserve">, yet conventional irrigation scheduling is often based on observations and experience instead of actual plant water status</w:t>
      </w:r>
      <w:r>
        <w:t xml:space="preserve"> </w:t>
      </w:r>
      <w:r>
        <w:t xml:space="preserve">(Tran, 2016)</w:t>
      </w:r>
      <w:r>
        <w:t xml:space="preserve">. Maintaining favorable moisture conditions in the rooting medium of seedlings is a critical factor in the nursery tree production</w:t>
      </w:r>
      <w:r>
        <w:t xml:space="preserve"> </w:t>
      </w:r>
      <w:r>
        <w:t xml:space="preserve">(Timmer &amp; Armstrong, 1989)</w:t>
      </w:r>
      <w:r>
        <w:t xml:space="preserve">. Over irrigating can led to reduced growth during nursery production</w:t>
      </w:r>
      <w:r>
        <w:t xml:space="preserve"> </w:t>
      </w:r>
      <w:r>
        <w:t xml:space="preserve">(Bergeron</w:t>
      </w:r>
      <w:r>
        <w:t xml:space="preserve"> </w:t>
      </w:r>
      <w:r>
        <w:rPr>
          <w:i/>
        </w:rPr>
        <w:t xml:space="preserve">et al.</w:t>
      </w:r>
      <w:r>
        <w:t xml:space="preserve">, 2004)</w:t>
      </w:r>
      <w:r>
        <w:t xml:space="preserve">, likely a consequence of reduced soil aeration and impeded root development</w:t>
      </w:r>
      <w:r>
        <w:t xml:space="preserve"> </w:t>
      </w:r>
      <w:r>
        <w:t xml:space="preserve">(Heiskanen, 1993)</w:t>
      </w:r>
      <w:r>
        <w:t xml:space="preserve">. However, above- and belowground responses to varying irrigation regimes differ by species, container type and irrigation method</w:t>
      </w:r>
      <w:r>
        <w:t xml:space="preserve"> </w:t>
      </w:r>
      <w:r>
        <w:t xml:space="preserve">(Timmer &amp; Armstrong, 1989; Lamhamedi</w:t>
      </w:r>
      <w:r>
        <w:t xml:space="preserve"> </w:t>
      </w:r>
      <w:r>
        <w:rPr>
          <w:i/>
        </w:rPr>
        <w:t xml:space="preserve">et al.</w:t>
      </w:r>
      <w:r>
        <w:t xml:space="preserve">, 2001; Royo</w:t>
      </w:r>
      <w:r>
        <w:t xml:space="preserve"> </w:t>
      </w:r>
      <w:r>
        <w:rPr>
          <w:i/>
        </w:rPr>
        <w:t xml:space="preserve">et al.</w:t>
      </w:r>
      <w:r>
        <w:t xml:space="preserve">, 2001; Stowe</w:t>
      </w:r>
      <w:r>
        <w:t xml:space="preserve"> </w:t>
      </w:r>
      <w:r>
        <w:rPr>
          <w:i/>
        </w:rPr>
        <w:t xml:space="preserve">et al.</w:t>
      </w:r>
      <w:r>
        <w:t xml:space="preserve">, 2001; Bergeron</w:t>
      </w:r>
      <w:r>
        <w:t xml:space="preserve"> </w:t>
      </w:r>
      <w:r>
        <w:rPr>
          <w:i/>
        </w:rPr>
        <w:t xml:space="preserve">et al.</w:t>
      </w:r>
      <w:r>
        <w:t xml:space="preserve">, 2004; Bumgarner</w:t>
      </w:r>
      <w:r>
        <w:t xml:space="preserve"> </w:t>
      </w:r>
      <w:r>
        <w:rPr>
          <w:i/>
        </w:rPr>
        <w:t xml:space="preserve">et al.</w:t>
      </w:r>
      <w:r>
        <w:t xml:space="preserve">, 2008; Davis</w:t>
      </w:r>
      <w:r>
        <w:t xml:space="preserve"> </w:t>
      </w:r>
      <w:r>
        <w:rPr>
          <w:i/>
        </w:rPr>
        <w:t xml:space="preserve">et al.</w:t>
      </w:r>
      <w:r>
        <w:t xml:space="preserve">, 2008)</w:t>
      </w:r>
      <w:r>
        <w:t xml:space="preserve">. Alternatively, drought hardening regimes can be applied in the nursery to increase drought tolerance before out-planting into dry sites</w:t>
      </w:r>
      <w:r>
        <w:t xml:space="preserve"> </w:t>
      </w:r>
      <w:r>
        <w:t xml:space="preserve">(Villar-Salvador</w:t>
      </w:r>
      <w:r>
        <w:t xml:space="preserve"> </w:t>
      </w:r>
      <w:r>
        <w:rPr>
          <w:i/>
        </w:rPr>
        <w:t xml:space="preserve">et al.</w:t>
      </w:r>
      <w:r>
        <w:t xml:space="preserve">, 2004b)</w:t>
      </w:r>
      <w:r>
        <w:t xml:space="preserve">.</w:t>
      </w:r>
    </w:p>
    <w:p>
      <w:pPr>
        <w:pStyle w:val="BodyText"/>
      </w:pPr>
      <w:r>
        <w:br w:type="textWrapping"/>
      </w:r>
      <w:r>
        <w:t xml:space="preserve">Within nursery environments, maximum shoot growth occurs at high soil water regimes and moderate to high fertility levels</w:t>
      </w:r>
      <w:r>
        <w:t xml:space="preserve"> </w:t>
      </w:r>
      <w:r>
        <w:t xml:space="preserve">(Mexal &amp; Landis, 1990)</w:t>
      </w:r>
      <w:r>
        <w:t xml:space="preserve">. Increasing the amount of applied fertilization (e.g nitrogen) increases the dry weight of both the shoots and the roots</w:t>
      </w:r>
      <w:r>
        <w:t xml:space="preserve"> </w:t>
      </w:r>
      <w:r>
        <w:t xml:space="preserve">(Brissette, 1990)</w:t>
      </w:r>
      <w:r>
        <w:t xml:space="preserve">, while enhancing the capacity of new root formation</w:t>
      </w:r>
      <w:r>
        <w:t xml:space="preserve"> </w:t>
      </w:r>
      <w:r>
        <w:t xml:space="preserve">(Villar-Salvador</w:t>
      </w:r>
      <w:r>
        <w:t xml:space="preserve"> </w:t>
      </w:r>
      <w:r>
        <w:rPr>
          <w:i/>
        </w:rPr>
        <w:t xml:space="preserve">et al.</w:t>
      </w:r>
      <w:r>
        <w:t xml:space="preserve">, 2004a)</w:t>
      </w:r>
      <w:r>
        <w:t xml:space="preserve">. Fertilization tends to stimulate shoot growth more than root growth by reducing belowground resource limitation</w:t>
      </w:r>
      <w:r>
        <w:t xml:space="preserve"> </w:t>
      </w:r>
      <w:r>
        <w:t xml:space="preserve">(McConnaughay &amp; Bazzaz, 1991; Canham</w:t>
      </w:r>
      <w:r>
        <w:t xml:space="preserve"> </w:t>
      </w:r>
      <w:r>
        <w:rPr>
          <w:i/>
        </w:rPr>
        <w:t xml:space="preserve">et al.</w:t>
      </w:r>
      <w:r>
        <w:t xml:space="preserve">, 1996; Villar-Salvador</w:t>
      </w:r>
      <w:r>
        <w:t xml:space="preserve"> </w:t>
      </w:r>
      <w:r>
        <w:rPr>
          <w:i/>
        </w:rPr>
        <w:t xml:space="preserve">et al.</w:t>
      </w:r>
      <w:r>
        <w:t xml:space="preserve">, 2004a; Bumgarner</w:t>
      </w:r>
      <w:r>
        <w:t xml:space="preserve"> </w:t>
      </w:r>
      <w:r>
        <w:rPr>
          <w:i/>
        </w:rPr>
        <w:t xml:space="preserve">et al.</w:t>
      </w:r>
      <w:r>
        <w:t xml:space="preserve">, 2008; Luis</w:t>
      </w:r>
      <w:r>
        <w:t xml:space="preserve"> </w:t>
      </w:r>
      <w:r>
        <w:rPr>
          <w:i/>
        </w:rPr>
        <w:t xml:space="preserve">et al.</w:t>
      </w:r>
      <w:r>
        <w:t xml:space="preserve">, 2009; Jackson</w:t>
      </w:r>
      <w:r>
        <w:t xml:space="preserve"> </w:t>
      </w:r>
      <w:r>
        <w:rPr>
          <w:i/>
        </w:rPr>
        <w:t xml:space="preserve">et al.</w:t>
      </w:r>
      <w:r>
        <w:t xml:space="preserve">, 2012)</w:t>
      </w:r>
      <w:r>
        <w:t xml:space="preserve">. If not properly managed, nutrient deficiencies in nursery trees can also cause negative impacts on leaf physiology and decreased carbohydrate production, tree slenderness, height and caliper</w:t>
      </w:r>
      <w:r>
        <w:t xml:space="preserve"> </w:t>
      </w:r>
      <w:r>
        <w:t xml:space="preserve">(Trubat</w:t>
      </w:r>
      <w:r>
        <w:t xml:space="preserve"> </w:t>
      </w:r>
      <w:r>
        <w:rPr>
          <w:i/>
        </w:rPr>
        <w:t xml:space="preserve">et al.</w:t>
      </w:r>
      <w:r>
        <w:t xml:space="preserve">, 2010)</w:t>
      </w:r>
      <w:r>
        <w:t xml:space="preserve">. Overall, above- and belowground balance of nursery tree stock can be significantly altered or specifically managed through fertilization regimes. Fertilization regimes also feedback to out-planting success as alleviation of nitrogen stress may decrease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t>
      </w:r>
      <w:r>
        <w:t xml:space="preserve">or nitrogen hardening may improve field performance in semi-arid or droughted planting sites</w:t>
      </w:r>
      <w:r>
        <w:t xml:space="preserve"> </w:t>
      </w:r>
      <w:r>
        <w:t xml:space="preserve">(Villar-Salvador</w:t>
      </w:r>
      <w:r>
        <w:t xml:space="preserve"> </w:t>
      </w:r>
      <w:r>
        <w:rPr>
          <w:i/>
        </w:rPr>
        <w:t xml:space="preserve">et al.</w:t>
      </w:r>
      <w:r>
        <w:t xml:space="preserve">, 2004a; Trubat</w:t>
      </w:r>
      <w:r>
        <w:t xml:space="preserve"> </w:t>
      </w:r>
      <w:r>
        <w:rPr>
          <w:i/>
        </w:rPr>
        <w:t xml:space="preserve">et al.</w:t>
      </w:r>
      <w:r>
        <w:t xml:space="preserve">, 2008, 2011)</w:t>
      </w:r>
      <w:r>
        <w:t xml:space="preserve">.</w:t>
      </w:r>
    </w:p>
    <w:p>
      <w:pPr>
        <w:pStyle w:val="BodyText"/>
      </w:pPr>
      <w:r>
        <w:br w:type="textWrapping"/>
      </w:r>
      <w:r>
        <w:t xml:space="preserve">Growing media (potting soil) must be porous enough to provide efficient exchange of oxygen and carbon dioxide, while also having a sufficient water holding capacity to supply water to the plant</w:t>
      </w:r>
      <w:r>
        <w:t xml:space="preserve"> </w:t>
      </w:r>
      <w:r>
        <w:t xml:space="preserve">(Landis</w:t>
      </w:r>
      <w:r>
        <w:t xml:space="preserve"> </w:t>
      </w:r>
      <w:r>
        <w:rPr>
          <w:i/>
        </w:rPr>
        <w:t xml:space="preserve">et al.</w:t>
      </w:r>
      <w:r>
        <w:t xml:space="preserve">, 1990; Heiskanen, 1993)</w:t>
      </w:r>
      <w:r>
        <w:t xml:space="preserve">. The use of different growing media, to control soil structure, nutrition, pH, moisture, temperature, and aeration, can be used to manage root development</w:t>
      </w:r>
      <w:r>
        <w:t xml:space="preserve"> </w:t>
      </w:r>
      <w:r>
        <w:t xml:space="preserve">(Heiskanen &amp; Rikala, 1998; Kazantseva</w:t>
      </w:r>
      <w:r>
        <w:t xml:space="preserve"> </w:t>
      </w:r>
      <w:r>
        <w:rPr>
          <w:i/>
        </w:rPr>
        <w:t xml:space="preserve">et al.</w:t>
      </w:r>
      <w:r>
        <w:t xml:space="preserve">, 2009)</w:t>
      </w:r>
      <w:r>
        <w:t xml:space="preserve">. Choice of growing media can also impact the nutrient status of soil, which then feedbacks to both root and shoot growth. For example, improved aeration may stimulate microbiological activity and decomposition of organic matter, thus increasing nutrient availability</w:t>
      </w:r>
      <w:r>
        <w:t xml:space="preserve"> </w:t>
      </w:r>
      <w:r>
        <w:t xml:space="preserve">(Wall &amp; Heiskanen, 2003)</w:t>
      </w:r>
      <w:r>
        <w:t xml:space="preserve">. Management strategies for trees for landscape use must also be mindful of trees destined for harsh urban environments, which may include the use of more skeletal soils during nursery production</w:t>
      </w:r>
      <w:r>
        <w:t xml:space="preserve"> </w:t>
      </w:r>
      <w:r>
        <w:t xml:space="preserve">(Loh</w:t>
      </w:r>
      <w:r>
        <w:t xml:space="preserve"> </w:t>
      </w:r>
      <w:r>
        <w:rPr>
          <w:i/>
        </w:rPr>
        <w:t xml:space="preserve">et al.</w:t>
      </w:r>
      <w:r>
        <w:t xml:space="preserve">, 2003)</w:t>
      </w:r>
      <w:r>
        <w:t xml:space="preserve">. Overall, fertilization, irrigation and growing media interact during containerized tree production to influence resource availability and the subsequent growth of root and shoots.</w:t>
      </w:r>
    </w:p>
    <w:p>
      <w:pPr>
        <w:pStyle w:val="Heading1"/>
      </w:pPr>
      <w:bookmarkStart w:id="36" w:name="impact-of-climate-on-nursery-tree-stock"/>
      <w:bookmarkEnd w:id="36"/>
      <w:r>
        <w:t xml:space="preserve">Impact of climate on nursery tree stock</w:t>
      </w:r>
    </w:p>
    <w:p>
      <w:pPr>
        <w:pStyle w:val="FirstParagraph"/>
      </w:pPr>
      <w:r>
        <w:t xml:space="preserve">Different environmental conditions can have important influences on functional traits of common seedling types</w:t>
      </w:r>
      <w:r>
        <w:t xml:space="preserve"> </w:t>
      </w:r>
      <w:r>
        <w:t xml:space="preserve">(Mollá</w:t>
      </w:r>
      <w:r>
        <w:t xml:space="preserve"> </w:t>
      </w:r>
      <w:r>
        <w:rPr>
          <w:i/>
        </w:rPr>
        <w:t xml:space="preserve">et al.</w:t>
      </w:r>
      <w:r>
        <w:t xml:space="preserve">, 2006)</w:t>
      </w:r>
      <w:r>
        <w:t xml:space="preserve">, which is of specific importance when designing nursery quality criteria for broad geographic regions. Consequently, tree quality grading may differ among similar species from different nurseries, even when they are produced from the same seed source and over the same growing season</w:t>
      </w:r>
      <w:r>
        <w:t xml:space="preserve"> </w:t>
      </w:r>
      <w:r>
        <w:t xml:space="preserve">(Pinto</w:t>
      </w:r>
      <w:r>
        <w:t xml:space="preserve"> </w:t>
      </w:r>
      <w:r>
        <w:rPr>
          <w:i/>
        </w:rPr>
        <w:t xml:space="preserve">et al.</w:t>
      </w:r>
      <w:r>
        <w:t xml:space="preserve">, 2011a)</w:t>
      </w:r>
      <w:r>
        <w:t xml:space="preserve">. In Australia, the geographic location of a nursery may play a key role in differences between growth and tree balance of similar stock types.</w:t>
      </w:r>
    </w:p>
    <w:p>
      <w:pPr>
        <w:pStyle w:val="BodyText"/>
      </w:pPr>
      <w:r>
        <w:br w:type="textWrapping"/>
      </w:r>
      <w:r>
        <w:t xml:space="preserve">Existing research on the impacts of climate on nursery stock focuses heavily on growing season cycles of deciduous tree stock or with comparisons of coastal versus inland nursery locations in Mediterranean climates. For example, shoot and root growth, frost resistance and drought tolerance were related to winter climate conditions at different nursery locations for several Mediterranean species</w:t>
      </w:r>
      <w:r>
        <w:t xml:space="preserve"> </w:t>
      </w:r>
      <w:r>
        <w:t xml:space="preserve">(Pardos</w:t>
      </w:r>
      <w:r>
        <w:t xml:space="preserve"> </w:t>
      </w:r>
      <w:r>
        <w:rPr>
          <w:i/>
        </w:rPr>
        <w:t xml:space="preserve">et al.</w:t>
      </w:r>
      <w:r>
        <w:t xml:space="preserve">, 2003</w:t>
      </w:r>
      <w:r>
        <w:t xml:space="preserve"> </w:t>
      </w:r>
      <w:r>
        <w:t xml:space="preserve">Mollá</w:t>
      </w:r>
      <w:r>
        <w:t xml:space="preserve"> </w:t>
      </w:r>
      <w:r>
        <w:rPr>
          <w:i/>
        </w:rPr>
        <w:t xml:space="preserve">et al.</w:t>
      </w:r>
      <w:r>
        <w:t xml:space="preserve"> </w:t>
      </w:r>
      <w:r>
        <w:t xml:space="preserve">(2006)</w:t>
      </w:r>
      <w:r>
        <w:t xml:space="preserve">)</w:t>
      </w:r>
      <w:r>
        <w:t xml:space="preserve">. Although informative, this research does not address the impacts of climate on the large variety of native broad-leaf evergreen tree stock grown in Australian nurseries. Thus, the potential impact of climate on nursery tree growth in Australia has been largely unexplored, where nurseries propagate trees from tropical to temperate climates.</w:t>
      </w:r>
    </w:p>
    <w:p>
      <w:pPr>
        <w:pStyle w:val="BodyText"/>
      </w:pPr>
      <w:r>
        <w:br w:type="textWrapping"/>
      </w:r>
      <w:r>
        <w:t xml:space="preserve">Due to the large size of the Australian continent, six different climatic zones exists with two distinct seasonal patterns (</w:t>
      </w:r>
      <w:hyperlink r:id="rId37">
        <w:r>
          <w:rPr>
            <w:rStyle w:val="Hyperlink"/>
          </w:rPr>
          <w:t xml:space="preserve">http://www.bom.gov.au</w:t>
        </w:r>
      </w:hyperlink>
      <w:r>
        <w:t xml:space="preserve">, Figure 1). Most production nurseries in Australia grow containerized trees in open environments. As seedling growth is heavily influenced by levels of moisture, temperature, light</w:t>
      </w:r>
      <w:r>
        <w:t xml:space="preserve"> </w:t>
      </w:r>
      <w:r>
        <w:t xml:space="preserve">(Cleary</w:t>
      </w:r>
      <w:r>
        <w:t xml:space="preserve"> </w:t>
      </w:r>
      <w:r>
        <w:rPr>
          <w:i/>
        </w:rPr>
        <w:t xml:space="preserve">et al.</w:t>
      </w:r>
      <w:r>
        <w:t xml:space="preserve">, 1978)</w:t>
      </w:r>
      <w:r>
        <w:t xml:space="preserve">, open-air tree stock are likely to face vastly different environmental conditions according to the prevailing climate at each nursery location. Providing water is adequate, large growth responses of seedlings are found with changes in temperature and the intensity, quality, and duration of light</w:t>
      </w:r>
      <w:r>
        <w:t xml:space="preserve"> </w:t>
      </w:r>
      <w:r>
        <w:t xml:space="preserve">(Callaham, 1962)</w:t>
      </w:r>
      <w:r>
        <w:t xml:space="preserve">. This raises the question of whether differing growing climates affect seedling morphological parameters related to tree balance and then how large of an impact does climate variability have on growth of Australian nursery tree stock?</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t xml:space="preserve">Figure 1. Major climate regions of Australia.</w:t>
      </w:r>
    </w:p>
    <w:p>
      <w:pPr>
        <w:pStyle w:val="Heading2"/>
      </w:pPr>
      <w:bookmarkStart w:id="39" w:name="using-tree-balance-to-mitigate-transplant-stock"/>
      <w:bookmarkEnd w:id="39"/>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trees can be profoundly impacted by each of these stresses during nursery production, including culturing, lifting, packing, grading, handling, pruning, storage, and transport. Trees most also endure varying degrees of these stresses from the enviroment when out-planted, which determines the length and severity of 'transplant shock'. Transplant shock represents the negative effects on growth and survival when nursery-raised stock are out-planted and is associated with acclimatization of plants to a new environment</w:t>
      </w:r>
      <w:r>
        <w:t xml:space="preserve"> </w:t>
      </w:r>
      <w:r>
        <w:t xml:space="preserve">(Close</w:t>
      </w:r>
      <w:r>
        <w:t xml:space="preserve"> </w:t>
      </w:r>
      <w:r>
        <w:rPr>
          <w:i/>
        </w:rPr>
        <w:t xml:space="preserve">et al.</w:t>
      </w:r>
      <w:r>
        <w:t xml:space="preserve">, 2005)</w:t>
      </w:r>
      <w:r>
        <w:t xml:space="preserve">. It takes longer for larger transplanted trees to becomes established due to the longer time required to reestablish a root:shoot ratio comparable to non-transplanted trees</w:t>
      </w:r>
      <w:r>
        <w:t xml:space="preserve"> </w:t>
      </w:r>
      <w:r>
        <w:t xml:space="preserve">(Watson, 2005)</w:t>
      </w:r>
      <w:r>
        <w:t xml:space="preserve">, which increases the potential for transplant shock in tree stock grown for landscape use.</w:t>
      </w:r>
    </w:p>
    <w:p>
      <w:pPr>
        <w:pStyle w:val="BodyText"/>
      </w:pPr>
      <w:r>
        <w:br w:type="textWrapping"/>
      </w: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To overcome transplant stress after planting the root system must meet the transpiration demands of the shoot system</w:t>
      </w:r>
      <w:r>
        <w:t xml:space="preserve"> </w:t>
      </w:r>
      <w:r>
        <w:t xml:space="preserve">(Grossnickle, 2005; Ford, 2014)</w:t>
      </w:r>
      <w:r>
        <w:t xml:space="preserve">. Consequently, reductions in stress can be actively managed with nursery practices that achieve proper above- and belowground balance of tree stock. Planned increases in urban green spaces, combined with varying climate and soil constraints that typically define Australian ecosystems, make minimizing transplant shock a highly relevant issue for tree stock for landscape use. Consequently, proper tree balance criteria are now specified in quality assessments of Australian tree stock</w:t>
      </w:r>
      <w:r>
        <w:t xml:space="preserve"> </w:t>
      </w:r>
      <w:r>
        <w:t xml:space="preserve">(Clark, 2003; Standards Australia Limited, 2015)</w:t>
      </w:r>
      <w:r>
        <w:t xml:space="preserve">.</w:t>
      </w:r>
    </w:p>
    <w:p>
      <w:pPr>
        <w:pStyle w:val="Heading1"/>
      </w:pPr>
      <w:bookmarkStart w:id="40" w:name="assessing-rootshoot-balance-in-australian-tree-nurseries-for-landscape-use"/>
      <w:bookmarkEnd w:id="40"/>
      <w:r>
        <w:t xml:space="preserve">Assessing root:shoot balance in Australian tree nurseries for landscape use</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Estimates of the size of a tree aboveground are commonly generated in forestry research using the relationship between tree height and diameter</w:t>
      </w:r>
      <w:r>
        <w:t xml:space="preserve"> </w:t>
      </w:r>
      <w:r>
        <w:t xml:space="preserve">(Zianis</w:t>
      </w:r>
      <w:r>
        <w:t xml:space="preserve"> </w:t>
      </w:r>
      <w:r>
        <w:rPr>
          <w:i/>
        </w:rPr>
        <w:t xml:space="preserve">et al.</w:t>
      </w:r>
      <w:r>
        <w:t xml:space="preserve">, 2005; Picard</w:t>
      </w:r>
      <w:r>
        <w:t xml:space="preserve"> </w:t>
      </w:r>
      <w:r>
        <w:rPr>
          <w:i/>
        </w:rPr>
        <w:t xml:space="preserve">et al.</w:t>
      </w:r>
      <w:r>
        <w:t xml:space="preserve">, 2012; Hulshof</w:t>
      </w:r>
      <w:r>
        <w:t xml:space="preserve"> </w:t>
      </w:r>
      <w:r>
        <w:rPr>
          <w:i/>
        </w:rPr>
        <w:t xml:space="preserve">et al.</w:t>
      </w:r>
      <w:r>
        <w:t xml:space="preserve">, 2015)</w:t>
      </w:r>
      <w:r>
        <w:t xml:space="preserve">. The relationship between diameter and height represents stem formation in order to resist buckling related to weight or wind forcing</w:t>
      </w:r>
      <w:r>
        <w:t xml:space="preserve"> </w:t>
      </w:r>
      <w:r>
        <w:t xml:space="preserve">(Dean &amp; Long, 1986)</w:t>
      </w:r>
      <w:r>
        <w:t xml:space="preserve">, and thus is commonly used to estimate the size of the aboveground portion of an individual tree. This is advantageous to the nursery industry as these two measurements are commonly utilized morphological characterizations of seedling quality, and can provide a method to assess the aboveground bulk of a nursery tree at any given time</w:t>
      </w:r>
      <w:r>
        <w:t xml:space="preserve"> </w:t>
      </w:r>
      <w:r>
        <w:t xml:space="preserve">(Clark, 2003)</w:t>
      </w:r>
      <w:r>
        <w:t xml:space="preserve">. However, it is difficult to determine a quantity of roots that should exist for individual tree stock</w:t>
      </w:r>
      <w:r>
        <w:t xml:space="preserve"> </w:t>
      </w:r>
      <w:r>
        <w:t xml:space="preserve">(Thompson, 1985)</w:t>
      </w:r>
      <w:r>
        <w:t xml:space="preserve">. Root volume provides a simple characterization of root system morphology</w:t>
      </w:r>
      <w:r>
        <w:t xml:space="preserve"> </w:t>
      </w:r>
      <w:r>
        <w:t xml:space="preserve">(Jacobs</w:t>
      </w:r>
      <w:r>
        <w:t xml:space="preserve"> </w:t>
      </w:r>
      <w:r>
        <w:rPr>
          <w:i/>
        </w:rPr>
        <w:t xml:space="preserve">et al.</w:t>
      </w:r>
      <w:r>
        <w:t xml:space="preserve">, 2005)</w:t>
      </w:r>
      <w:r>
        <w:t xml:space="preserve">, but actual measurements of root volume may not be practical or cost effective for landscape-based nurseries producing large size trees.</w:t>
      </w:r>
    </w:p>
    <w:p>
      <w:pPr>
        <w:pStyle w:val="BodyText"/>
      </w:pPr>
      <w:r>
        <w:br w:type="textWrapping"/>
      </w:r>
      <w:r>
        <w:t xml:space="preserve">In</w:t>
      </w:r>
      <w:r>
        <w:t xml:space="preserve"> </w:t>
      </w:r>
      <w:r>
        <w:rPr>
          <w:b/>
        </w:rPr>
        <w:t xml:space="preserve">AS2303</w:t>
      </w:r>
      <w:r>
        <w:t xml:space="preserve">, a simplified aboveground volume based parameter ('Size Index') is generated from the product of stem caliper at 300 mm and total height</w:t>
      </w:r>
      <w:r>
        <w:t xml:space="preserve"> </w:t>
      </w:r>
      <w:r>
        <w:t xml:space="preserve">(Standards Australia Limited, 2015)</w:t>
      </w:r>
      <w:r>
        <w:t xml:space="preserve">. This parameter, generalized for all species, is then related to the size of the container at dispatch. The assessment criteria stipulates that root occupancy inside of the container must be high, thus allowing container volume to provide an reasonable indice of root system size. Minimum and maximum acceptable values of 'Size Index' are then specified for the extremely large range of container volumes used in Australian landscape-based tree nurseries. This grading criteria provides a new method to assess the overall balance of a nursery tree, different from other international nursery standards. These other standards stipulate appropriate ranges of height, caliper, canopy spread or tree slenderness for different container sizes or rootball dimensions</w:t>
      </w:r>
      <w:r>
        <w:t xml:space="preserve"> </w:t>
      </w:r>
      <w:r>
        <w:t xml:space="preserve">(Canadian Nusery Landscape Association, 2006; European Nurserystock Association, 2010; AmericanHort, 2014; The British Standards Institution, 2014)</w:t>
      </w:r>
      <w:r>
        <w:t xml:space="preserve">. However, most of these existing standards do not include tree balance specifications for large container sizes that are frequently utilized for growing landscape trees.</w:t>
      </w:r>
    </w:p>
    <w:p>
      <w:pPr>
        <w:pStyle w:val="Heading1"/>
      </w:pPr>
      <w:bookmarkStart w:id="41" w:name="evaluating-the-australian-standard-for-nursery-tree-stock"/>
      <w:bookmarkEnd w:id="41"/>
      <w:r>
        <w:t xml:space="preserve">Evaluating the Australian standard for nursery tree stock</w:t>
      </w:r>
    </w:p>
    <w:p>
      <w:pPr>
        <w:pStyle w:val="FirstParagraph"/>
      </w:pPr>
      <w:r>
        <w:t xml:space="preserve">Quality assessments for nursery tree stock generally focus on 3 core parameters (height, diameter and root system size) to assess tree stock balance, albeit in different ways. The question still remains over whether specified ranges of morphological parameters or indexes used to assess the quality of tree stock accurately encompass inherent variation that exists within and among species. Large differences in growth rates exists across species or plant types, which plays a critical role in how different trees develop within nursery environments. Differences in growth rates are linked to the habitat for which a species naturally occurs, such as fast-growing trees are found in favorable habitats that support growth or trees from nutrient-poor environments are often evergreens with higher leaf longevity</w:t>
      </w:r>
      <w:r>
        <w:t xml:space="preserve"> </w:t>
      </w:r>
      <w:r>
        <w:t xml:space="preserve">(Poorter &amp; Garnier, 1999)</w:t>
      </w:r>
      <w:r>
        <w:t xml:space="preserve">. Whether the specified correlation between aboveground 'Size Index' and rooting volume in</w:t>
      </w:r>
      <w:r>
        <w:t xml:space="preserve"> </w:t>
      </w:r>
      <w:r>
        <w:rPr>
          <w:b/>
        </w:rPr>
        <w:t xml:space="preserve">AS2303</w:t>
      </w:r>
      <w:r>
        <w:t xml:space="preserve"> </w:t>
      </w:r>
      <w:r>
        <w:t xml:space="preserve">captures this variation in tree growth for the large range of deciduous, evergreen, native and non-native landscape trees produced in Australian nurseries has yet to be explicitly studied.</w:t>
      </w:r>
    </w:p>
    <w:p>
      <w:pPr>
        <w:pStyle w:val="BodyText"/>
      </w:pPr>
      <w:r>
        <w:br w:type="textWrapping"/>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Given this variation in plant form, generalized allometric equations to predict aboveground tree size may not be suitable for all species without significant error</w:t>
      </w:r>
      <w:r>
        <w:t xml:space="preserve"> </w:t>
      </w:r>
      <w:r>
        <w:t xml:space="preserve">(Hunter</w:t>
      </w:r>
      <w:r>
        <w:t xml:space="preserve"> </w:t>
      </w:r>
      <w:r>
        <w:rPr>
          <w:i/>
        </w:rPr>
        <w:t xml:space="preserve">et al.</w:t>
      </w:r>
      <w:r>
        <w:t xml:space="preserve">, 2013)</w:t>
      </w:r>
      <w:r>
        <w:t xml:space="preserve">. As a result, the ability of the 'Size Index' parameter to be used as a general tool to correlate aboveground size to rooting volume needs to be tested empirically. Additionally, prevailing climate and different irrigation and fertilization regimes across nursery sites affect seedling quality during production</w:t>
      </w:r>
      <w:r>
        <w:t xml:space="preserve"> </w:t>
      </w:r>
      <w:r>
        <w:t xml:space="preserve">(Mattsson, 1997)</w:t>
      </w:r>
      <w:r>
        <w:t xml:space="preserve">. For example, diameter growth of different native eucalpyt species is related to prevailing air temperature</w:t>
      </w:r>
      <w:r>
        <w:t xml:space="preserve"> </w:t>
      </w:r>
      <w:r>
        <w:t xml:space="preserve">(Bowman</w:t>
      </w:r>
      <w:r>
        <w:t xml:space="preserve"> </w:t>
      </w:r>
      <w:r>
        <w:rPr>
          <w:i/>
        </w:rPr>
        <w:t xml:space="preserve">et al.</w:t>
      </w:r>
      <w:r>
        <w:t xml:space="preserve">, 2014)</w:t>
      </w:r>
      <w:r>
        <w:t xml:space="preserve">, which varies tremendously across continental Australia. The degree to which nursery practices and the wide variability in regional climate in Australia affect the current quality assessment criteria in</w:t>
      </w:r>
      <w:r>
        <w:t xml:space="preserve"> </w:t>
      </w:r>
      <w:r>
        <w:rPr>
          <w:b/>
        </w:rPr>
        <w:t xml:space="preserve">AS2303</w:t>
      </w:r>
      <w:r>
        <w:t xml:space="preserve"> </w:t>
      </w:r>
      <w:r>
        <w:t xml:space="preserve">is unknown and requires further evaluation.</w:t>
      </w:r>
    </w:p>
    <w:p>
      <w:pPr>
        <w:pStyle w:val="Heading1"/>
      </w:pPr>
      <w:bookmarkStart w:id="42" w:name="future-directions"/>
      <w:bookmarkEnd w:id="42"/>
      <w:r>
        <w:t xml:space="preserve">Future Directions</w:t>
      </w:r>
    </w:p>
    <w:p>
      <w:pPr>
        <w:pStyle w:val="FirstParagraph"/>
      </w:pPr>
      <w:r>
        <w:t xml:space="preserve">Depending on container size and type, there is an age window where plants exhibit optimum physiology and size, eliminating issues with low rootball occupancy or being too old with defected root systems</w:t>
      </w:r>
      <w:r>
        <w:t xml:space="preserve"> </w:t>
      </w:r>
      <w:r>
        <w:t xml:space="preserve">(Ford, 2014)</w:t>
      </w:r>
      <w:r>
        <w:t xml:space="preserve">. This optimum window represents the time period for which a given tree stock is fit to be sold and when quality assessments are commonly conducted. However, this window is likely different for species with different growth rates, functional types (deciduous or evergreen trees), or even species origin (native/non-native). As information is gained with local nurseries, specifications for containerized plants are likely to change to more accurately match site, species, and planting time to individual stock type</w:t>
      </w:r>
      <w:r>
        <w:t xml:space="preserve"> </w:t>
      </w:r>
      <w:r>
        <w:t xml:space="preserve">(Nelson, 1996)</w:t>
      </w:r>
      <w:r>
        <w:t xml:space="preserve">. If superior morphological predictors can be identified it may be possible to modify nursery cultural techniques to improve quality</w:t>
      </w:r>
      <w:r>
        <w:t xml:space="preserve"> </w:t>
      </w:r>
      <w:r>
        <w:t xml:space="preserve">(Wilson &amp; Jacobs, 2006)</w:t>
      </w:r>
      <w:r>
        <w:t xml:space="preserve">.</w:t>
      </w:r>
    </w:p>
    <w:p>
      <w:pPr>
        <w:pStyle w:val="BodyText"/>
      </w:pPr>
      <w:r>
        <w:br w:type="textWrapping"/>
      </w:r>
      <w:r>
        <w:rPr>
          <w:b/>
        </w:rPr>
        <w:t xml:space="preserve">AS2303</w:t>
      </w:r>
      <w:r>
        <w:t xml:space="preserve"> </w:t>
      </w:r>
      <w:r>
        <w:t xml:space="preserve">uniquely delineates a 'Size Index' range for a tree shoot system in proportion to a continuum of containers sizes starting at 20 L. This is a unique attempt to quantify and standardize above and belowground balance in landscape-based nursery tree stock produced in Australia. Proper balance between root and shoot systems is critical to increase the potential for survival of out-planted trees to landscape environments, and likely should be evaluated in quality assessments of larger nursery trees. If use of 'Size Index' and its relationship with rooting volume provides an accurate assessment of tree stock balance, it provides a tool for both Australian growers and buyers of landscape trees to use to better meet the increasing green space demands outlined in the "202020 Vision".</w:t>
      </w:r>
    </w:p>
    <w:p>
      <w:pPr>
        <w:pStyle w:val="BodyText"/>
      </w:pPr>
      <w:r>
        <w:br w:type="textWrapping"/>
      </w:r>
      <w:r>
        <w:t xml:space="preserve">If measured variation in tree stock from species differences, climate or nursery practices suggest this new index inadequately describes overall tree stock balance, however, its usage may inhibit the long-term goals of the "202020 Vision". Many existing nursery tree standards (non-Australian) include quality specifications for different classifications of tree stock (i.e. spreading, upright, evergreen, deciduous, etc.), while</w:t>
      </w:r>
      <w:r>
        <w:t xml:space="preserve"> </w:t>
      </w:r>
      <w:r>
        <w:rPr>
          <w:b/>
        </w:rPr>
        <w:t xml:space="preserve">AS2303</w:t>
      </w:r>
      <w:r>
        <w:t xml:space="preserve"> </w:t>
      </w:r>
      <w:r>
        <w:t xml:space="preserve">provides one single guideline for all tree stock. If empirical evaluations suggest the specified 'Size Index' approach should be amended, then further categorization of Australian tree stock represents a potential avenue to improve tree balance assessment criteria. In should also be explicitly mentioned that robust survival and field establishment experimental trials should be undertaken to ensure that current and future iterations of tree balance criteria positively correlate to out-planting success.</w:t>
      </w:r>
    </w:p>
    <w:p>
      <w:pPr>
        <w:pStyle w:val="Heading1"/>
      </w:pPr>
      <w:bookmarkStart w:id="43" w:name="references"/>
      <w:bookmarkEnd w:id="43"/>
      <w:r>
        <w:t xml:space="preserve">References</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w:t>
      </w:r>
      <w:r>
        <w:t xml:space="preserve"> </w:t>
      </w:r>
      <w:r>
        <w:rPr>
          <w:i/>
        </w:rPr>
        <w:t xml:space="preserve">Pinus patula</w:t>
      </w:r>
      <w:r>
        <w:t xml:space="preserve"> </w:t>
      </w:r>
      <w:r>
        <w:t xml:space="preserve">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Bergeron O</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rPr>
          <w:b/>
        </w:rPr>
        <w:t xml:space="preserve">,</w:t>
      </w:r>
      <w:r>
        <w:rPr>
          <w:b/>
        </w:rPr>
        <w:t xml:space="preserve"> </w:t>
      </w:r>
      <w:r>
        <w:rPr>
          <w:b w:val="0"/>
          <w:b/>
        </w:rPr>
        <w:t xml:space="preserve">Bernier PY</w:t>
      </w:r>
      <w:r>
        <w:rPr>
          <w:b/>
        </w:rPr>
        <w:t xml:space="preserve">,</w:t>
      </w:r>
      <w:r>
        <w:rPr>
          <w:b/>
        </w:rPr>
        <w:t xml:space="preserve"> </w:t>
      </w:r>
      <w:r>
        <w:rPr>
          <w:b w:val="0"/>
          <w:b/>
        </w:rPr>
        <w:t xml:space="preserve">Stowe DC</w:t>
      </w:r>
      <w:r>
        <w:t xml:space="preserve">.</w:t>
      </w:r>
      <w:r>
        <w:t xml:space="preserve"> </w:t>
      </w:r>
      <w:r>
        <w:rPr>
          <w:b/>
        </w:rPr>
        <w:t xml:space="preserve">2004</w:t>
      </w:r>
      <w:r>
        <w:t xml:space="preserve">. Irrigation control and physiological responses of nursery-grown black spruce seedlings (1+ 0) cultivated in air-slit containers.</w:t>
      </w:r>
      <w:r>
        <w:t xml:space="preserve"> </w:t>
      </w:r>
      <w:r>
        <w:rPr>
          <w:i/>
        </w:rPr>
        <w:t xml:space="preserve">HortScience</w:t>
      </w:r>
      <w:r>
        <w:t xml:space="preserve"> </w:t>
      </w:r>
      <w:r>
        <w:rPr>
          <w:b/>
        </w:rPr>
        <w:t xml:space="preserve">39</w:t>
      </w:r>
      <w:r>
        <w:t xml:space="preserve">: 599–605.</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Bowman DM</w:t>
      </w:r>
      <w:r>
        <w:rPr>
          <w:b/>
        </w:rPr>
        <w:t xml:space="preserve">,</w:t>
      </w:r>
      <w:r>
        <w:rPr>
          <w:b/>
        </w:rPr>
        <w:t xml:space="preserve"> </w:t>
      </w:r>
      <w:r>
        <w:rPr>
          <w:b w:val="0"/>
          <w:b/>
        </w:rPr>
        <w:t xml:space="preserve">Williamson GJ</w:t>
      </w:r>
      <w:r>
        <w:rPr>
          <w:b/>
        </w:rPr>
        <w:t xml:space="preserve">,</w:t>
      </w:r>
      <w:r>
        <w:rPr>
          <w:b/>
        </w:rPr>
        <w:t xml:space="preserve"> </w:t>
      </w:r>
      <w:r>
        <w:rPr>
          <w:b w:val="0"/>
          <w:b/>
        </w:rPr>
        <w:t xml:space="preserve">Keenan R</w:t>
      </w:r>
      <w:r>
        <w:rPr>
          <w:b/>
        </w:rPr>
        <w:t xml:space="preserve">,</w:t>
      </w:r>
      <w:r>
        <w:rPr>
          <w:b/>
        </w:rPr>
        <w:t xml:space="preserve"> </w:t>
      </w:r>
      <w:r>
        <w:rPr>
          <w:b w:val="0"/>
          <w:b/>
        </w:rPr>
        <w:t xml:space="preserve">Prior LD</w:t>
      </w:r>
      <w:r>
        <w:t xml:space="preserve">.</w:t>
      </w:r>
      <w:r>
        <w:t xml:space="preserve"> </w:t>
      </w:r>
      <w:r>
        <w:rPr>
          <w:b/>
        </w:rPr>
        <w:t xml:space="preserve">2014</w:t>
      </w:r>
      <w:r>
        <w:t xml:space="preserve">. A warmer world will reduce tree growth in evergreen broadleaf forests: evidence from Australian temperate and subtropical eucalypt forests.</w:t>
      </w:r>
      <w:r>
        <w:t xml:space="preserve"> </w:t>
      </w:r>
      <w:r>
        <w:rPr>
          <w:i/>
        </w:rPr>
        <w:t xml:space="preserve">Global Ecology and Biogeography</w:t>
      </w:r>
      <w:r>
        <w:t xml:space="preserve"> </w:t>
      </w:r>
      <w:r>
        <w:rPr>
          <w:b/>
        </w:rPr>
        <w:t xml:space="preserve">23</w:t>
      </w:r>
      <w:r>
        <w:t xml:space="preserve">: 925–934.</w:t>
      </w:r>
    </w:p>
    <w:p>
      <w:pPr>
        <w:pStyle w:val="Bibliography"/>
      </w:pPr>
      <w:r>
        <w:rPr>
          <w:b w:val="0"/>
          <w:b/>
        </w:rPr>
        <w:t xml:space="preserve">Brissette JC</w:t>
      </w:r>
      <w:r>
        <w:t xml:space="preserve">.</w:t>
      </w:r>
      <w:r>
        <w:t xml:space="preserve"> </w:t>
      </w:r>
      <w:r>
        <w:rPr>
          <w:b/>
        </w:rPr>
        <w:t xml:space="preserve">1990</w:t>
      </w:r>
      <w:r>
        <w:t xml:space="preserve">.</w:t>
      </w:r>
      <w:r>
        <w:t xml:space="preserve"> </w:t>
      </w:r>
      <w:r>
        <w:rPr>
          <w:i/>
        </w:rPr>
        <w:t xml:space="preserve">Development and function of the root systems of southern pine nursery stock</w:t>
      </w:r>
      <w:r>
        <w:t xml:space="preserve">. Southern Forest Experiment Station.</w:t>
      </w:r>
    </w:p>
    <w:p>
      <w:pPr>
        <w:pStyle w:val="Bibliography"/>
      </w:pPr>
      <w:r>
        <w:rPr>
          <w:b w:val="0"/>
          <w:b/>
        </w:rPr>
        <w:t xml:space="preserve">Bumgarner ML</w:t>
      </w:r>
      <w:r>
        <w:rPr>
          <w:b/>
        </w:rPr>
        <w:t xml:space="preserve">,</w:t>
      </w:r>
      <w:r>
        <w:rPr>
          <w:b/>
        </w:rPr>
        <w:t xml:space="preserve"> </w:t>
      </w:r>
      <w:r>
        <w:rPr>
          <w:b w:val="0"/>
          <w:b/>
        </w:rPr>
        <w:t xml:space="preserve">Salifu KF</w:t>
      </w:r>
      <w:r>
        <w:rPr>
          <w:b/>
        </w:rPr>
        <w:t xml:space="preserve">,</w:t>
      </w:r>
      <w:r>
        <w:rPr>
          <w:b/>
        </w:rPr>
        <w:t xml:space="preserve"> </w:t>
      </w:r>
      <w:r>
        <w:rPr>
          <w:b w:val="0"/>
          <w:b/>
        </w:rPr>
        <w:t xml:space="preserve">Jacobs DF</w:t>
      </w:r>
      <w:r>
        <w:t xml:space="preserve">.</w:t>
      </w:r>
      <w:r>
        <w:t xml:space="preserve"> </w:t>
      </w:r>
      <w:r>
        <w:rPr>
          <w:b/>
        </w:rPr>
        <w:t xml:space="preserve">2008</w:t>
      </w:r>
      <w:r>
        <w:t xml:space="preserve">. Subirrigation of</w:t>
      </w:r>
      <w:r>
        <w:t xml:space="preserve"> </w:t>
      </w:r>
      <w:r>
        <w:rPr>
          <w:i/>
        </w:rPr>
        <w:t xml:space="preserve">quercus rubra</w:t>
      </w:r>
      <w:r>
        <w:t xml:space="preserve"> </w:t>
      </w:r>
      <w:r>
        <w:t xml:space="preserve">seedlings: Nursery stock quality, media chemistry, and early field performance.</w:t>
      </w:r>
      <w:r>
        <w:t xml:space="preserve"> </w:t>
      </w:r>
      <w:r>
        <w:rPr>
          <w:i/>
        </w:rPr>
        <w:t xml:space="preserve">HortScience</w:t>
      </w:r>
      <w:r>
        <w:t xml:space="preserve"> </w:t>
      </w:r>
      <w:r>
        <w:rPr>
          <w:b/>
        </w:rPr>
        <w:t xml:space="preserve">43</w:t>
      </w:r>
      <w:r>
        <w:t xml:space="preserve">: 2179–2185.</w:t>
      </w:r>
    </w:p>
    <w:p>
      <w:pPr>
        <w:pStyle w:val="Bibliography"/>
      </w:pPr>
      <w:r>
        <w:rPr>
          <w:b w:val="0"/>
          <w:b/>
        </w:rPr>
        <w:t xml:space="preserve">Callaham RZ</w:t>
      </w:r>
      <w:r>
        <w:t xml:space="preserve">.</w:t>
      </w:r>
      <w:r>
        <w:t xml:space="preserve"> </w:t>
      </w:r>
      <w:r>
        <w:rPr>
          <w:b/>
        </w:rPr>
        <w:t xml:space="preserve">1962</w:t>
      </w:r>
      <w:r>
        <w:t xml:space="preserve">. Geographic variability in growth of forest trees. In: Kozlowski TT, ed. Tree growth. New York: Ronald Press Company, 311–325.</w:t>
      </w:r>
    </w:p>
    <w:p>
      <w:pPr>
        <w:pStyle w:val="Bibliography"/>
      </w:pPr>
      <w:r>
        <w:rPr>
          <w:b w:val="0"/>
          <w:b/>
        </w:rPr>
        <w:t xml:space="preserve">Canadian Nusery Landscape Association</w:t>
      </w:r>
      <w:r>
        <w:t xml:space="preserve">.</w:t>
      </w:r>
      <w:r>
        <w:t xml:space="preserve"> </w:t>
      </w:r>
      <w:r>
        <w:rPr>
          <w:b/>
        </w:rPr>
        <w:t xml:space="preserve">2006</w:t>
      </w:r>
      <w:r>
        <w:t xml:space="preserve">.</w:t>
      </w:r>
      <w:r>
        <w:t xml:space="preserve"> </w:t>
      </w:r>
      <w:r>
        <w:rPr>
          <w:i/>
        </w:rPr>
        <w:t xml:space="preserve">Canadian standards for nursery stock</w:t>
      </w:r>
      <w:r>
        <w:t xml:space="preserve">. Ontario, Canada.</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w:t>
      </w:r>
      <w:r>
        <w:t xml:space="preserve"> </w:t>
      </w:r>
      <w:r>
        <w:rPr>
          <w:i/>
        </w:rPr>
        <w:t xml:space="preserve">Quercus suber</w:t>
      </w:r>
      <w:r>
        <w:t xml:space="preserve"> </w:t>
      </w:r>
      <w:r>
        <w:t xml:space="preserve">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w:t>
      </w:r>
      <w:r>
        <w:t xml:space="preserve"> </w:t>
      </w:r>
      <w:r>
        <w:rPr>
          <w:i/>
        </w:rPr>
        <w:t xml:space="preserve">Eucalyptus globulus</w:t>
      </w:r>
      <w:r>
        <w:t xml:space="preserve"> </w:t>
      </w:r>
      <w:r>
        <w:t xml:space="preserve">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w:t>
      </w:r>
      <w:r>
        <w:t xml:space="preserve"> </w:t>
      </w:r>
      <w:r>
        <w:rPr>
          <w:i/>
        </w:rPr>
        <w:t xml:space="preserve">Eucalyptus globulus</w:t>
      </w:r>
      <w:r>
        <w:t xml:space="preserve"> </w:t>
      </w:r>
      <w:r>
        <w:t xml:space="preserve">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w:r>
        <w:rPr>
          <w:i/>
        </w:rPr>
        <w:t xml:space="preserve">Pinus ponderosa</w:t>
      </w:r>
      <w:r>
        <w:t xml:space="preserve"> </w:t>
      </w:r>
      <w:r>
        <w:t xml:space="preserve">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Davis AS</w:t>
      </w:r>
      <w:r>
        <w:rPr>
          <w:b/>
        </w:rPr>
        <w:t xml:space="preserve">,</w:t>
      </w:r>
      <w:r>
        <w:rPr>
          <w:b/>
        </w:rPr>
        <w:t xml:space="preserve"> </w:t>
      </w:r>
      <w:r>
        <w:rPr>
          <w:b w:val="0"/>
          <w:b/>
        </w:rPr>
        <w:t xml:space="preserve">Jacobs DF</w:t>
      </w:r>
      <w:r>
        <w:rPr>
          <w:b/>
        </w:rPr>
        <w:t xml:space="preserve">,</w:t>
      </w:r>
      <w:r>
        <w:rPr>
          <w:b/>
        </w:rPr>
        <w:t xml:space="preserve"> </w:t>
      </w:r>
      <w:r>
        <w:rPr>
          <w:b w:val="0"/>
          <w:b/>
        </w:rPr>
        <w:t xml:space="preserve">Overton RP</w:t>
      </w:r>
      <w:r>
        <w:rPr>
          <w:b/>
        </w:rPr>
        <w:t xml:space="preserve">,</w:t>
      </w:r>
      <w:r>
        <w:rPr>
          <w:b/>
        </w:rPr>
        <w:t xml:space="preserve"> </w:t>
      </w:r>
      <w:r>
        <w:rPr>
          <w:b w:val="0"/>
          <w:b/>
        </w:rPr>
        <w:t xml:space="preserve">Dumroese RK</w:t>
      </w:r>
      <w:r>
        <w:t xml:space="preserve">.</w:t>
      </w:r>
      <w:r>
        <w:t xml:space="preserve"> </w:t>
      </w:r>
      <w:r>
        <w:rPr>
          <w:b/>
        </w:rPr>
        <w:t xml:space="preserve">2008</w:t>
      </w:r>
      <w:r>
        <w:t xml:space="preserve">. Influence of irrigation method and container type on northern red oak seedling growth and media electrical conductivity.</w:t>
      </w:r>
      <w:r>
        <w:t xml:space="preserve"> </w:t>
      </w:r>
      <w:r>
        <w:rPr>
          <w:i/>
        </w:rPr>
        <w:t xml:space="preserve">Native Plants Journal</w:t>
      </w:r>
      <w:r>
        <w:t xml:space="preserve"> </w:t>
      </w:r>
      <w:r>
        <w:rPr>
          <w:b/>
        </w:rPr>
        <w:t xml:space="preserve">9</w:t>
      </w:r>
      <w:r>
        <w:t xml:space="preserve">: 4–12.</w:t>
      </w:r>
    </w:p>
    <w:p>
      <w:pPr>
        <w:pStyle w:val="Bibliography"/>
      </w:pPr>
      <w:r>
        <w:rPr>
          <w:b w:val="0"/>
          <w:b/>
        </w:rPr>
        <w:t xml:space="preserve">Dean T</w:t>
      </w:r>
      <w:r>
        <w:rPr>
          <w:b/>
        </w:rPr>
        <w:t xml:space="preserve">,</w:t>
      </w:r>
      <w:r>
        <w:rPr>
          <w:b/>
        </w:rPr>
        <w:t xml:space="preserve"> </w:t>
      </w:r>
      <w:r>
        <w:rPr>
          <w:b w:val="0"/>
          <w:b/>
        </w:rPr>
        <w:t xml:space="preserve">Long JN</w:t>
      </w:r>
      <w:r>
        <w:t xml:space="preserve">.</w:t>
      </w:r>
      <w:r>
        <w:t xml:space="preserve"> </w:t>
      </w:r>
      <w:r>
        <w:rPr>
          <w:b/>
        </w:rPr>
        <w:t xml:space="preserve">1986</w:t>
      </w:r>
      <w:r>
        <w:t xml:space="preserve">. Validity of constant-stress and elastic-instability principles of stem formation in</w:t>
      </w:r>
      <w:r>
        <w:t xml:space="preserve"> </w:t>
      </w:r>
      <w:r>
        <w:rPr>
          <w:i/>
        </w:rPr>
        <w:t xml:space="preserve">pinus contorta</w:t>
      </w:r>
      <w:r>
        <w:t xml:space="preserve"> </w:t>
      </w:r>
      <w:r>
        <w:t xml:space="preserve">and</w:t>
      </w:r>
      <w:r>
        <w:t xml:space="preserve"> </w:t>
      </w:r>
      <w:r>
        <w:rPr>
          <w:i/>
        </w:rPr>
        <w:t xml:space="preserve">trifolium pratense</w:t>
      </w:r>
      <w:r>
        <w:t xml:space="preserve">.</w:t>
      </w:r>
      <w:r>
        <w:t xml:space="preserve"> </w:t>
      </w:r>
      <w:r>
        <w:rPr>
          <w:i/>
        </w:rPr>
        <w:t xml:space="preserve">Annals of Botany</w:t>
      </w:r>
      <w:r>
        <w:t xml:space="preserve"> </w:t>
      </w:r>
      <w:r>
        <w:rPr>
          <w:b/>
        </w:rPr>
        <w:t xml:space="preserve">58</w:t>
      </w:r>
      <w:r>
        <w:t xml:space="preserve">: 833–840.</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w:t>
      </w:r>
      <w:r>
        <w:rPr>
          <w:i/>
        </w:rPr>
        <w:t xml:space="preserve">Quercus rubra</w:t>
      </w:r>
      <w:r>
        <w:t xml:space="preserve"> </w:t>
      </w:r>
      <w:r>
        <w:t xml:space="preserve">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w:t>
      </w:r>
      <w:r>
        <w:t xml:space="preserve"> </w:t>
      </w:r>
      <w:r>
        <w:rPr>
          <w:i/>
        </w:rPr>
        <w:t xml:space="preserve">Ecophysiology of northern spruce species</w:t>
      </w:r>
      <w:r>
        <w:t xml:space="preserve">. Ottawa, Ontario, Canada: NRC Research Press.</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 East Palatka 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t xml:space="preserve">.</w:t>
      </w:r>
      <w:r>
        <w:t xml:space="preserve"> </w:t>
      </w:r>
      <w:r>
        <w:rPr>
          <w:b/>
        </w:rPr>
        <w:t xml:space="preserve">1993</w:t>
      </w:r>
      <w:r>
        <w:t xml:space="preserve">. Favourable water and aeration conditions for growth media used in containerized tree seedling production: A review.</w:t>
      </w:r>
      <w:r>
        <w:t xml:space="preserve"> </w:t>
      </w:r>
      <w:r>
        <w:rPr>
          <w:i/>
        </w:rPr>
        <w:t xml:space="preserve">Scandinavian Journal of Forest Research</w:t>
      </w:r>
      <w:r>
        <w:t xml:space="preserve"> </w:t>
      </w:r>
      <w:r>
        <w:rPr>
          <w:b/>
        </w:rPr>
        <w:t xml:space="preserve">8</w:t>
      </w:r>
      <w:r>
        <w:t xml:space="preserve">: 337–358.</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Hulshof CM</w:t>
      </w:r>
      <w:r>
        <w:rPr>
          <w:b/>
        </w:rPr>
        <w:t xml:space="preserve">,</w:t>
      </w:r>
      <w:r>
        <w:rPr>
          <w:b/>
        </w:rPr>
        <w:t xml:space="preserve"> </w:t>
      </w:r>
      <w:r>
        <w:rPr>
          <w:b w:val="0"/>
          <w:b/>
        </w:rPr>
        <w:t xml:space="preserve">Swenson NG</w:t>
      </w:r>
      <w:r>
        <w:rPr>
          <w:b/>
        </w:rPr>
        <w:t xml:space="preserve">,</w:t>
      </w:r>
      <w:r>
        <w:rPr>
          <w:b/>
        </w:rPr>
        <w:t xml:space="preserve"> </w:t>
      </w:r>
      <w:r>
        <w:rPr>
          <w:b w:val="0"/>
          <w:b/>
        </w:rPr>
        <w:t xml:space="preserve">Weiser MD</w:t>
      </w:r>
      <w:r>
        <w:t xml:space="preserve">.</w:t>
      </w:r>
      <w:r>
        <w:t xml:space="preserve"> </w:t>
      </w:r>
      <w:r>
        <w:rPr>
          <w:b/>
        </w:rPr>
        <w:t xml:space="preserve">2015</w:t>
      </w:r>
      <w:r>
        <w:t xml:space="preserve">. Tree height–diameter allometry across the united states.</w:t>
      </w:r>
      <w:r>
        <w:t xml:space="preserve"> </w:t>
      </w:r>
      <w:r>
        <w:rPr>
          <w:i/>
        </w:rPr>
        <w:t xml:space="preserve">Ecology and Evolution</w:t>
      </w:r>
      <w:r>
        <w:t xml:space="preserve"> </w:t>
      </w:r>
      <w:r>
        <w:rPr>
          <w:b/>
        </w:rPr>
        <w:t xml:space="preserve">5</w:t>
      </w:r>
      <w:r>
        <w:t xml:space="preserve">: 1193–1204.</w:t>
      </w:r>
    </w:p>
    <w:p>
      <w:pPr>
        <w:pStyle w:val="Bibliography"/>
      </w:pPr>
      <w:r>
        <w:rPr>
          <w:b w:val="0"/>
          <w:b/>
        </w:rPr>
        <w:t xml:space="preserve">Hunter MO</w:t>
      </w:r>
      <w:r>
        <w:rPr>
          <w:b/>
        </w:rPr>
        <w:t xml:space="preserve">,</w:t>
      </w:r>
      <w:r>
        <w:rPr>
          <w:b/>
        </w:rPr>
        <w:t xml:space="preserve"> </w:t>
      </w:r>
      <w:r>
        <w:rPr>
          <w:b w:val="0"/>
          <w:b/>
        </w:rPr>
        <w:t xml:space="preserve">Keller M</w:t>
      </w:r>
      <w:r>
        <w:rPr>
          <w:b/>
        </w:rPr>
        <w:t xml:space="preserve">,</w:t>
      </w:r>
      <w:r>
        <w:rPr>
          <w:b/>
        </w:rPr>
        <w:t xml:space="preserve"> </w:t>
      </w:r>
      <w:r>
        <w:rPr>
          <w:b w:val="0"/>
          <w:b/>
        </w:rPr>
        <w:t xml:space="preserve">Victoria D</w:t>
      </w:r>
      <w:r>
        <w:rPr>
          <w:b/>
        </w:rPr>
        <w:t xml:space="preserve">,</w:t>
      </w:r>
      <w:r>
        <w:rPr>
          <w:b/>
        </w:rPr>
        <w:t xml:space="preserve"> </w:t>
      </w:r>
      <w:r>
        <w:rPr>
          <w:b w:val="0"/>
          <w:b/>
        </w:rPr>
        <w:t xml:space="preserve">Morton DC</w:t>
      </w:r>
      <w:r>
        <w:t xml:space="preserve">.</w:t>
      </w:r>
      <w:r>
        <w:t xml:space="preserve"> </w:t>
      </w:r>
      <w:r>
        <w:rPr>
          <w:b/>
        </w:rPr>
        <w:t xml:space="preserve">2013</w:t>
      </w:r>
      <w:r>
        <w:t xml:space="preserve">. Tree height and tropical forest biomass estimation.</w:t>
      </w:r>
      <w:r>
        <w:t xml:space="preserve"> </w:t>
      </w:r>
      <w:r>
        <w:rPr>
          <w:i/>
        </w:rPr>
        <w:t xml:space="preserve">Biogeosciences</w:t>
      </w:r>
      <w:r>
        <w:t xml:space="preserve"> </w:t>
      </w:r>
      <w:r>
        <w:rPr>
          <w:b/>
        </w:rPr>
        <w:t xml:space="preserve">10</w:t>
      </w:r>
      <w:r>
        <w:t xml:space="preserve">: 8385–8399.</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w:t>
      </w:r>
      <w:r>
        <w:t xml:space="preserve"> </w:t>
      </w:r>
      <w:r>
        <w:rPr>
          <w:i/>
        </w:rPr>
        <w:t xml:space="preserve">Pinus palustris</w:t>
      </w:r>
      <w:r>
        <w:t xml:space="preserve"> </w:t>
      </w:r>
      <w:r>
        <w:t xml:space="preserve">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Ohio.17–19.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Kazantseva O</w:t>
      </w:r>
      <w:r>
        <w:rPr>
          <w:b/>
        </w:rPr>
        <w:t xml:space="preserve">,</w:t>
      </w:r>
      <w:r>
        <w:rPr>
          <w:b/>
        </w:rPr>
        <w:t xml:space="preserve"> </w:t>
      </w:r>
      <w:r>
        <w:rPr>
          <w:b w:val="0"/>
          <w:b/>
        </w:rPr>
        <w:t xml:space="preserve">Bingham M</w:t>
      </w:r>
      <w:r>
        <w:rPr>
          <w:b/>
        </w:rPr>
        <w:t xml:space="preserve">,</w:t>
      </w:r>
      <w:r>
        <w:rPr>
          <w:b/>
        </w:rPr>
        <w:t xml:space="preserve"> </w:t>
      </w:r>
      <w:r>
        <w:rPr>
          <w:b w:val="0"/>
          <w:b/>
        </w:rPr>
        <w:t xml:space="preserve">Simard SW</w:t>
      </w:r>
      <w:r>
        <w:rPr>
          <w:b/>
        </w:rPr>
        <w:t xml:space="preserve">,</w:t>
      </w:r>
      <w:r>
        <w:rPr>
          <w:b/>
        </w:rPr>
        <w:t xml:space="preserve"> </w:t>
      </w:r>
      <w:r>
        <w:rPr>
          <w:b w:val="0"/>
          <w:b/>
        </w:rPr>
        <w:t xml:space="preserve">Berch SM</w:t>
      </w:r>
      <w:r>
        <w:t xml:space="preserve">.</w:t>
      </w:r>
      <w:r>
        <w:t xml:space="preserve"> </w:t>
      </w:r>
      <w:r>
        <w:rPr>
          <w:b/>
        </w:rPr>
        <w:t xml:space="preserve">2009</w:t>
      </w:r>
      <w:r>
        <w:t xml:space="preserve">. Effects of growth medium, nutrients, water, and aeration on mycorrhization and biomass allocation of greenhouse-grown interior douglas-fir seedlings.</w:t>
      </w:r>
      <w:r>
        <w:t xml:space="preserve"> </w:t>
      </w:r>
      <w:r>
        <w:rPr>
          <w:i/>
        </w:rPr>
        <w:t xml:space="preserve">Mycorrhiza</w:t>
      </w:r>
      <w:r>
        <w:t xml:space="preserve"> </w:t>
      </w:r>
      <w:r>
        <w:rPr>
          <w:b/>
        </w:rPr>
        <w:t xml:space="preserve">20</w:t>
      </w:r>
      <w:r>
        <w:t xml:space="preserve">: 51–66.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Lamhamedi M</w:t>
      </w:r>
      <w:r>
        <w:rPr>
          <w:b/>
        </w:rPr>
        <w:t xml:space="preserve">,</w:t>
      </w:r>
      <w:r>
        <w:rPr>
          <w:b/>
        </w:rPr>
        <w:t xml:space="preserve"> </w:t>
      </w:r>
      <w:r>
        <w:rPr>
          <w:b w:val="0"/>
          <w:b/>
        </w:rPr>
        <w:t xml:space="preserve">Lambany G</w:t>
      </w:r>
      <w:r>
        <w:rPr>
          <w:b/>
        </w:rPr>
        <w:t xml:space="preserve">,</w:t>
      </w:r>
      <w:r>
        <w:rPr>
          <w:b/>
        </w:rPr>
        <w:t xml:space="preserve"> </w:t>
      </w:r>
      <w:r>
        <w:rPr>
          <w:b w:val="0"/>
          <w:b/>
        </w:rPr>
        <w:t xml:space="preserve">Margolis H</w:t>
      </w:r>
      <w:r>
        <w:rPr>
          <w:b/>
        </w:rPr>
        <w:t xml:space="preserve">,</w:t>
      </w:r>
      <w:r>
        <w:rPr>
          <w:b/>
        </w:rPr>
        <w:t xml:space="preserve"> </w:t>
      </w:r>
      <w:r>
        <w:rPr>
          <w:b w:val="0"/>
          <w:b/>
        </w:rPr>
        <w:t xml:space="preserve">Renaud M</w:t>
      </w:r>
      <w:r>
        <w:rPr>
          <w:b/>
        </w:rPr>
        <w:t xml:space="preserve">,</w:t>
      </w:r>
      <w:r>
        <w:rPr>
          <w:b/>
        </w:rPr>
        <w:t xml:space="preserve"> </w:t>
      </w:r>
      <w:r>
        <w:rPr>
          <w:b w:val="0"/>
          <w:b/>
        </w:rPr>
        <w:t xml:space="preserve">Veilleux L</w:t>
      </w:r>
      <w:r>
        <w:rPr>
          <w:b/>
        </w:rPr>
        <w:t xml:space="preserve">,</w:t>
      </w:r>
      <w:r>
        <w:rPr>
          <w:b/>
        </w:rPr>
        <w:t xml:space="preserve"> </w:t>
      </w:r>
      <w:r>
        <w:rPr>
          <w:b w:val="0"/>
          <w:b/>
        </w:rPr>
        <w:t xml:space="preserve">Bernier PY</w:t>
      </w:r>
      <w:r>
        <w:t xml:space="preserve">.</w:t>
      </w:r>
      <w:r>
        <w:t xml:space="preserve"> </w:t>
      </w:r>
      <w:r>
        <w:rPr>
          <w:b/>
        </w:rPr>
        <w:t xml:space="preserve">2001</w:t>
      </w:r>
      <w:r>
        <w:t xml:space="preserve">. Growth, physiology, and leachate losses in</w:t>
      </w:r>
      <w:r>
        <w:t xml:space="preserve"> </w:t>
      </w:r>
      <w:r>
        <w:rPr>
          <w:i/>
        </w:rPr>
        <w:t xml:space="preserve">picea glauca</w:t>
      </w:r>
      <w:r>
        <w:t xml:space="preserve"> </w:t>
      </w:r>
      <w:r>
        <w:t xml:space="preserve">seedlings (1+ 0) grown in air-slit containers under different irrigation regimes.</w:t>
      </w:r>
      <w:r>
        <w:t xml:space="preserve"> </w:t>
      </w:r>
      <w:r>
        <w:rPr>
          <w:i/>
        </w:rPr>
        <w:t xml:space="preserve">Canadian Journal of Forest Research</w:t>
      </w:r>
      <w:r>
        <w:t xml:space="preserve"> </w:t>
      </w:r>
      <w:r>
        <w:rPr>
          <w:b/>
        </w:rPr>
        <w:t xml:space="preserve">31</w:t>
      </w:r>
      <w:r>
        <w:t xml:space="preserve">: 1968–1980.</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w:t>
      </w:r>
      <w:r>
        <w:t xml:space="preserve"> </w:t>
      </w:r>
      <w:r>
        <w:rPr>
          <w:i/>
        </w:rPr>
        <w:t xml:space="preserve">Ficus benjamina</w:t>
      </w:r>
      <w:r>
        <w:t xml:space="preserve"> </w:t>
      </w:r>
      <w:r>
        <w:t xml:space="preserve">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González-Rodríguez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w:t>
      </w:r>
      <w:r>
        <w:rPr>
          <w:i/>
        </w:rPr>
        <w:t xml:space="preserve">Pinus canariensis</w:t>
      </w:r>
      <w:r>
        <w:t xml:space="preserve">)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w:t>
      </w:r>
      <w:r>
        <w:t xml:space="preserve"> </w:t>
      </w:r>
      <w:r>
        <w:rPr>
          <w:i/>
        </w:rPr>
        <w:t xml:space="preserve">Juglans regia</w:t>
      </w:r>
      <w:r>
        <w:t xml:space="preserve"> </w:t>
      </w:r>
      <w:r>
        <w:t xml:space="preserve">and</w:t>
      </w:r>
      <w:r>
        <w:t xml:space="preserve"> </w:t>
      </w:r>
      <w:r>
        <w:rPr>
          <w:i/>
        </w:rPr>
        <w:t xml:space="preserve">Quercus robur</w:t>
      </w:r>
      <w:r>
        <w:t xml:space="preserve"> </w:t>
      </w:r>
      <w:r>
        <w:t xml:space="preserve">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w:t>
      </w:r>
      <w:r>
        <w:t xml:space="preserve"> </w:t>
      </w:r>
      <w:r>
        <w:rPr>
          <w:i/>
        </w:rPr>
        <w:t xml:space="preserve">Acer rubrum</w:t>
      </w:r>
      <w:r>
        <w:t xml:space="preserve"> </w:t>
      </w:r>
      <w:r>
        <w:t xml:space="preserve">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w:t>
      </w:r>
      <w:r>
        <w:t xml:space="preserve"> </w:t>
      </w:r>
      <w:r>
        <w:rPr>
          <w:i/>
        </w:rPr>
        <w:t xml:space="preserve">Quercus</w:t>
      </w:r>
      <w:r>
        <w:t xml:space="preserve"> </w:t>
      </w:r>
      <w:r>
        <w:t xml:space="preserve">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w:t>
      </w:r>
      <w:r>
        <w:t xml:space="preserve"> </w:t>
      </w:r>
      <w:r>
        <w:rPr>
          <w:i/>
        </w:rPr>
        <w:t xml:space="preserve">Quercus ilex</w:t>
      </w:r>
      <w:r>
        <w:t xml:space="preserve"> </w:t>
      </w:r>
      <w:r>
        <w:t xml:space="preserve">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Symposium.6–7.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w:t>
      </w:r>
      <w:r>
        <w:t xml:space="preserve"> </w:t>
      </w:r>
      <w:r>
        <w:rPr>
          <w:i/>
        </w:rPr>
        <w:t xml:space="preserve">Pinus radiata</w:t>
      </w:r>
      <w:r>
        <w:t xml:space="preserve"> </w:t>
      </w:r>
      <w:r>
        <w:t xml:space="preserve">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w:t>
      </w:r>
      <w:r>
        <w:t xml:space="preserve"> </w:t>
      </w:r>
      <w:r>
        <w:rPr>
          <w:i/>
        </w:rPr>
        <w:t xml:space="preserve">Pinus halepensis</w:t>
      </w:r>
      <w:r>
        <w:t xml:space="preserve"> </w:t>
      </w:r>
      <w:r>
        <w:t xml:space="preserve">and</w:t>
      </w:r>
      <w:r>
        <w:t xml:space="preserve"> </w:t>
      </w:r>
      <w:r>
        <w:rPr>
          <w:i/>
        </w:rPr>
        <w:t xml:space="preserve">Quercus ilex</w:t>
      </w:r>
      <w:r>
        <w:t xml:space="preserve"> </w:t>
      </w:r>
      <w:r>
        <w:t xml:space="preserve">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Picard N</w:t>
      </w:r>
      <w:r>
        <w:rPr>
          <w:b/>
        </w:rPr>
        <w:t xml:space="preserve">,</w:t>
      </w:r>
      <w:r>
        <w:rPr>
          <w:b/>
        </w:rPr>
        <w:t xml:space="preserve"> </w:t>
      </w:r>
      <w:r>
        <w:rPr>
          <w:b w:val="0"/>
          <w:b/>
        </w:rPr>
        <w:t xml:space="preserve">Saint-André L</w:t>
      </w:r>
      <w:r>
        <w:rPr>
          <w:b/>
        </w:rPr>
        <w:t xml:space="preserve">,</w:t>
      </w:r>
      <w:r>
        <w:rPr>
          <w:b/>
        </w:rPr>
        <w:t xml:space="preserve"> </w:t>
      </w:r>
      <w:r>
        <w:rPr>
          <w:b w:val="0"/>
          <w:b/>
        </w:rPr>
        <w:t xml:space="preserve">Henry M</w:t>
      </w:r>
      <w:r>
        <w:t xml:space="preserve">.</w:t>
      </w:r>
      <w:r>
        <w:t xml:space="preserve"> </w:t>
      </w:r>
      <w:r>
        <w:rPr>
          <w:b/>
        </w:rPr>
        <w:t xml:space="preserve">2012</w:t>
      </w:r>
      <w:r>
        <w:t xml:space="preserve">.</w:t>
      </w:r>
      <w:r>
        <w:t xml:space="preserve"> </w:t>
      </w:r>
      <w:r>
        <w:rPr>
          <w:i/>
        </w:rPr>
        <w:t xml:space="preserve">Manual for building tree volume and biomass allometric equations: From field measurement to prediction</w:t>
      </w:r>
      <w:r>
        <w:t xml:space="preserve">. Rome/Montpellier: FAO/CIRAD.</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Garnier E</w:t>
      </w:r>
      <w:r>
        <w:t xml:space="preserve">.</w:t>
      </w:r>
      <w:r>
        <w:t xml:space="preserve"> </w:t>
      </w:r>
      <w:r>
        <w:rPr>
          <w:b/>
        </w:rPr>
        <w:t xml:space="preserve">1999</w:t>
      </w:r>
      <w:r>
        <w:t xml:space="preserve">. Ecological significance of inherent variation in relative growth rate and its components. In: Pugnaire F, In: Valladares F, eds. Handbook of functional plant ecology. New York, NY, USA: Marcel Dekker, 81–120.</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2001</w:t>
      </w:r>
      <w:r>
        <w:t xml:space="preserve">. Effect of water stress conditioning on morphology, physiology and field performance of</w:t>
      </w:r>
      <w:r>
        <w:t xml:space="preserve"> </w:t>
      </w:r>
      <w:r>
        <w:rPr>
          <w:i/>
        </w:rPr>
        <w:t xml:space="preserve">pinus halepensis</w:t>
      </w:r>
      <w:r>
        <w:t xml:space="preserve"> </w:t>
      </w:r>
      <w:r>
        <w:t xml:space="preserve">mill. seedlings.</w:t>
      </w:r>
      <w:r>
        <w:t xml:space="preserve"> </w:t>
      </w:r>
      <w:r>
        <w:rPr>
          <w:i/>
        </w:rPr>
        <w:t xml:space="preserve">New Forests</w:t>
      </w:r>
      <w:r>
        <w:t xml:space="preserve"> </w:t>
      </w:r>
      <w:r>
        <w:rPr>
          <w:b/>
        </w:rPr>
        <w:t xml:space="preserve">21</w:t>
      </w:r>
      <w:r>
        <w:t xml:space="preserve">: 127–140.</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w:t>
      </w:r>
      <w:r>
        <w:t xml:space="preserve"> </w:t>
      </w:r>
      <w:r>
        <w:rPr>
          <w:i/>
        </w:rPr>
        <w:t xml:space="preserve">Pinus palustris</w:t>
      </w:r>
      <w:r>
        <w:t xml:space="preserve"> </w:t>
      </w:r>
      <w:r>
        <w:t xml:space="preserve">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w:t>
      </w:r>
      <w:r>
        <w:t xml:space="preserve"> </w:t>
      </w:r>
      <w:r>
        <w:rPr>
          <w:i/>
        </w:rPr>
        <w:t xml:space="preserve">Eucalyptus</w:t>
      </w:r>
      <w:r>
        <w:t xml:space="preserve"> </w:t>
      </w:r>
      <w:r>
        <w:t xml:space="preserve">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Stowe DC</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t xml:space="preserve">.</w:t>
      </w:r>
      <w:r>
        <w:t xml:space="preserve"> </w:t>
      </w:r>
      <w:r>
        <w:rPr>
          <w:b/>
        </w:rPr>
        <w:t xml:space="preserve">2001</w:t>
      </w:r>
      <w:r>
        <w:t xml:space="preserve">. Water relations, cuticular transpiration, and bud characteristics of air-slit containerized</w:t>
      </w:r>
      <w:r>
        <w:t xml:space="preserve"> </w:t>
      </w:r>
      <w:r>
        <w:rPr>
          <w:i/>
        </w:rPr>
        <w:t xml:space="preserve">picea glauca</w:t>
      </w:r>
      <w:r>
        <w:t xml:space="preserve"> </w:t>
      </w:r>
      <w:r>
        <w:t xml:space="preserve">seedlings in response to controlled irrigation regimes.</w:t>
      </w:r>
      <w:r>
        <w:t xml:space="preserve"> </w:t>
      </w:r>
      <w:r>
        <w:rPr>
          <w:i/>
        </w:rPr>
        <w:t xml:space="preserve">Canadian Journal of Forest Research</w:t>
      </w:r>
      <w:r>
        <w:t xml:space="preserve"> </w:t>
      </w:r>
      <w:r>
        <w:rPr>
          <w:b/>
        </w:rPr>
        <w:t xml:space="preserve">31</w:t>
      </w:r>
      <w:r>
        <w:t xml:space="preserve">: 2200–2212.</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In: Durvea M, ed. Evaluating seedling quality: Principles, procedures, and predictive abilities of major tests. Corvallis, OR: Forest Research Laboratory. Oregon State University, 59–71.</w:t>
      </w:r>
    </w:p>
    <w:p>
      <w:pPr>
        <w:pStyle w:val="Bibliography"/>
      </w:pPr>
      <w:r>
        <w:rPr>
          <w:b w:val="0"/>
          <w:b/>
        </w:rPr>
        <w:t xml:space="preserve">Timmer V</w:t>
      </w:r>
      <w:r>
        <w:rPr>
          <w:b/>
        </w:rPr>
        <w:t xml:space="preserve">,</w:t>
      </w:r>
      <w:r>
        <w:rPr>
          <w:b/>
        </w:rPr>
        <w:t xml:space="preserve"> </w:t>
      </w:r>
      <w:r>
        <w:rPr>
          <w:b w:val="0"/>
          <w:b/>
        </w:rPr>
        <w:t xml:space="preserve">Armstrong G</w:t>
      </w:r>
      <w:r>
        <w:t xml:space="preserve">.</w:t>
      </w:r>
      <w:r>
        <w:t xml:space="preserve"> </w:t>
      </w:r>
      <w:r>
        <w:rPr>
          <w:b/>
        </w:rPr>
        <w:t xml:space="preserve">1989</w:t>
      </w:r>
      <w:r>
        <w:t xml:space="preserve">. Growth and nutrition of containerized</w:t>
      </w:r>
      <w:r>
        <w:t xml:space="preserve"> </w:t>
      </w:r>
      <w:r>
        <w:rPr>
          <w:i/>
        </w:rPr>
        <w:t xml:space="preserve">pinus resinosa</w:t>
      </w:r>
      <w:r>
        <w:t xml:space="preserve"> </w:t>
      </w:r>
      <w:r>
        <w:t xml:space="preserve">seedlings at varying moisture regimes.</w:t>
      </w:r>
      <w:r>
        <w:t xml:space="preserve"> </w:t>
      </w:r>
      <w:r>
        <w:rPr>
          <w:i/>
        </w:rPr>
        <w:t xml:space="preserve">New Forests</w:t>
      </w:r>
      <w:r>
        <w:t xml:space="preserve"> </w:t>
      </w:r>
      <w:r>
        <w:rPr>
          <w:b/>
        </w:rPr>
        <w:t xml:space="preserve">3</w:t>
      </w:r>
      <w:r>
        <w:t xml:space="preserve">: 171–180.</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Denver, Colorado.276–282.</w:t>
      </w:r>
    </w:p>
    <w:p>
      <w:pPr>
        <w:pStyle w:val="Bibliography"/>
      </w:pPr>
      <w:r>
        <w:rPr>
          <w:b w:val="0"/>
          <w:b/>
        </w:rPr>
        <w:t xml:space="preserve">Tran N</w:t>
      </w:r>
      <w:r>
        <w:t xml:space="preserve">.</w:t>
      </w:r>
      <w:r>
        <w:t xml:space="preserve"> </w:t>
      </w:r>
      <w:r>
        <w:rPr>
          <w:b/>
        </w:rPr>
        <w:t xml:space="preserve">2016</w:t>
      </w:r>
      <w:r>
        <w:t xml:space="preserve">. Irrigation scheduling based on cumulative vapour pressure deficit to predict nursery tree water stress.</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w:t>
      </w:r>
      <w:r>
        <w:t xml:space="preserve"> </w:t>
      </w:r>
      <w:r>
        <w:rPr>
          <w:i/>
        </w:rPr>
        <w:t xml:space="preserve">Quercus suber</w:t>
      </w:r>
      <w:r>
        <w:t xml:space="preserve"> </w:t>
      </w:r>
      <w:r>
        <w:t xml:space="preserve">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Enríquez E</w:t>
      </w:r>
      <w:r>
        <w:rPr>
          <w:b/>
        </w:rPr>
        <w:t xml:space="preserve">,</w:t>
      </w:r>
      <w:r>
        <w:rPr>
          <w:b/>
        </w:rPr>
        <w:t xml:space="preserve"> </w:t>
      </w:r>
      <w:r>
        <w:rPr>
          <w:b w:val="0"/>
          <w:b/>
        </w:rPr>
        <w:t xml:space="preserve">Rubira JP</w:t>
      </w:r>
      <w:r>
        <w:t xml:space="preserve">.</w:t>
      </w:r>
      <w:r>
        <w:t xml:space="preserve"> </w:t>
      </w:r>
      <w:r>
        <w:rPr>
          <w:b/>
        </w:rPr>
        <w:t xml:space="preserve">2004a</w:t>
      </w:r>
      <w:r>
        <w:t xml:space="preserve">. Nursery cultivation regimes, plant functional attributes, and field performance relationships in the Mediterranean oak</w:t>
      </w:r>
      <w:r>
        <w:t xml:space="preserve"> </w:t>
      </w:r>
      <w:r>
        <w:rPr>
          <w:i/>
        </w:rPr>
        <w:t xml:space="preserve">Quercus ilex</w:t>
      </w:r>
      <w:r>
        <w:t xml:space="preserve"> </w:t>
      </w:r>
      <w:r>
        <w:t xml:space="preserve">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Oliet J</w:t>
      </w:r>
      <w:r>
        <w:rPr>
          <w:b/>
        </w:rPr>
        <w:t xml:space="preserve">,</w:t>
      </w:r>
      <w:r>
        <w:rPr>
          <w:b/>
        </w:rPr>
        <w:t xml:space="preserve"> </w:t>
      </w:r>
      <w:r>
        <w:rPr>
          <w:b w:val="0"/>
          <w:b/>
        </w:rPr>
        <w:t xml:space="preserve">Peñuelas-Rubira JL</w:t>
      </w:r>
      <w:r>
        <w:rPr>
          <w:b/>
        </w:rPr>
        <w:t xml:space="preserve">,</w:t>
      </w:r>
      <w:r>
        <w:rPr>
          <w:b/>
        </w:rPr>
        <w:t xml:space="preserve"> </w:t>
      </w:r>
      <w:r>
        <w:rPr>
          <w:b w:val="0"/>
          <w:b/>
        </w:rPr>
        <w:t xml:space="preserve">Jacobs DF</w:t>
      </w:r>
      <w:r>
        <w:rPr>
          <w:b/>
        </w:rPr>
        <w:t xml:space="preserve">,</w:t>
      </w:r>
      <w:r>
        <w:rPr>
          <w:b/>
        </w:rPr>
        <w:t xml:space="preserve"> </w:t>
      </w:r>
      <w:r>
        <w:rPr>
          <w:b w:val="0"/>
          <w:b/>
        </w:rPr>
        <w:t xml:space="preserve">González M</w:t>
      </w:r>
      <w:r>
        <w:t xml:space="preserve">.</w:t>
      </w:r>
      <w:r>
        <w:t xml:space="preserve"> </w:t>
      </w:r>
      <w:r>
        <w:rPr>
          <w:b/>
        </w:rPr>
        <w:t xml:space="preserve">2004b</w:t>
      </w:r>
      <w:r>
        <w:t xml:space="preserve">. Drought tolerance and transplanting performance of holm oak (</w:t>
      </w:r>
      <w:r>
        <w:rPr>
          <w:i/>
        </w:rPr>
        <w:t xml:space="preserve">quercus ilex</w:t>
      </w:r>
      <w:r>
        <w:t xml:space="preserve">) seedlings after drought hardening in the nursery.</w:t>
      </w:r>
      <w:r>
        <w:t xml:space="preserve"> </w:t>
      </w:r>
      <w:r>
        <w:rPr>
          <w:i/>
        </w:rPr>
        <w:t xml:space="preserve">Tree Physiology</w:t>
      </w:r>
      <w:r>
        <w:t xml:space="preserve"> </w:t>
      </w:r>
      <w:r>
        <w:rPr>
          <w:b/>
        </w:rPr>
        <w:t xml:space="preserve">24</w:t>
      </w:r>
      <w:r>
        <w:t xml:space="preserve">: 1147–1155.</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Wall A</w:t>
      </w:r>
      <w:r>
        <w:rPr>
          <w:b/>
        </w:rPr>
        <w:t xml:space="preserve">,</w:t>
      </w:r>
      <w:r>
        <w:rPr>
          <w:b/>
        </w:rPr>
        <w:t xml:space="preserve"> </w:t>
      </w:r>
      <w:r>
        <w:rPr>
          <w:b w:val="0"/>
          <w:b/>
        </w:rPr>
        <w:t xml:space="preserve">Heiskanen J</w:t>
      </w:r>
      <w:r>
        <w:t xml:space="preserve">.</w:t>
      </w:r>
      <w:r>
        <w:t xml:space="preserve"> </w:t>
      </w:r>
      <w:r>
        <w:rPr>
          <w:b/>
        </w:rPr>
        <w:t xml:space="preserve">2003</w:t>
      </w:r>
      <w:r>
        <w:t xml:space="preserve">. Effect of air-filled porosity and organic matter concentration of soil on growth of</w:t>
      </w:r>
      <w:r>
        <w:t xml:space="preserve"> </w:t>
      </w:r>
      <w:r>
        <w:rPr>
          <w:i/>
        </w:rPr>
        <w:t xml:space="preserve">picea abies</w:t>
      </w:r>
      <w:r>
        <w:t xml:space="preserve"> </w:t>
      </w:r>
      <w:r>
        <w:t xml:space="preserve">seedlings after transplanting.</w:t>
      </w:r>
      <w:r>
        <w:t xml:space="preserve"> </w:t>
      </w:r>
      <w:r>
        <w:rPr>
          <w:i/>
        </w:rPr>
        <w:t xml:space="preserve">Scandinavian Journal of Forest Research</w:t>
      </w:r>
      <w:r>
        <w:t xml:space="preserve">: 344–350.</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w:t>
      </w:r>
      <w:r>
        <w:t xml:space="preserve"> </w:t>
      </w:r>
      <w:r>
        <w:rPr>
          <w:i/>
        </w:rPr>
        <w:t xml:space="preserve">Pinus resinosa</w:t>
      </w:r>
      <w:r>
        <w:t xml:space="preserve">.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w:t>
      </w:r>
      <w:r>
        <w:rPr>
          <w:i/>
        </w:rPr>
        <w:t xml:space="preserve">Quercus rubra</w:t>
      </w:r>
      <w:r>
        <w:t xml:space="preserve"> </w:t>
      </w:r>
      <w:r>
        <w:t xml:space="preserve">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Zianis D</w:t>
      </w:r>
      <w:r>
        <w:rPr>
          <w:b/>
        </w:rPr>
        <w:t xml:space="preserve">,</w:t>
      </w:r>
      <w:r>
        <w:rPr>
          <w:b/>
        </w:rPr>
        <w:t xml:space="preserve"> </w:t>
      </w:r>
      <w:r>
        <w:rPr>
          <w:b w:val="0"/>
          <w:b/>
        </w:rPr>
        <w:t xml:space="preserve">Muukkonen P</w:t>
      </w:r>
      <w:r>
        <w:rPr>
          <w:b/>
        </w:rPr>
        <w:t xml:space="preserve">,</w:t>
      </w:r>
      <w:r>
        <w:rPr>
          <w:b/>
        </w:rPr>
        <w:t xml:space="preserve"> </w:t>
      </w:r>
      <w:r>
        <w:rPr>
          <w:b w:val="0"/>
          <w:b/>
        </w:rPr>
        <w:t xml:space="preserve">Mäkipää R</w:t>
      </w:r>
      <w:r>
        <w:rPr>
          <w:b/>
        </w:rPr>
        <w:t xml:space="preserve">,</w:t>
      </w:r>
      <w:r>
        <w:rPr>
          <w:b/>
        </w:rPr>
        <w:t xml:space="preserve"> </w:t>
      </w:r>
      <w:r>
        <w:rPr>
          <w:b w:val="0"/>
          <w:b/>
        </w:rPr>
        <w:t xml:space="preserve">Mencuccini M</w:t>
      </w:r>
      <w:r>
        <w:t xml:space="preserve">.</w:t>
      </w:r>
      <w:r>
        <w:t xml:space="preserve"> </w:t>
      </w:r>
      <w:r>
        <w:rPr>
          <w:b/>
        </w:rPr>
        <w:t xml:space="preserve">2005</w:t>
      </w:r>
      <w:r>
        <w:t xml:space="preserve">. Biomass and stem volume equations for tree species in Europe.</w:t>
      </w:r>
      <w:r>
        <w:t xml:space="preserve"> </w:t>
      </w:r>
      <w:r>
        <w:rPr>
          <w:i/>
        </w:rPr>
        <w:t xml:space="preserve">Silva Fennica Monographs</w:t>
      </w:r>
      <w:r>
        <w:t xml:space="preserve"> </w:t>
      </w:r>
      <w:r>
        <w:rPr>
          <w:b/>
        </w:rPr>
        <w:t xml:space="preserve">4</w:t>
      </w:r>
      <w:r>
        <w:t xml:space="preserve">: 63.</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1ddaa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Australian nursery tree stock</dc:title>
  <dc:creator/>
</cp:coreProperties>
</file>