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60"/>
        <w:jc w:val="center"/>
      </w:pPr>
      <w:r>
        <w:rPr>
          <w:b/>
          <w:color w:val="0B4A6F"/>
          <w:sz w:val="80"/>
        </w:rPr>
        <w:t>CoverGuard</w:t>
      </w:r>
    </w:p>
    <w:p>
      <w:pPr>
        <w:spacing w:after="800"/>
        <w:jc w:val="center"/>
      </w:pPr>
      <w:r>
        <w:rPr>
          <w:color w:val="1F91BF"/>
          <w:sz w:val="36"/>
        </w:rPr>
        <w:t>Property Insurability Intelligence</w:t>
      </w:r>
    </w:p>
    <w:p>
      <w:pPr>
        <w:jc w:val="center"/>
      </w:pPr>
      <w:r>
        <w:rPr>
          <w:b/>
          <w:color w:val="111827"/>
          <w:sz w:val="32"/>
        </w:rPr>
        <w:t>Business Plan — May 2026 Refresh</w:t>
      </w:r>
    </w:p>
    <w:p>
      <w:pPr>
        <w:spacing w:before="160"/>
        <w:jc w:val="center"/>
      </w:pPr>
      <w:r>
        <w:rPr>
          <w:i/>
          <w:color w:val="4B5563"/>
          <w:sz w:val="22"/>
        </w:rPr>
        <w:t>Version 2026.05.13  ·  Prepared for CoverGuard leadership and investors</w:t>
      </w:r>
    </w:p>
    <w:p>
      <w:pPr>
        <w:spacing w:before="4000"/>
        <w:jc w:val="center"/>
      </w:pPr>
      <w:r>
        <w:rPr>
          <w:i/>
          <w:color w:val="4B5563"/>
          <w:sz w:val="19"/>
        </w:rPr>
        <w:t>Confidential. This document reflects the competitive scrub conducted May 13, 2026 (docs/competitive-scrub-2026-05-13.md) and supersedes prior competitive-landscape sections of the April 2026 plan.</w:t>
      </w:r>
    </w:p>
    <w:p>
      <w:r>
        <w:br w:type="page"/>
      </w:r>
    </w:p>
    <w:p>
      <w:pPr>
        <w:spacing w:before="360" w:after="80"/>
      </w:pPr>
      <w:r>
        <w:rPr>
          <w:b/>
          <w:color w:val="0B4A6F"/>
          <w:sz w:val="40"/>
        </w:rPr>
        <w:t>1. Executive Summary</w:t>
      </w:r>
    </w:p>
    <w:p>
      <w:pPr>
        <w:spacing w:after="80"/>
      </w:pPr>
      <w:r>
        <w:rPr>
          <w:b w:val="0"/>
          <w:i w:val="0"/>
          <w:sz w:val="22"/>
        </w:rPr>
        <w:t>CoverGuard is a Property Insurability Intelligence platform that helps home buyers, real-estate agents, and lenders decide — before they bid — whether a U.S. property can be insured, by whom, and at what cost. We fuse 12+ public data sources (FEMA, USGS, NOAA, Cal Fire, USFS, FBI, ASCE 7, the Esri Living Atlas, and others) into a single national risk spine, overlay live carrier writing-status, and route binding-quote requests directly to actively-writing carriers — agent and consumer portals on the same data fabric.</w:t>
      </w:r>
    </w:p>
    <w:p>
      <w:pPr>
        <w:spacing w:after="80"/>
      </w:pPr>
      <w:r>
        <w:rPr>
          <w:b w:val="0"/>
          <w:i w:val="0"/>
          <w:sz w:val="22"/>
        </w:rPr>
        <w:t>As of May 13, 2026, the property-insurability category is real. One direct agent-facing competitor (Rhino DealShield) has launched in California; carrier-side incumbents (ZestyAI, HazardHub, LexisNexis × Cytora) are commoditizing peril scores inside underwriting; and distribution-led plays (Matic × nCino, RealReports across CRMLS and State-Wide MLS) are encroaching on insurance-adjacent agent workflows. Our wedge is unchanged but the window is narrowing: national coverage from day one, breadth of public-source risk, the only platform that stitches risk → carrier availability → binding quote into one workflow, and the only platform that serves both agent and consumer on the same property record.</w:t>
      </w:r>
    </w:p>
    <w:p>
      <w:pPr>
        <w:spacing w:after="80"/>
      </w:pPr>
      <w:r>
        <w:rPr>
          <w:b w:val="0"/>
          <w:i w:val="0"/>
          <w:sz w:val="22"/>
        </w:rPr>
        <w:t>This refresh recommends six near-term moves, the most urgent of which is a California State Farm-response campaign within seven days; an MLS partnership-or-license move (RealReports / SourceRE) within thirty; and a Florida message pivot from scarcity to competitive shopping in light of spring-2026 FL rate decreases.</w:t>
      </w:r>
    </w:p>
    <w:p>
      <w:pPr>
        <w:spacing w:before="360" w:after="80"/>
      </w:pPr>
      <w:r>
        <w:rPr>
          <w:b/>
          <w:color w:val="0B4A6F"/>
          <w:sz w:val="40"/>
        </w:rPr>
        <w:t>2. Market &amp; Problem</w:t>
      </w:r>
    </w:p>
    <w:p>
      <w:pPr>
        <w:spacing w:after="80"/>
      </w:pPr>
      <w:r>
        <w:rPr>
          <w:b w:val="0"/>
          <w:i w:val="0"/>
          <w:sz w:val="22"/>
        </w:rPr>
        <w:t>The U.S. residential-insurance protection gap reached an estimated $77B in 2024 and continues to widen. Carriers are non-renewing, narrowing appetite by ZIP, or exiting entire states (CA, LA, FL coastal). Buyers and agents discover uninsurability after the offer goes in — too late to negotiate, walk, or structure differently. Insurability has become a deal-killer that nobody underwrites at the pre-bid stage.</w:t>
      </w:r>
    </w:p>
    <w:p>
      <w:pPr>
        <w:spacing w:after="40"/>
      </w:pPr>
      <w:r>
        <w:rPr>
          <w:b/>
          <w:i w:val="0"/>
          <w:color w:val="0B4A6F"/>
          <w:sz w:val="23"/>
        </w:rPr>
        <w:t>Pain points by persona:</w:t>
      </w:r>
    </w:p>
    <w:p>
      <w:pPr>
        <w:pStyle w:val="ListBullet"/>
        <w:spacing w:after="40"/>
        <w:ind w:left="360"/>
      </w:pPr>
      <w:r>
        <w:t>Home buyers: surprise non-renewal, sticker-shock premiums, FAIR-Plan placement after closing.</w:t>
      </w:r>
    </w:p>
    <w:p>
      <w:pPr>
        <w:pStyle w:val="ListBullet"/>
        <w:spacing w:after="40"/>
        <w:ind w:left="360"/>
      </w:pPr>
      <w:r>
        <w:t>Buyer's &amp; listing agents: deals fall out at the bind step; no diligence tool at the pre-bid stage.</w:t>
      </w:r>
    </w:p>
    <w:p>
      <w:pPr>
        <w:pStyle w:val="ListBullet"/>
        <w:spacing w:after="40"/>
        <w:ind w:left="360"/>
      </w:pPr>
      <w:r>
        <w:t>Mortgage lenders: forced-place insurance, delayed funding, post-funding insurance failures.</w:t>
      </w:r>
    </w:p>
    <w:p>
      <w:pPr>
        <w:pStyle w:val="ListBullet"/>
        <w:spacing w:after="40"/>
        <w:ind w:left="360"/>
      </w:pPr>
      <w:r>
        <w:t>Insurance brokers: thin tooling for cat-exposed personal lines; reactive rather than diligent.</w:t>
      </w:r>
    </w:p>
    <w:p>
      <w:pPr>
        <w:spacing w:after="80"/>
      </w:pPr>
      <w:r>
        <w:rPr>
          <w:b w:val="0"/>
          <w:i w:val="0"/>
          <w:sz w:val="22"/>
        </w:rPr>
        <w:t>Adjacent signals reinforce the urgency: the CA Department of Insurance filed a 398-violation enforcement action against State Farm General on May 4–6, 2026 over LA-wildfire claims handling; Florida residual rates are decreasing for the first time in years (Citizens FL -8.7%, Florida Peninsula -8.2%); and 95% of the $1.63B Q1 2026 insurtech funding flowed to AI-native risk and underwriting platforms.</w:t>
      </w:r>
    </w:p>
    <w:p>
      <w:pPr>
        <w:spacing w:before="360" w:after="80"/>
      </w:pPr>
      <w:r>
        <w:rPr>
          <w:b/>
          <w:color w:val="0B4A6F"/>
          <w:sz w:val="40"/>
        </w:rPr>
        <w:t>3. Product</w:t>
      </w:r>
    </w:p>
    <w:p>
      <w:pPr>
        <w:spacing w:after="80"/>
      </w:pPr>
      <w:r>
        <w:rPr>
          <w:b w:val="0"/>
          <w:i w:val="0"/>
          <w:sz w:val="22"/>
        </w:rPr>
        <w:t>Two portals on one data spine:</w:t>
      </w:r>
    </w:p>
    <w:p>
      <w:pPr>
        <w:pStyle w:val="ListBullet"/>
        <w:spacing w:after="40"/>
        <w:ind w:left="360"/>
      </w:pPr>
      <w:r>
        <w:t>Agent / Team Portal — client management, property comparison, analytics, branded reports, binding-quote requests, AMS sync (Applied Epic, EZLynx — on the roadmap).</w:t>
      </w:r>
    </w:p>
    <w:p>
      <w:pPr>
        <w:pStyle w:val="ListBullet"/>
        <w:spacing w:after="40"/>
        <w:ind w:left="360"/>
      </w:pPr>
      <w:r>
        <w:t>Consumer / Buyer Portal — simplified property search, saved properties, 1–10 insurability score, carrier-availability view, quote requests.</w:t>
      </w:r>
    </w:p>
    <w:p>
      <w:pPr>
        <w:spacing w:after="40"/>
      </w:pPr>
      <w:r>
        <w:rPr>
          <w:b/>
          <w:i w:val="0"/>
          <w:color w:val="0B4A6F"/>
          <w:sz w:val="23"/>
        </w:rPr>
        <w:t>Five product surfaces:</w:t>
      </w:r>
    </w:p>
    <w:p>
      <w:pPr>
        <w:pStyle w:val="ListBullet"/>
        <w:spacing w:after="40"/>
        <w:ind w:left="360"/>
      </w:pPr>
      <w:r>
        <w:t>Risk Profile — flood, fire, wind, earthquake, crime, drought, landslide, social vulnerability.</w:t>
      </w:r>
    </w:p>
    <w:p>
      <w:pPr>
        <w:pStyle w:val="ListBullet"/>
        <w:spacing w:after="40"/>
        <w:ind w:left="360"/>
      </w:pPr>
      <w:r>
        <w:t>Insurance Cost Estimate — premium range backed by carrier-appetite signals.</w:t>
      </w:r>
    </w:p>
    <w:p>
      <w:pPr>
        <w:pStyle w:val="ListBullet"/>
        <w:spacing w:after="40"/>
        <w:ind w:left="360"/>
      </w:pPr>
      <w:r>
        <w:t>Active Carriers — which carriers are writing and binding in that state, ZIP and risk profile.</w:t>
      </w:r>
    </w:p>
    <w:p>
      <w:pPr>
        <w:pStyle w:val="ListBullet"/>
        <w:spacing w:after="40"/>
        <w:ind w:left="360"/>
      </w:pPr>
      <w:r>
        <w:t>Insurability Report — branded white-label PDF (in-flight — see Section 7).</w:t>
      </w:r>
    </w:p>
    <w:p>
      <w:pPr>
        <w:pStyle w:val="ListBullet"/>
        <w:spacing w:after="40"/>
        <w:ind w:left="360"/>
      </w:pPr>
      <w:r>
        <w:t>Carrier-Exit Alerts — VA-01, shipping today; first-in-category for the agent.</w:t>
      </w:r>
    </w:p>
    <w:p>
      <w:pPr>
        <w:spacing w:before="360" w:after="80"/>
      </w:pPr>
      <w:r>
        <w:rPr>
          <w:b/>
          <w:color w:val="0B4A6F"/>
          <w:sz w:val="40"/>
        </w:rPr>
        <w:t>4. Competitive Landscape (May 2026)</w:t>
      </w:r>
    </w:p>
    <w:p>
      <w:pPr>
        <w:spacing w:after="80"/>
      </w:pPr>
      <w:r>
        <w:rPr>
          <w:b w:val="0"/>
          <w:i w:val="0"/>
          <w:sz w:val="22"/>
        </w:rPr>
        <w:t>Four concentric rings of competition. Only the inner ring is truly directly competitive.</w:t>
      </w:r>
    </w:p>
    <w:p>
      <w:pPr>
        <w:spacing w:before="240" w:after="80"/>
      </w:pPr>
      <w:r>
        <w:rPr>
          <w:b/>
          <w:color w:val="1F91BF"/>
          <w:sz w:val="23"/>
        </w:rPr>
        <w:t>4.1 Agent-facing insurability platforms (the new wedge)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Player</w:t>
            </w:r>
          </w:p>
        </w:tc>
        <w:tc>
          <w:tcPr>
            <w:tcW w:type="dxa" w:w="244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4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Where they win</w:t>
            </w:r>
          </w:p>
        </w:tc>
        <w:tc>
          <w:tcPr>
            <w:tcW w:type="dxa" w:w="244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Where we win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Rhino DealShield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Launched Q1 2026, CA-only; multi-state goal end of 2026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Same agent persona, similar pitch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National day one; multi-peril; binding workflow; consumer portal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Matic Insurance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Mature; embedded mortgage / Realtor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Distribution moat (now wider via nCino integration)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Pre-quote risk diligence; agent UX, not white-label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Canopy Connect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Mature; consumer-permissioned intake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Owns intake-sharing wedge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Risk intelligence + new-business binding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CoverForce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Mature; commercial P&amp;C quote/bind API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Commercial bind density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Personal lines + risk-data-first</w:t>
            </w:r>
          </w:p>
        </w:tc>
      </w:tr>
    </w:tbl>
    <w:p>
      <w:pPr>
        <w:spacing w:before="240" w:after="80"/>
      </w:pPr>
      <w:r>
        <w:rPr>
          <w:b/>
          <w:color w:val="1F91BF"/>
          <w:sz w:val="23"/>
        </w:rPr>
        <w:t>4.2 Carrier / underwriter risk-intelligence incumbents</w:t>
      </w:r>
    </w:p>
    <w:p>
      <w:pPr>
        <w:spacing w:after="80"/>
      </w:pPr>
      <w:r>
        <w:rPr>
          <w:b w:val="0"/>
          <w:i w:val="0"/>
          <w:sz w:val="22"/>
        </w:rPr>
        <w:t>ZestyAI (Z-FIRE / Z-PROPERTY / Z-HAIL / Z-STORM, Marsh McLennan partnership Feb 2026), ResiQuant, CAPE Analytics (Moody's), Betterview (Nearmap), Intelligent AI (US launch April 2026), HazardHub (Guidewire), LexisNexis × Cytora (April 2026), Verisk, CoreLogic/Cotality, Moody's RMS, Archipelago. Audience is the carrier; pricing is enterprise; output is a score, not a workflow. Treat as data-source partners, not competitors.</w:t>
      </w:r>
    </w:p>
    <w:p>
      <w:pPr>
        <w:spacing w:before="240" w:after="80"/>
      </w:pPr>
      <w:r>
        <w:rPr>
          <w:b/>
          <w:color w:val="1F91BF"/>
          <w:sz w:val="23"/>
        </w:rPr>
        <w:t>4.3 Consumer climate-risk scores</w:t>
      </w:r>
    </w:p>
    <w:p>
      <w:pPr>
        <w:spacing w:after="80"/>
      </w:pPr>
      <w:r>
        <w:rPr>
          <w:b w:val="0"/>
          <w:i w:val="0"/>
          <w:sz w:val="22"/>
        </w:rPr>
        <w:t>First Street Foundation (Risk Factor — embedded in Realtor.com, Zillow until Dec 2025 removal, RPR), ClimateCheck, Jupiter Intelligence ('Climate Bubble' $389B underpriced-risk report, B2B-only), RealReports / SourceRE. These set the consumer's mental model for 1–10 risk scoring; CoverGuard aligns its scoring UI to that scale and differentiates on insurability ("Risk Factor tells you the climate risk; CoverGuard tells you whether you can insure it").</w:t>
      </w:r>
    </w:p>
    <w:p>
      <w:pPr>
        <w:spacing w:before="240" w:after="80"/>
      </w:pPr>
      <w:r>
        <w:rPr>
          <w:b/>
          <w:color w:val="1F91BF"/>
          <w:sz w:val="23"/>
        </w:rPr>
        <w:t>4.4 DTC carriers, comparators and AMS</w:t>
      </w:r>
    </w:p>
    <w:p>
      <w:pPr>
        <w:spacing w:after="80"/>
      </w:pPr>
      <w:r>
        <w:rPr>
          <w:b w:val="0"/>
          <w:i w:val="0"/>
          <w:sz w:val="22"/>
        </w:rPr>
        <w:t>DTC carriers (Hippo, Kin, Lemonade, Branch, Slide, Swyfft) and comparators (Insurify, The Zebra, NerdWallet, Policygenius) are distribution targets for our quote-request feed, not competitors. Kin's $335M May 2026 cat bond expands their storm-exposed appetite — net-positive for our pipeline. AMS vendors (EZLynx, Applied Epic, HawkSoft, AgencyZoom, Zywave) are integration partners, not competitors.</w:t>
      </w:r>
    </w:p>
    <w:p>
      <w:pPr>
        <w:spacing w:before="240" w:after="80"/>
      </w:pPr>
      <w:r>
        <w:rPr>
          <w:b/>
          <w:color w:val="1F91BF"/>
          <w:sz w:val="23"/>
        </w:rPr>
        <w:t>4.5 What changed in the last 30 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CA State Farm enforcement (May 4-6, 2026)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Spike in 'is my carrier writing?' intent in CA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Openly $123M + $70M (Apr 24, 2026)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More capital chasing the agent channel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Kin $335M cat bond (May 8, 2026)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Adds binding capacity in our highest-signal geographies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Matic × nCino integration deployed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Mortgage-distribution moat widens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RealReports across CRMLS, State-Wide, FMLS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MLS distribution consolidating around a single player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HomeServices Maestro agent OS launch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Another platform layer that could embed insurability tooling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FL rate decreases (Citizens -8.7%)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Reframe FL story from scarcity to shopping</w:t>
            </w:r>
          </w:p>
        </w:tc>
      </w:tr>
    </w:tbl>
    <w:p>
      <w:pPr>
        <w:spacing w:before="360" w:after="80"/>
      </w:pPr>
      <w:r>
        <w:rPr>
          <w:b/>
          <w:color w:val="0B4A6F"/>
          <w:sz w:val="40"/>
        </w:rPr>
        <w:t>5. Differentiation — what only CoverGuard can say</w:t>
      </w:r>
    </w:p>
    <w:p>
      <w:pPr>
        <w:spacing w:after="40"/>
      </w:pPr>
      <w:r>
        <w:rPr>
          <w:b/>
          <w:color w:val="0B4A6F"/>
        </w:rPr>
        <w:t xml:space="preserve">1. All 50 states. Day one.  </w:t>
      </w:r>
      <w:r>
        <w:rPr>
          <w:sz w:val="22"/>
        </w:rPr>
        <w:t>Rhino DealShield is California-only. Matic's marketplace is distribution-led, not insurability-led. CoverGuard runs across all 50 states from launch.</w:t>
      </w:r>
    </w:p>
    <w:p>
      <w:pPr>
        <w:spacing w:after="40"/>
      </w:pPr>
      <w:r>
        <w:rPr>
          <w:b/>
          <w:color w:val="0B4A6F"/>
        </w:rPr>
        <w:t xml:space="preserve">2. Risk + carrier writing-status + binding quote in one workflow.  </w:t>
      </w:r>
      <w:r>
        <w:rPr>
          <w:sz w:val="22"/>
        </w:rPr>
        <w:t>Carrier-side incumbents stop at risk scores. Quote/bind platforms stop at quotes. We bridge them.</w:t>
      </w:r>
    </w:p>
    <w:p>
      <w:pPr>
        <w:spacing w:after="40"/>
      </w:pPr>
      <w:r>
        <w:rPr>
          <w:b/>
          <w:color w:val="0B4A6F"/>
        </w:rPr>
        <w:t xml:space="preserve">3. Two portals, one data spine.  </w:t>
      </w:r>
      <w:r>
        <w:rPr>
          <w:sz w:val="22"/>
        </w:rPr>
        <w:t>No competitor serves both the buyer and the agent on the same data fabric. Buyer's agent on one side, listing agent on the other, the buyer in the middle.</w:t>
      </w:r>
    </w:p>
    <w:p>
      <w:pPr>
        <w:spacing w:after="40"/>
      </w:pPr>
      <w:r>
        <w:rPr>
          <w:b/>
          <w:color w:val="0B4A6F"/>
        </w:rPr>
        <w:t xml:space="preserve">4. Built on 12+ public data sources, not a black-box ML model.  </w:t>
      </w:r>
      <w:r>
        <w:rPr>
          <w:sz w:val="22"/>
        </w:rPr>
        <w:t>FEMA NFHL + OpenFEMA Claims + Cal Fire FHSZ + USFS WUI + USGS Design Maps + NOAA SLOSH + FBI CDE + ASCE 7 + Esri Flood/Wildfire/Hurricane/Drought/SVI/Landslide. Auditable, sourced, free of AI-hallucination risk.</w:t>
      </w:r>
    </w:p>
    <w:p>
      <w:pPr>
        <w:spacing w:after="40"/>
      </w:pPr>
      <w:r>
        <w:rPr>
          <w:b/>
          <w:color w:val="0B4A6F"/>
        </w:rPr>
        <w:t xml:space="preserve">5. Pre-bid insurability, not post-close surprise.  </w:t>
      </w:r>
      <w:r>
        <w:rPr>
          <w:sz w:val="22"/>
        </w:rPr>
        <w:t>We are positioned for the pre-offer / pre-bind window — the highest-leverage moment for the agent and the consumer.</w:t>
      </w:r>
    </w:p>
    <w:p>
      <w:pPr>
        <w:spacing w:after="40"/>
      </w:pPr>
      <w:r>
        <w:rPr>
          <w:b/>
          <w:color w:val="0B4A6F"/>
        </w:rPr>
        <w:t xml:space="preserve">6. Carrier-grade data, agent-grade UX, consumer-grade pricing.  </w:t>
      </w:r>
      <w:r>
        <w:rPr>
          <w:sz w:val="22"/>
        </w:rPr>
        <w:t>Verisk/Cotality-class breadth without enterprise-class friction or cost.</w:t>
      </w:r>
    </w:p>
    <w:p>
      <w:pPr>
        <w:spacing w:before="360" w:after="80"/>
      </w:pPr>
      <w:r>
        <w:rPr>
          <w:b/>
          <w:color w:val="0B4A6F"/>
          <w:sz w:val="40"/>
        </w:rPr>
        <w:t>6. Platform Gaps (CoverGuard backlog, re-prioritized May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3600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518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Why it matters now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Branded white-label Insurability Report PDF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DealShield's hero artifact is their report — we must own the category-defining deliverable.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AMS / CRM integration (Applied Epic, EZLynx, HawkSoft, AgencyZoom)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The agent's center of gravity is the AMS — without us in it, we are a tab they forget to open.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Mobile-responsive parity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DealShield is mobile-first; agents and listing agents work in the field.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Bindable quotes (not just quote-requests)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CoverForce is setting the bar for 'bindable' in commercial; we need the personal-lines equivalent.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Portfolio / book-of-business risk dashboard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Agency principals are the buying decision-maker; this is the C-suite story.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Real-estate partner portal (listing-side)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Closes the two-sided gap DealShield is trying to fill.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Risk-Factor-aligned 1–10 score (consumer hero metric)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Consumers already speak First Street's language — meet them there.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MLS / RealReports / SourceRE distribution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Embed in the MLS report bundle before RealReports ships a competing module.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Climate-adjusted 30-year insurability forecast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First Street's horizon is the consumer's frame; match it and go further (premium trajectory).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Carrier-exit alerting (VA-01, shipped)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Continue to lead — no incumbent has this for the agent persona.</w:t>
            </w:r>
          </w:p>
        </w:tc>
      </w:tr>
    </w:tbl>
    <w:p>
      <w:pPr>
        <w:spacing w:before="360" w:after="80"/>
      </w:pPr>
      <w:r>
        <w:rPr>
          <w:b/>
          <w:color w:val="0B4A6F"/>
          <w:sz w:val="40"/>
        </w:rPr>
        <w:t>7. Opportunities</w:t>
      </w:r>
    </w:p>
    <w:p>
      <w:pPr>
        <w:spacing w:before="240" w:after="80"/>
      </w:pPr>
      <w:r>
        <w:rPr>
          <w:b/>
          <w:color w:val="1F91BF"/>
          <w:sz w:val="23"/>
        </w:rPr>
        <w:t>7.1 Near-term (next 90 days)</w:t>
      </w:r>
    </w:p>
    <w:p>
      <w:pPr>
        <w:pStyle w:val="ListBullet"/>
        <w:spacing w:after="40"/>
        <w:ind w:left="360"/>
      </w:pPr>
      <w:r>
        <w:t>CA State Farm response campaign — 'Is your CA carrier still writing? Check in 30 seconds.' (next 7 days)</w:t>
      </w:r>
    </w:p>
    <w:p>
      <w:pPr>
        <w:pStyle w:val="ListBullet"/>
        <w:spacing w:after="40"/>
        <w:ind w:left="360"/>
      </w:pPr>
      <w:r>
        <w:t>MLS partnership-or-license move with RealReports / SourceRE / State-Wide MLS (next 30 days)</w:t>
      </w:r>
    </w:p>
    <w:p>
      <w:pPr>
        <w:pStyle w:val="ListBullet"/>
        <w:spacing w:after="40"/>
        <w:ind w:left="360"/>
      </w:pPr>
      <w:r>
        <w:t>FL message pivot from scarcity to competitive shopping; 'FL carriers are competing again' (next 14 days)</w:t>
      </w:r>
    </w:p>
    <w:p>
      <w:pPr>
        <w:pStyle w:val="ListBullet"/>
        <w:spacing w:after="40"/>
        <w:ind w:left="360"/>
      </w:pPr>
      <w:r>
        <w:t>Branded white-label Insurability Report PDF as marquee artifact (next 60 days)</w:t>
      </w:r>
    </w:p>
    <w:p>
      <w:pPr>
        <w:pStyle w:val="ListBullet"/>
        <w:spacing w:after="40"/>
        <w:ind w:left="360"/>
      </w:pPr>
      <w:r>
        <w:t>Plant flags in FL / TX / LA / NC / SC ahead of Rhino's stated end-of-2026 multi-state expansion</w:t>
      </w:r>
    </w:p>
    <w:p>
      <w:pPr>
        <w:pStyle w:val="ListBullet"/>
        <w:spacing w:after="40"/>
        <w:ind w:left="360"/>
      </w:pPr>
      <w:r>
        <w:t>Integrate Kin Insurance and Openly into carrier-availability feed (next 30 days)</w:t>
      </w:r>
    </w:p>
    <w:p>
      <w:pPr>
        <w:spacing w:before="240" w:after="80"/>
      </w:pPr>
      <w:r>
        <w:rPr>
          <w:b/>
          <w:color w:val="1F91BF"/>
          <w:sz w:val="23"/>
        </w:rPr>
        <w:t>7.2 Medium-term (3–9 months)</w:t>
      </w:r>
    </w:p>
    <w:p>
      <w:pPr>
        <w:pStyle w:val="ListBullet"/>
        <w:spacing w:after="40"/>
        <w:ind w:left="360"/>
      </w:pPr>
      <w:r>
        <w:t>Data-partner integration with HazardHub / LexisNexis / ZestyAI to neutralize carrier 'but they use X' objections</w:t>
      </w:r>
    </w:p>
    <w:p>
      <w:pPr>
        <w:pStyle w:val="ListBullet"/>
        <w:spacing w:after="40"/>
        <w:ind w:left="360"/>
      </w:pPr>
      <w:r>
        <w:t>Embed in mortgage origination flows (Blend, Qualia, ICE Encompass) on the insurability-diligence vector</w:t>
      </w:r>
    </w:p>
    <w:p>
      <w:pPr>
        <w:pStyle w:val="ListBullet"/>
        <w:spacing w:after="40"/>
        <w:ind w:left="360"/>
      </w:pPr>
      <w:r>
        <w:t>Launch Applied Epic and EZLynx bidirectional AMS sync</w:t>
      </w:r>
    </w:p>
    <w:p>
      <w:pPr>
        <w:pStyle w:val="ListBullet"/>
        <w:spacing w:after="40"/>
        <w:ind w:left="360"/>
      </w:pPr>
      <w:r>
        <w:t>Stand up the portfolio-risk dashboard for agency principals</w:t>
      </w:r>
    </w:p>
    <w:p>
      <w:pPr>
        <w:spacing w:before="240" w:after="80"/>
      </w:pPr>
      <w:r>
        <w:rPr>
          <w:b/>
          <w:color w:val="1F91BF"/>
          <w:sz w:val="23"/>
        </w:rPr>
        <w:t>7.3 Longer-term (9–18 months)</w:t>
      </w:r>
    </w:p>
    <w:p>
      <w:pPr>
        <w:pStyle w:val="ListBullet"/>
        <w:spacing w:after="40"/>
        <w:ind w:left="360"/>
      </w:pPr>
      <w:r>
        <w:t>Climate-adjusted 30-year insurability forecast — go beyond today's snapshot</w:t>
      </w:r>
    </w:p>
    <w:p>
      <w:pPr>
        <w:pStyle w:val="ListBullet"/>
        <w:spacing w:after="40"/>
        <w:ind w:left="360"/>
      </w:pPr>
      <w:r>
        <w:t>API marketplace for inspection vendors, IoT sensor companies, claims-data providers</w:t>
      </w:r>
    </w:p>
    <w:p>
      <w:pPr>
        <w:pStyle w:val="ListBullet"/>
        <w:spacing w:after="40"/>
        <w:ind w:left="360"/>
      </w:pPr>
      <w:r>
        <w:t>Lender edition — sell to mortgage lenders the insurability-diligence layer in pre-funding workflow</w:t>
      </w:r>
    </w:p>
    <w:p>
      <w:pPr>
        <w:spacing w:before="360" w:after="80"/>
      </w:pPr>
      <w:r>
        <w:rPr>
          <w:b/>
          <w:color w:val="0B4A6F"/>
          <w:sz w:val="40"/>
        </w:rPr>
        <w:t>8. Positioning Matrix (refreshed May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316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22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CoverGuard</w:t>
            </w:r>
          </w:p>
        </w:tc>
        <w:tc>
          <w:tcPr>
            <w:tcW w:type="dxa" w:w="122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DealShield</w:t>
            </w:r>
          </w:p>
        </w:tc>
        <w:tc>
          <w:tcPr>
            <w:tcW w:type="dxa" w:w="100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ZestyAI</w:t>
            </w:r>
          </w:p>
        </w:tc>
        <w:tc>
          <w:tcPr>
            <w:tcW w:type="dxa" w:w="122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HazardHub</w:t>
            </w:r>
          </w:p>
        </w:tc>
        <w:tc>
          <w:tcPr>
            <w:tcW w:type="dxa" w:w="1368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First Street</w:t>
            </w:r>
          </w:p>
        </w:tc>
        <w:tc>
          <w:tcPr>
            <w:tcW w:type="dxa" w:w="1224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CoverForce</w:t>
            </w:r>
          </w:p>
        </w:tc>
        <w:tc>
          <w:tcPr>
            <w:tcW w:type="dxa" w:w="1080"/>
            <w:shd w:fill="0B4A6F" w:val="clear"/>
          </w:tcPr>
          <w:p>
            <w:r/>
            <w:r>
              <w:rPr>
                <w:b/>
                <w:color w:val="FFFFFF"/>
                <w:sz w:val="20"/>
              </w:rPr>
              <w:t>Matic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Property risk data depth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Multi-peril (eq/crime/landslide)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Carrier writing-status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Quote-to-bind workflow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Agent UX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Consumer UX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National coverage day one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Cost accessibility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Composite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1368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22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27</w:t>
            </w:r>
          </w:p>
        </w:tc>
      </w:tr>
    </w:tbl>
    <w:p>
      <w:pPr>
        <w:spacing w:before="360" w:after="80"/>
      </w:pPr>
      <w:r>
        <w:rPr>
          <w:b/>
          <w:color w:val="0B4A6F"/>
          <w:sz w:val="40"/>
        </w:rPr>
        <w:t>9. Go-to-market</w:t>
      </w:r>
    </w:p>
    <w:p>
      <w:pPr>
        <w:spacing w:after="40"/>
      </w:pPr>
      <w:r>
        <w:rPr>
          <w:b/>
          <w:i w:val="0"/>
          <w:color w:val="0B4A6F"/>
          <w:sz w:val="23"/>
        </w:rPr>
        <w:t>Hero positioning:</w:t>
      </w:r>
    </w:p>
    <w:p>
      <w:pPr>
        <w:spacing w:after="80"/>
      </w:pPr>
      <w:r>
        <w:rPr>
          <w:b w:val="0"/>
          <w:i/>
          <w:sz w:val="22"/>
        </w:rPr>
        <w:t>"Know whether you can insure it — before you bid. CoverGuard is the only national platform that combines carrier-grade risk data, live carrier-writing status, and binding-quote requests for any U.S. property."</w:t>
      </w:r>
    </w:p>
    <w:p>
      <w:pPr>
        <w:spacing w:after="40"/>
      </w:pPr>
      <w:r>
        <w:rPr>
          <w:b/>
          <w:i w:val="0"/>
          <w:color w:val="0B4A6F"/>
          <w:sz w:val="23"/>
        </w:rPr>
        <w:t>Sub-hero pillars:</w:t>
      </w:r>
    </w:p>
    <w:p>
      <w:pPr>
        <w:pStyle w:val="ListBullet"/>
        <w:spacing w:after="40"/>
        <w:ind w:left="360"/>
      </w:pPr>
      <w:r>
        <w:t>All 50 states, day one. No California-only rollouts. No 'in select markets.'</w:t>
      </w:r>
    </w:p>
    <w:p>
      <w:pPr>
        <w:pStyle w:val="ListBullet"/>
        <w:spacing w:after="40"/>
        <w:ind w:left="360"/>
      </w:pPr>
      <w:r>
        <w:t>12+ public data sources. Sourced, auditable, no black-box.</w:t>
      </w:r>
    </w:p>
    <w:p>
      <w:pPr>
        <w:pStyle w:val="ListBullet"/>
        <w:spacing w:after="40"/>
        <w:ind w:left="360"/>
      </w:pPr>
      <w:r>
        <w:t>Two portals, one data spine. Buyer's agent, listing agent, buyer — same property record.</w:t>
      </w:r>
    </w:p>
    <w:p>
      <w:pPr>
        <w:pStyle w:val="ListBullet"/>
        <w:spacing w:after="40"/>
        <w:ind w:left="360"/>
      </w:pPr>
      <w:r>
        <w:t>Pre-bid, not post-close. We surface insurability before the offer goes in.</w:t>
      </w:r>
    </w:p>
    <w:p>
      <w:pPr>
        <w:spacing w:after="40"/>
      </w:pPr>
      <w:r>
        <w:rPr>
          <w:b/>
          <w:i w:val="0"/>
          <w:color w:val="0B4A6F"/>
          <w:sz w:val="23"/>
        </w:rPr>
        <w:t>Comparative (B2B page only):</w:t>
      </w:r>
    </w:p>
    <w:p>
      <w:pPr>
        <w:spacing w:after="80"/>
      </w:pPr>
      <w:r>
        <w:rPr>
          <w:b w:val="0"/>
          <w:i/>
          <w:sz w:val="22"/>
        </w:rPr>
        <w:t>"Rhino DealShield works in California. ZestyAI works for carriers. CoverGuard works everywhere, for everyone in the transaction."</w:t>
      </w:r>
    </w:p>
    <w:p>
      <w:pPr>
        <w:spacing w:before="360" w:after="80"/>
      </w:pPr>
      <w:r>
        <w:rPr>
          <w:b/>
          <w:color w:val="0B4A6F"/>
          <w:sz w:val="40"/>
        </w:rPr>
        <w:t>10. Financials &amp; Milestones (placeholder — to be filled by Finance)</w:t>
      </w:r>
    </w:p>
    <w:p>
      <w:pPr>
        <w:spacing w:after="80"/>
      </w:pPr>
      <w:r>
        <w:rPr>
          <w:b w:val="0"/>
          <w:i/>
          <w:color w:val="4B5563"/>
          <w:sz w:val="22"/>
        </w:rPr>
        <w:t>This refresh focuses on competitive positioning. Financials, headcount, and operating-plan revisions will be merged from Finance's standing 2026 plan without modification in this version. See companion model at /finance/2026-operating-model.xlsx.</w:t>
      </w:r>
    </w:p>
    <w:p>
      <w:pPr>
        <w:spacing w:before="360" w:after="80"/>
      </w:pPr>
      <w:r>
        <w:rPr>
          <w:b/>
          <w:color w:val="0B4A6F"/>
          <w:sz w:val="40"/>
        </w:rPr>
        <w:t>11. Risks</w:t>
      </w:r>
    </w:p>
    <w:p>
      <w:pPr>
        <w:spacing w:after="80"/>
      </w:pPr>
      <w:r>
        <w:rPr>
          <w:b/>
          <w:color w:val="111827"/>
        </w:rPr>
        <w:t xml:space="preserve">RealReports adds an insurability module first. </w:t>
      </w:r>
      <w:r>
        <w:t>MITIGATION: open partnership talks within 30 days; consider licensing CoverGuard's API into RealReports as a hedge.</w:t>
      </w:r>
    </w:p>
    <w:p>
      <w:pPr>
        <w:spacing w:after="80"/>
      </w:pPr>
      <w:r>
        <w:rPr>
          <w:b/>
          <w:color w:val="111827"/>
        </w:rPr>
        <w:t xml:space="preserve">Rhino DealShield raises a Series B and expands to FL/TX before us. </w:t>
      </w:r>
      <w:r>
        <w:t>MITIGATION: accelerate the FL/TX/LA/NC/SC flag-planting plan; lead with national-coverage messaging.</w:t>
      </w:r>
    </w:p>
    <w:p>
      <w:pPr>
        <w:spacing w:after="80"/>
      </w:pPr>
      <w:r>
        <w:rPr>
          <w:b/>
          <w:color w:val="111827"/>
        </w:rPr>
        <w:t xml:space="preserve">Matic × nCino displaces us in the mortgage funnel. </w:t>
      </w:r>
      <w:r>
        <w:t>MITIGATION: focus on pre-offer (agent/MLS) wedge where Matic is weakest.</w:t>
      </w:r>
    </w:p>
    <w:p>
      <w:pPr>
        <w:spacing w:after="80"/>
      </w:pPr>
      <w:r>
        <w:rPr>
          <w:b/>
          <w:color w:val="111827"/>
        </w:rPr>
        <w:t xml:space="preserve">Carrier-availability data quality slips. </w:t>
      </w:r>
      <w:r>
        <w:t>MITIGATION: invest in carrier-feed redundancy (Kin, Openly, FAIR Plan) and weekly QA.</w:t>
      </w:r>
    </w:p>
    <w:p>
      <w:pPr>
        <w:spacing w:after="80"/>
      </w:pPr>
      <w:r>
        <w:rPr>
          <w:b/>
          <w:color w:val="111827"/>
        </w:rPr>
        <w:t xml:space="preserve">CA regulatory turbulence (State Farm enforcement) cascades to platform liability. </w:t>
      </w:r>
      <w:r>
        <w:t>MITIGATION: legal review of disclosures and 'not insurance advice' framing across product surfaces.</w:t>
      </w:r>
    </w:p>
    <w:p>
      <w:pPr>
        <w:spacing w:before="360" w:after="80"/>
      </w:pPr>
      <w:r>
        <w:rPr>
          <w:b/>
          <w:color w:val="0B4A6F"/>
          <w:sz w:val="40"/>
        </w:rPr>
        <w:t>12. Appendix — Sources</w:t>
      </w:r>
    </w:p>
    <w:p>
      <w:pPr>
        <w:pStyle w:val="ListBullet"/>
        <w:spacing w:after="40"/>
        <w:ind w:left="360"/>
      </w:pPr>
      <w:r>
        <w:t>docs/competitive-scrub-2026-05-04.md (prior baseline)</w:t>
      </w:r>
    </w:p>
    <w:p>
      <w:pPr>
        <w:pStyle w:val="ListBullet"/>
        <w:spacing w:after="40"/>
        <w:ind w:left="360"/>
      </w:pPr>
      <w:r>
        <w:t>docs/competitive-scrub-2026-05-13.md (this refresh)</w:t>
      </w:r>
    </w:p>
    <w:p>
      <w:pPr>
        <w:pStyle w:val="ListBullet"/>
        <w:spacing w:after="40"/>
        <w:ind w:left="360"/>
      </w:pPr>
      <w:r>
        <w:t>gov.ca.gov — Newsom carrier warning, May 4 2026</w:t>
      </w:r>
    </w:p>
    <w:p>
      <w:pPr>
        <w:pStyle w:val="ListBullet"/>
        <w:spacing w:after="40"/>
        <w:ind w:left="360"/>
      </w:pPr>
      <w:r>
        <w:t>insurance.ca.gov — CDI Press Release 019-2026</w:t>
      </w:r>
    </w:p>
    <w:p>
      <w:pPr>
        <w:pStyle w:val="ListBullet"/>
        <w:spacing w:after="40"/>
        <w:ind w:left="360"/>
      </w:pPr>
      <w:r>
        <w:t>fintech.global — Openly $123M + $70M (Apr 24 2026); Kin $335M cat bond (May 8 2026); Matic × nCino</w:t>
      </w:r>
    </w:p>
    <w:p>
      <w:pPr>
        <w:pStyle w:val="ListBullet"/>
        <w:spacing w:after="40"/>
        <w:ind w:left="360"/>
      </w:pPr>
      <w:r>
        <w:t>housingwire.com — Rhino DealShield CA-only; HomeServices Maestro launch</w:t>
      </w:r>
    </w:p>
    <w:p>
      <w:pPr>
        <w:pStyle w:val="ListBullet"/>
        <w:spacing w:after="40"/>
        <w:ind w:left="360"/>
      </w:pPr>
      <w:r>
        <w:t>realestatenews.com, vendoralley.com — RealReports CRMLS / State-Wide MLS / FMLS</w:t>
      </w:r>
    </w:p>
    <w:p>
      <w:pPr>
        <w:pStyle w:val="ListBullet"/>
        <w:spacing w:after="40"/>
        <w:ind w:left="360"/>
      </w:pPr>
      <w:r>
        <w:t>insurancebusinessmag.com — US property market outlook 2026 (FL rate decreases)</w:t>
      </w:r>
    </w:p>
    <w:p>
      <w:pPr>
        <w:pStyle w:val="ListBullet"/>
        <w:spacing w:after="40"/>
        <w:ind w:left="360"/>
      </w:pPr>
      <w:r>
        <w:t>jupiterintel.com — 'Climate Bubble' $389B report</w:t>
      </w:r>
    </w:p>
    <w:p>
      <w:pPr>
        <w:pStyle w:val="ListBullet"/>
        <w:spacing w:after="40"/>
        <w:ind w:left="360"/>
      </w:pPr>
      <w:r>
        <w:t>insnerds.com / dig-in.com — Q1 2026 insurtech funding $1.63B (95% AI)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