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0" w:hanging="270"/>
        <w:rPr>
          <w:rFonts w:ascii="Nunito" w:cs="Nunito" w:eastAsia="Nunito" w:hAnsi="Nunito"/>
          <w:b w:val="1"/>
          <w:color w:val="24292e"/>
          <w:sz w:val="34"/>
          <w:szCs w:val="34"/>
        </w:rPr>
      </w:pPr>
      <w:bookmarkStart w:colFirst="0" w:colLast="0" w:name="_4oex894dbrrz" w:id="0"/>
      <w:bookmarkEnd w:id="0"/>
      <w:r w:rsidDel="00000000" w:rsidR="00000000" w:rsidRPr="00000000">
        <w:rPr>
          <w:rFonts w:ascii="Nunito" w:cs="Nunito" w:eastAsia="Nunito" w:hAnsi="Nunito"/>
          <w:b w:val="1"/>
          <w:color w:val="24292e"/>
          <w:sz w:val="34"/>
          <w:szCs w:val="34"/>
          <w:rtl w:val="0"/>
        </w:rPr>
        <w:t xml:space="preserve">Protocol Coverage Proposal for: PROTOCOL_NAME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This is a proposal being submitted to </w:t>
      </w: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Cover Protocol</w:t>
      </w: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 for the holders of </w:t>
      </w: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$COVER</w:t>
      </w: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 to decide if </w:t>
      </w: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highlight w:val="yellow"/>
          <w:rtl w:val="0"/>
        </w:rPr>
        <w:t xml:space="preserve">PROTOCOL_NAME</w:t>
      </w: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 should be a supported coverage offering on Cover Protocol.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rFonts w:ascii="Nunito" w:cs="Nunito" w:eastAsia="Nunito" w:hAnsi="Nunito"/>
          <w:b w:val="1"/>
          <w:color w:val="24292e"/>
          <w:sz w:val="34"/>
          <w:szCs w:val="34"/>
        </w:rPr>
      </w:pPr>
      <w:bookmarkStart w:colFirst="0" w:colLast="0" w:name="_9zcy8x9aihma" w:id="1"/>
      <w:bookmarkEnd w:id="1"/>
      <w:r w:rsidDel="00000000" w:rsidR="00000000" w:rsidRPr="00000000">
        <w:rPr>
          <w:rFonts w:ascii="Nunito" w:cs="Nunito" w:eastAsia="Nunito" w:hAnsi="Nunito"/>
          <w:b w:val="1"/>
          <w:color w:val="24292e"/>
          <w:sz w:val="34"/>
          <w:szCs w:val="34"/>
          <w:rtl w:val="0"/>
        </w:rPr>
        <w:t xml:space="preserve">Protocol summary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A short (~200 word) description of the protocol this proposal is for.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rFonts w:ascii="Nunito" w:cs="Nunito" w:eastAsia="Nunito" w:hAnsi="Nunito"/>
          <w:b w:val="1"/>
          <w:color w:val="24292e"/>
          <w:sz w:val="34"/>
          <w:szCs w:val="34"/>
        </w:rPr>
      </w:pPr>
      <w:bookmarkStart w:colFirst="0" w:colLast="0" w:name="_5jclrui6svv3" w:id="2"/>
      <w:bookmarkEnd w:id="2"/>
      <w:r w:rsidDel="00000000" w:rsidR="00000000" w:rsidRPr="00000000">
        <w:rPr>
          <w:rFonts w:ascii="Nunito" w:cs="Nunito" w:eastAsia="Nunito" w:hAnsi="Nunito"/>
          <w:b w:val="1"/>
          <w:color w:val="24292e"/>
          <w:sz w:val="34"/>
          <w:szCs w:val="34"/>
          <w:rtl w:val="0"/>
        </w:rPr>
        <w:t xml:space="preserve">Protocol usage, volume, and TVL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Explain how users use your protocol, where the funds would be at risk and where the coverage is specifically desired.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Protocol age: X months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Protocol TVL: $$$$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Collaterals in protocol: DAI, ETH, BTC, etc…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rFonts w:ascii="Nunito" w:cs="Nunito" w:eastAsia="Nunito" w:hAnsi="Nunito"/>
          <w:b w:val="1"/>
          <w:color w:val="24292e"/>
          <w:sz w:val="34"/>
          <w:szCs w:val="34"/>
        </w:rPr>
      </w:pPr>
      <w:bookmarkStart w:colFirst="0" w:colLast="0" w:name="_9tb08xqxv6xh" w:id="3"/>
      <w:bookmarkEnd w:id="3"/>
      <w:r w:rsidDel="00000000" w:rsidR="00000000" w:rsidRPr="00000000">
        <w:rPr>
          <w:rFonts w:ascii="Nunito" w:cs="Nunito" w:eastAsia="Nunito" w:hAnsi="Nunito"/>
          <w:b w:val="1"/>
          <w:color w:val="24292e"/>
          <w:sz w:val="34"/>
          <w:szCs w:val="34"/>
          <w:rtl w:val="0"/>
        </w:rPr>
        <w:t xml:space="preserve">Protocol security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Detail the risks and organization of your protocol. Please attach a link to </w:t>
      </w: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u w:val="single"/>
          <w:rtl w:val="0"/>
        </w:rPr>
        <w:t xml:space="preserve">audits</w:t>
      </w: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 if they have been received.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Explain where the risks of your users are mainly concerned. Including who has control (multi-sigs, DAOs, etc.) and what is capable from the entity capable of control/modification. This is where your users should be convinced that coverage is valuable for them and the protocol.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Preferably list out possible incidents that can occur and that the team of </w:t>
      </w: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highlight w:val="yellow"/>
          <w:rtl w:val="0"/>
        </w:rPr>
        <w:t xml:space="preserve">PROTOCOL_NAME </w:t>
      </w: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would like coverage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rFonts w:ascii="Nunito" w:cs="Nunito" w:eastAsia="Nunito" w:hAnsi="Nunito"/>
          <w:b w:val="1"/>
          <w:color w:val="24292e"/>
          <w:sz w:val="34"/>
          <w:szCs w:val="34"/>
        </w:rPr>
      </w:pPr>
      <w:bookmarkStart w:colFirst="0" w:colLast="0" w:name="_f366e9nxnz9c" w:id="4"/>
      <w:bookmarkEnd w:id="4"/>
      <w:r w:rsidDel="00000000" w:rsidR="00000000" w:rsidRPr="00000000">
        <w:rPr>
          <w:rFonts w:ascii="Nunito" w:cs="Nunito" w:eastAsia="Nunito" w:hAnsi="Nunito"/>
          <w:b w:val="1"/>
          <w:color w:val="24292e"/>
          <w:sz w:val="34"/>
          <w:szCs w:val="34"/>
          <w:rtl w:val="0"/>
        </w:rPr>
        <w:t xml:space="preserve">Planned execution of coverage to provide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Will you become a Market Maker or Coverage Provider?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yellow"/>
          <w:rtl w:val="0"/>
        </w:rPr>
        <w:t xml:space="preserve">Recommendation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using the majority of the fund to be a Market Maker to allow users to have access to liquidity. Then, using the rest of the fund to be a CP to decrease the cost of the coverage, aka CLAIM tokens.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How much in funds will be provided as coverage for the Protocol?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Total amount minted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X amount of CLAIM tokens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X amount of NOCLAIM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Will you be able to work with Cover Protocol to initiate the coverage for your protocol?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 the first cover in Cover Protocol for your Protocol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 balancer pools for both CLAIM and NOCLAIM tokens</w:t>
      </w:r>
    </w:p>
    <w:p w:rsidR="00000000" w:rsidDel="00000000" w:rsidP="00000000" w:rsidRDefault="00000000" w:rsidRPr="00000000" w14:paraId="00000018">
      <w:pPr>
        <w:ind w:left="0" w:firstLine="0"/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rFonts w:ascii="Nunito" w:cs="Nunito" w:eastAsia="Nunito" w:hAnsi="Nunito"/>
          <w:b w:val="1"/>
          <w:color w:val="24292e"/>
          <w:sz w:val="34"/>
          <w:szCs w:val="34"/>
        </w:rPr>
      </w:pPr>
      <w:bookmarkStart w:colFirst="0" w:colLast="0" w:name="_acuheu3ue3z8" w:id="5"/>
      <w:bookmarkEnd w:id="5"/>
      <w:r w:rsidDel="00000000" w:rsidR="00000000" w:rsidRPr="00000000">
        <w:rPr>
          <w:rFonts w:ascii="Nunito" w:cs="Nunito" w:eastAsia="Nunito" w:hAnsi="Nunito"/>
          <w:b w:val="1"/>
          <w:color w:val="24292e"/>
          <w:sz w:val="34"/>
          <w:szCs w:val="34"/>
          <w:rtl w:val="0"/>
        </w:rPr>
        <w:t xml:space="preserve">Copyright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color w:val="24292e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Copyright and related rights waived via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rtl w:val="0"/>
          </w:rPr>
          <w:t xml:space="preserve">CC0</w:t>
        </w:r>
      </w:hyperlink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Please fill out all applicable fields and send the application to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contact@coverprotocol.com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publicdomain/zero/1.0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contact@coverprotoc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