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Calibri" w:cs="Calibri" w:eastAsia="Calibri" w:hAnsi="Calibri"/>
          <w:b/>
          <w:bCs/>
          <w:color w:val="1F3864"/>
          <w:sz w:val="34"/>
          <w:szCs w:val="34"/>
        </w:rPr>
        <w:t xml:space="preserve">Unified Operational Data Store</w:t>
      </w:r>
    </w:p>
    <w:p>
      <w:pPr>
        <w:spacing w:after="40"/>
      </w:pPr>
      <w:r>
        <w:rPr>
          <w:rFonts w:ascii="Calibri" w:cs="Calibri" w:eastAsia="Calibri" w:hAnsi="Calibri"/>
          <w:color w:val="2E2E2E"/>
          <w:sz w:val="24"/>
          <w:szCs w:val="24"/>
        </w:rPr>
        <w:t xml:space="preserve">Reference Volumetrics and Sizing Annex</w:t>
      </w:r>
    </w:p>
    <w:p>
      <w:pPr>
        <w:pBdr>
          <w:bottom w:val="single" w:color="1F3864" w:sz="6"/>
        </w:pBdr>
        <w:spacing w:after="110"/>
      </w:pPr>
      <w:r>
        <w:rPr>
          <w:rFonts w:ascii="Calibri" w:cs="Calibri" w:eastAsia="Calibri" w:hAnsi="Calibri"/>
          <w:color w:val="595959"/>
          <w:sz w:val="16"/>
          <w:szCs w:val="16"/>
        </w:rPr>
        <w:t xml:space="preserve">Global Payments · Enterprise Data Platform · August 2026 · Annex to Evaluation Criteria v2.1 · Issued identically to all vendors · Commercially confidential, under NDA</w:t>
      </w:r>
    </w:p>
    <w:p>
      <w:pPr>
        <w:pStyle w:val="Heading1"/>
        <w:spacing w:after="55" w:before="110"/>
      </w:pPr>
      <w:r>
        <w:rPr>
          <w:rFonts w:ascii="Calibri" w:cs="Calibri" w:eastAsia="Calibri" w:hAnsi="Calibri"/>
          <w:b/>
          <w:bCs/>
          <w:color w:val="1F3864"/>
          <w:sz w:val="23"/>
          <w:szCs w:val="23"/>
        </w:rPr>
        <w:t xml:space="preserve">1.  Purpose and basis</w:t>
      </w:r>
    </w:p>
    <w:p>
      <w:pPr>
        <w:spacing w:after="110" w:line="236" w:lineRule="auto"/>
      </w:pPr>
      <w:r>
        <w:rPr>
          <w:rFonts w:ascii="Calibri" w:cs="Calibri" w:eastAsia="Calibri" w:hAnsi="Calibri"/>
          <w:b w:val="false"/>
          <w:bCs w:val="false"/>
          <w:i w:val="false"/>
          <w:iCs w:val="false"/>
          <w:color w:val="000000"/>
          <w:sz w:val="19"/>
          <w:szCs w:val="19"/>
        </w:rPr>
        <w:t xml:space="preserve">This annex answers vendor sizing enquiries on expected message sizes, write throughput, and storage. It is issued identically to every vendor and is the common basis for benchmark responses (criteria group A) and the three-year total cost of ownership (criteria group M). The figures are production measurements of one regional estate for September 2025, taken from the analytical platform and extrapolated across the remaining estates using stated internal assumptions. They are planning references for sizing and pricing, not contractual caps; final volumetrics are confirmed at vendor briefing.</w:t>
      </w:r>
    </w:p>
    <w:p>
      <w:pPr>
        <w:pStyle w:val="Heading1"/>
        <w:spacing w:after="55" w:before="110"/>
      </w:pPr>
      <w:r>
        <w:rPr>
          <w:rFonts w:ascii="Calibri" w:cs="Calibri" w:eastAsia="Calibri" w:hAnsi="Calibri"/>
          <w:b/>
          <w:bCs/>
          <w:color w:val="1F3864"/>
          <w:sz w:val="23"/>
          <w:szCs w:val="23"/>
        </w:rPr>
        <w:t xml:space="preserve">2.  Initial reference workload</w:t>
      </w:r>
    </w:p>
    <w:tbl>
      <w:tblPr>
        <w:tblW w:type="dxa" w:w="10200"/>
        <w:tblBorders>
          <w:top w:val="single" w:color="BFBFBF" w:sz="2"/>
          <w:left w:val="single" w:color="BFBFBF" w:sz="2"/>
          <w:bottom w:val="single" w:color="BFBFBF" w:sz="2"/>
          <w:right w:val="single" w:color="BFBFBF" w:sz="2"/>
          <w:insideH w:val="single" w:color="BFBFBF" w:sz="2"/>
          <w:insideV w:val="single" w:color="BFBFBF" w:sz="2"/>
        </w:tblBorders>
      </w:tblPr>
      <w:tblGrid>
        <w:gridCol w:w="3350"/>
        <w:gridCol w:w="1750"/>
        <w:gridCol w:w="1650"/>
        <w:gridCol w:w="1800"/>
        <w:gridCol w:w="1650"/>
      </w:tblGrid>
      <w:tr>
        <w:tc>
          <w:tcPr>
            <w:tcW w:type="dxa" w:w="3350"/>
            <w:shd w:fill="1F3864" w:color="auto" w:val="clear"/>
            <w:tcMar>
              <w:top w:type="dxa" w:w="26"/>
              <w:left w:type="dxa" w:w="80"/>
              <w:bottom w:type="dxa" w:w="26"/>
              <w:right w:type="dxa" w:w="80"/>
            </w:tcMar>
            <w:vAlign w:val="center"/>
          </w:tcPr>
          <w:p>
            <w:pPr>
              <w:spacing w:after="0"/>
            </w:pPr>
            <w:r>
              <w:rPr>
                <w:rFonts w:ascii="Calibri" w:cs="Calibri" w:eastAsia="Calibri" w:hAnsi="Calibri"/>
                <w:b/>
                <w:bCs/>
                <w:color w:val="FFFFFF"/>
                <w:sz w:val="18"/>
                <w:szCs w:val="18"/>
              </w:rPr>
              <w:t xml:space="preserve">Stream (initial scope)</w:t>
            </w:r>
          </w:p>
        </w:tc>
        <w:tc>
          <w:tcPr>
            <w:tcW w:type="dxa" w:w="1750"/>
            <w:shd w:fill="1F3864" w:color="auto" w:val="clear"/>
            <w:tcMar>
              <w:top w:type="dxa" w:w="26"/>
              <w:left w:type="dxa" w:w="80"/>
              <w:bottom w:type="dxa" w:w="26"/>
              <w:right w:type="dxa" w:w="80"/>
            </w:tcMar>
            <w:vAlign w:val="center"/>
          </w:tcPr>
          <w:p>
            <w:pPr>
              <w:spacing w:after="0"/>
            </w:pPr>
            <w:r>
              <w:rPr>
                <w:rFonts w:ascii="Calibri" w:cs="Calibri" w:eastAsia="Calibri" w:hAnsi="Calibri"/>
                <w:b/>
                <w:bCs/>
                <w:color w:val="FFFFFF"/>
                <w:sz w:val="18"/>
                <w:szCs w:val="18"/>
              </w:rPr>
              <w:t xml:space="preserve">Events / day</w:t>
            </w:r>
          </w:p>
        </w:tc>
        <w:tc>
          <w:tcPr>
            <w:tcW w:type="dxa" w:w="1650"/>
            <w:shd w:fill="1F3864" w:color="auto" w:val="clear"/>
            <w:tcMar>
              <w:top w:type="dxa" w:w="26"/>
              <w:left w:type="dxa" w:w="80"/>
              <w:bottom w:type="dxa" w:w="26"/>
              <w:right w:type="dxa" w:w="80"/>
            </w:tcMar>
            <w:vAlign w:val="center"/>
          </w:tcPr>
          <w:p>
            <w:pPr>
              <w:spacing w:after="0"/>
            </w:pPr>
            <w:r>
              <w:rPr>
                <w:rFonts w:ascii="Calibri" w:cs="Calibri" w:eastAsia="Calibri" w:hAnsi="Calibri"/>
                <w:b/>
                <w:bCs/>
                <w:color w:val="FFFFFF"/>
                <w:sz w:val="18"/>
                <w:szCs w:val="18"/>
              </w:rPr>
              <w:t xml:space="preserve">Avg size</w:t>
            </w:r>
          </w:p>
        </w:tc>
        <w:tc>
          <w:tcPr>
            <w:tcW w:type="dxa" w:w="1800"/>
            <w:shd w:fill="1F3864" w:color="auto" w:val="clear"/>
            <w:tcMar>
              <w:top w:type="dxa" w:w="26"/>
              <w:left w:type="dxa" w:w="80"/>
              <w:bottom w:type="dxa" w:w="26"/>
              <w:right w:type="dxa" w:w="80"/>
            </w:tcMar>
            <w:vAlign w:val="center"/>
          </w:tcPr>
          <w:p>
            <w:pPr>
              <w:spacing w:after="0"/>
            </w:pPr>
            <w:r>
              <w:rPr>
                <w:rFonts w:ascii="Calibri" w:cs="Calibri" w:eastAsia="Calibri" w:hAnsi="Calibri"/>
                <w:b/>
                <w:bCs/>
                <w:color w:val="FFFFFF"/>
                <w:sz w:val="18"/>
                <w:szCs w:val="18"/>
              </w:rPr>
              <w:t xml:space="preserve">Sustained events/s</w:t>
            </w:r>
          </w:p>
        </w:tc>
        <w:tc>
          <w:tcPr>
            <w:tcW w:type="dxa" w:w="1650"/>
            <w:shd w:fill="1F3864" w:color="auto" w:val="clear"/>
            <w:tcMar>
              <w:top w:type="dxa" w:w="26"/>
              <w:left w:type="dxa" w:w="80"/>
              <w:bottom w:type="dxa" w:w="26"/>
              <w:right w:type="dxa" w:w="80"/>
            </w:tcMar>
            <w:vAlign w:val="center"/>
          </w:tcPr>
          <w:p>
            <w:pPr>
              <w:spacing w:after="0"/>
            </w:pPr>
            <w:r>
              <w:rPr>
                <w:rFonts w:ascii="Calibri" w:cs="Calibri" w:eastAsia="Calibri" w:hAnsi="Calibri"/>
                <w:b/>
                <w:bCs/>
                <w:color w:val="FFFFFF"/>
                <w:sz w:val="18"/>
                <w:szCs w:val="18"/>
              </w:rPr>
              <w:t xml:space="preserve">14-day hot</w:t>
            </w:r>
          </w:p>
        </w:tc>
      </w:tr>
      <w:tr>
        <w:tc>
          <w:tcPr>
            <w:tcW w:type="dxa" w:w="3350"/>
            <w:tcMar>
              <w:top w:type="dxa" w:w="26"/>
              <w:left w:type="dxa" w:w="80"/>
              <w:bottom w:type="dxa" w:w="26"/>
              <w:right w:type="dxa" w:w="80"/>
            </w:tcMar>
            <w:vAlign w:val="center"/>
          </w:tcPr>
          <w:p>
            <w:pPr>
              <w:spacing w:after="0"/>
            </w:pPr>
            <w:r>
              <w:rPr>
                <w:rFonts w:ascii="Calibri" w:cs="Calibri" w:eastAsia="Calibri" w:hAnsi="Calibri"/>
                <w:b w:val="false"/>
                <w:bCs w:val="false"/>
                <w:sz w:val="18"/>
                <w:szCs w:val="18"/>
              </w:rPr>
              <w:t xml:space="preserve">Authorization events</w:t>
            </w:r>
          </w:p>
        </w:tc>
        <w:tc>
          <w:tcPr>
            <w:tcW w:type="dxa" w:w="1750"/>
            <w:tcMar>
              <w:top w:type="dxa" w:w="26"/>
              <w:left w:type="dxa" w:w="80"/>
              <w:bottom w:type="dxa" w:w="26"/>
              <w:right w:type="dxa" w:w="80"/>
            </w:tcMar>
            <w:vAlign w:val="center"/>
          </w:tcPr>
          <w:p>
            <w:pPr>
              <w:spacing w:after="0"/>
            </w:pPr>
            <w:r>
              <w:rPr>
                <w:rFonts w:ascii="Calibri" w:cs="Calibri" w:eastAsia="Calibri" w:hAnsi="Calibri"/>
                <w:b w:val="false"/>
                <w:bCs w:val="false"/>
                <w:sz w:val="18"/>
                <w:szCs w:val="18"/>
              </w:rPr>
              <w:t xml:space="preserve">~122 M</w:t>
            </w:r>
          </w:p>
        </w:tc>
        <w:tc>
          <w:tcPr>
            <w:tcW w:type="dxa" w:w="1650"/>
            <w:tcMar>
              <w:top w:type="dxa" w:w="26"/>
              <w:left w:type="dxa" w:w="80"/>
              <w:bottom w:type="dxa" w:w="26"/>
              <w:right w:type="dxa" w:w="80"/>
            </w:tcMar>
            <w:vAlign w:val="center"/>
          </w:tcPr>
          <w:p>
            <w:pPr>
              <w:spacing w:after="0"/>
            </w:pPr>
            <w:r>
              <w:rPr>
                <w:rFonts w:ascii="Calibri" w:cs="Calibri" w:eastAsia="Calibri" w:hAnsi="Calibri"/>
                <w:b w:val="false"/>
                <w:bCs w:val="false"/>
                <w:sz w:val="18"/>
                <w:szCs w:val="18"/>
              </w:rPr>
              <w:t xml:space="preserve">~2 KB</w:t>
            </w:r>
          </w:p>
        </w:tc>
        <w:tc>
          <w:tcPr>
            <w:tcW w:type="dxa" w:w="1800"/>
            <w:tcMar>
              <w:top w:type="dxa" w:w="26"/>
              <w:left w:type="dxa" w:w="80"/>
              <w:bottom w:type="dxa" w:w="26"/>
              <w:right w:type="dxa" w:w="80"/>
            </w:tcMar>
            <w:vAlign w:val="center"/>
          </w:tcPr>
          <w:p>
            <w:pPr>
              <w:spacing w:after="0"/>
            </w:pPr>
            <w:r>
              <w:rPr>
                <w:rFonts w:ascii="Calibri" w:cs="Calibri" w:eastAsia="Calibri" w:hAnsi="Calibri"/>
                <w:b w:val="false"/>
                <w:bCs w:val="false"/>
                <w:sz w:val="18"/>
                <w:szCs w:val="18"/>
              </w:rPr>
              <w:t xml:space="preserve">~1,400</w:t>
            </w:r>
          </w:p>
        </w:tc>
        <w:tc>
          <w:tcPr>
            <w:tcW w:type="dxa" w:w="1650"/>
            <w:tcMar>
              <w:top w:type="dxa" w:w="26"/>
              <w:left w:type="dxa" w:w="80"/>
              <w:bottom w:type="dxa" w:w="26"/>
              <w:right w:type="dxa" w:w="80"/>
            </w:tcMar>
            <w:vAlign w:val="center"/>
          </w:tcPr>
          <w:p>
            <w:pPr>
              <w:spacing w:after="0"/>
            </w:pPr>
            <w:r>
              <w:rPr>
                <w:rFonts w:ascii="Calibri" w:cs="Calibri" w:eastAsia="Calibri" w:hAnsi="Calibri"/>
                <w:b w:val="false"/>
                <w:bCs w:val="false"/>
                <w:sz w:val="18"/>
                <w:szCs w:val="18"/>
              </w:rPr>
              <w:t xml:space="preserve">~3.2 TB</w:t>
            </w:r>
          </w:p>
        </w:tc>
      </w:tr>
      <w:tr>
        <w:tc>
          <w:tcPr>
            <w:tcW w:type="dxa" w:w="3350"/>
            <w:tcMar>
              <w:top w:type="dxa" w:w="26"/>
              <w:left w:type="dxa" w:w="80"/>
              <w:bottom w:type="dxa" w:w="26"/>
              <w:right w:type="dxa" w:w="80"/>
            </w:tcMar>
            <w:vAlign w:val="center"/>
          </w:tcPr>
          <w:p>
            <w:pPr>
              <w:spacing w:after="0"/>
            </w:pPr>
            <w:r>
              <w:rPr>
                <w:rFonts w:ascii="Calibri" w:cs="Calibri" w:eastAsia="Calibri" w:hAnsi="Calibri"/>
                <w:b w:val="false"/>
                <w:bCs w:val="false"/>
                <w:sz w:val="18"/>
                <w:szCs w:val="18"/>
              </w:rPr>
              <w:t xml:space="preserve">Authorization addendum</w:t>
            </w:r>
          </w:p>
        </w:tc>
        <w:tc>
          <w:tcPr>
            <w:tcW w:type="dxa" w:w="1750"/>
            <w:tcMar>
              <w:top w:type="dxa" w:w="26"/>
              <w:left w:type="dxa" w:w="80"/>
              <w:bottom w:type="dxa" w:w="26"/>
              <w:right w:type="dxa" w:w="80"/>
            </w:tcMar>
            <w:vAlign w:val="center"/>
          </w:tcPr>
          <w:p>
            <w:pPr>
              <w:spacing w:after="0"/>
            </w:pPr>
            <w:r>
              <w:rPr>
                <w:rFonts w:ascii="Calibri" w:cs="Calibri" w:eastAsia="Calibri" w:hAnsi="Calibri"/>
                <w:b w:val="false"/>
                <w:bCs w:val="false"/>
                <w:sz w:val="18"/>
                <w:szCs w:val="18"/>
              </w:rPr>
              <w:t xml:space="preserve">~216 M</w:t>
            </w:r>
          </w:p>
        </w:tc>
        <w:tc>
          <w:tcPr>
            <w:tcW w:type="dxa" w:w="1650"/>
            <w:tcMar>
              <w:top w:type="dxa" w:w="26"/>
              <w:left w:type="dxa" w:w="80"/>
              <w:bottom w:type="dxa" w:w="26"/>
              <w:right w:type="dxa" w:w="80"/>
            </w:tcMar>
            <w:vAlign w:val="center"/>
          </w:tcPr>
          <w:p>
            <w:pPr>
              <w:spacing w:after="0"/>
            </w:pPr>
            <w:r>
              <w:rPr>
                <w:rFonts w:ascii="Calibri" w:cs="Calibri" w:eastAsia="Calibri" w:hAnsi="Calibri"/>
                <w:b w:val="false"/>
                <w:bCs w:val="false"/>
                <w:sz w:val="18"/>
                <w:szCs w:val="18"/>
              </w:rPr>
              <w:t xml:space="preserve">~6 KB</w:t>
            </w:r>
          </w:p>
        </w:tc>
        <w:tc>
          <w:tcPr>
            <w:tcW w:type="dxa" w:w="1800"/>
            <w:tcMar>
              <w:top w:type="dxa" w:w="26"/>
              <w:left w:type="dxa" w:w="80"/>
              <w:bottom w:type="dxa" w:w="26"/>
              <w:right w:type="dxa" w:w="80"/>
            </w:tcMar>
            <w:vAlign w:val="center"/>
          </w:tcPr>
          <w:p>
            <w:pPr>
              <w:spacing w:after="0"/>
            </w:pPr>
            <w:r>
              <w:rPr>
                <w:rFonts w:ascii="Calibri" w:cs="Calibri" w:eastAsia="Calibri" w:hAnsi="Calibri"/>
                <w:b w:val="false"/>
                <w:bCs w:val="false"/>
                <w:sz w:val="18"/>
                <w:szCs w:val="18"/>
              </w:rPr>
              <w:t xml:space="preserve">~2,500</w:t>
            </w:r>
          </w:p>
        </w:tc>
        <w:tc>
          <w:tcPr>
            <w:tcW w:type="dxa" w:w="1650"/>
            <w:tcMar>
              <w:top w:type="dxa" w:w="26"/>
              <w:left w:type="dxa" w:w="80"/>
              <w:bottom w:type="dxa" w:w="26"/>
              <w:right w:type="dxa" w:w="80"/>
            </w:tcMar>
            <w:vAlign w:val="center"/>
          </w:tcPr>
          <w:p>
            <w:pPr>
              <w:spacing w:after="0"/>
            </w:pPr>
            <w:r>
              <w:rPr>
                <w:rFonts w:ascii="Calibri" w:cs="Calibri" w:eastAsia="Calibri" w:hAnsi="Calibri"/>
                <w:b w:val="false"/>
                <w:bCs w:val="false"/>
                <w:sz w:val="18"/>
                <w:szCs w:val="18"/>
              </w:rPr>
              <w:t xml:space="preserve">~17.3 TB</w:t>
            </w:r>
          </w:p>
        </w:tc>
      </w:tr>
      <w:tr>
        <w:tc>
          <w:tcPr>
            <w:tcW w:type="dxa" w:w="3350"/>
            <w:tcMar>
              <w:top w:type="dxa" w:w="26"/>
              <w:left w:type="dxa" w:w="80"/>
              <w:bottom w:type="dxa" w:w="26"/>
              <w:right w:type="dxa" w:w="80"/>
            </w:tcMar>
            <w:vAlign w:val="center"/>
          </w:tcPr>
          <w:p>
            <w:pPr>
              <w:spacing w:after="0"/>
            </w:pPr>
            <w:r>
              <w:rPr>
                <w:rFonts w:ascii="Calibri" w:cs="Calibri" w:eastAsia="Calibri" w:hAnsi="Calibri"/>
                <w:b w:val="false"/>
                <w:bCs w:val="false"/>
                <w:sz w:val="18"/>
                <w:szCs w:val="18"/>
              </w:rPr>
              <w:t xml:space="preserve">Core event stream</w:t>
            </w:r>
          </w:p>
        </w:tc>
        <w:tc>
          <w:tcPr>
            <w:tcW w:type="dxa" w:w="1750"/>
            <w:tcMar>
              <w:top w:type="dxa" w:w="26"/>
              <w:left w:type="dxa" w:w="80"/>
              <w:bottom w:type="dxa" w:w="26"/>
              <w:right w:type="dxa" w:w="80"/>
            </w:tcMar>
            <w:vAlign w:val="center"/>
          </w:tcPr>
          <w:p>
            <w:pPr>
              <w:spacing w:after="0"/>
            </w:pPr>
            <w:r>
              <w:rPr>
                <w:rFonts w:ascii="Calibri" w:cs="Calibri" w:eastAsia="Calibri" w:hAnsi="Calibri"/>
                <w:b w:val="false"/>
                <w:bCs w:val="false"/>
                <w:sz w:val="18"/>
                <w:szCs w:val="18"/>
              </w:rPr>
              <w:t xml:space="preserve">~261 M</w:t>
            </w:r>
          </w:p>
        </w:tc>
        <w:tc>
          <w:tcPr>
            <w:tcW w:type="dxa" w:w="1650"/>
            <w:tcMar>
              <w:top w:type="dxa" w:w="26"/>
              <w:left w:type="dxa" w:w="80"/>
              <w:bottom w:type="dxa" w:w="26"/>
              <w:right w:type="dxa" w:w="80"/>
            </w:tcMar>
            <w:vAlign w:val="center"/>
          </w:tcPr>
          <w:p>
            <w:pPr>
              <w:spacing w:after="0"/>
            </w:pPr>
            <w:r>
              <w:rPr>
                <w:rFonts w:ascii="Calibri" w:cs="Calibri" w:eastAsia="Calibri" w:hAnsi="Calibri"/>
                <w:b w:val="false"/>
                <w:bCs w:val="false"/>
                <w:sz w:val="18"/>
                <w:szCs w:val="18"/>
              </w:rPr>
              <w:t xml:space="preserve">~1 KB</w:t>
            </w:r>
          </w:p>
        </w:tc>
        <w:tc>
          <w:tcPr>
            <w:tcW w:type="dxa" w:w="1800"/>
            <w:tcMar>
              <w:top w:type="dxa" w:w="26"/>
              <w:left w:type="dxa" w:w="80"/>
              <w:bottom w:type="dxa" w:w="26"/>
              <w:right w:type="dxa" w:w="80"/>
            </w:tcMar>
            <w:vAlign w:val="center"/>
          </w:tcPr>
          <w:p>
            <w:pPr>
              <w:spacing w:after="0"/>
            </w:pPr>
            <w:r>
              <w:rPr>
                <w:rFonts w:ascii="Calibri" w:cs="Calibri" w:eastAsia="Calibri" w:hAnsi="Calibri"/>
                <w:b w:val="false"/>
                <w:bCs w:val="false"/>
                <w:sz w:val="18"/>
                <w:szCs w:val="18"/>
              </w:rPr>
              <w:t xml:space="preserve">~3,000</w:t>
            </w:r>
          </w:p>
        </w:tc>
        <w:tc>
          <w:tcPr>
            <w:tcW w:type="dxa" w:w="1650"/>
            <w:tcMar>
              <w:top w:type="dxa" w:w="26"/>
              <w:left w:type="dxa" w:w="80"/>
              <w:bottom w:type="dxa" w:w="26"/>
              <w:right w:type="dxa" w:w="80"/>
            </w:tcMar>
            <w:vAlign w:val="center"/>
          </w:tcPr>
          <w:p>
            <w:pPr>
              <w:spacing w:after="0"/>
            </w:pPr>
            <w:r>
              <w:rPr>
                <w:rFonts w:ascii="Calibri" w:cs="Calibri" w:eastAsia="Calibri" w:hAnsi="Calibri"/>
                <w:b w:val="false"/>
                <w:bCs w:val="false"/>
                <w:sz w:val="18"/>
                <w:szCs w:val="18"/>
              </w:rPr>
              <w:t xml:space="preserve">~3.5 TB</w:t>
            </w:r>
          </w:p>
        </w:tc>
      </w:tr>
      <w:tr>
        <w:tc>
          <w:tcPr>
            <w:tcW w:type="dxa" w:w="3350"/>
            <w:tcMar>
              <w:top w:type="dxa" w:w="26"/>
              <w:left w:type="dxa" w:w="80"/>
              <w:bottom w:type="dxa" w:w="26"/>
              <w:right w:type="dxa" w:w="80"/>
            </w:tcMar>
            <w:vAlign w:val="center"/>
          </w:tcPr>
          <w:p>
            <w:pPr>
              <w:spacing w:after="0"/>
            </w:pPr>
            <w:r>
              <w:rPr>
                <w:rFonts w:ascii="Calibri" w:cs="Calibri" w:eastAsia="Calibri" w:hAnsi="Calibri"/>
                <w:b/>
                <w:bCs/>
                <w:sz w:val="18"/>
                <w:szCs w:val="18"/>
              </w:rPr>
              <w:t xml:space="preserve">Total, initial streams</w:t>
            </w:r>
          </w:p>
        </w:tc>
        <w:tc>
          <w:tcPr>
            <w:tcW w:type="dxa" w:w="1750"/>
            <w:tcMar>
              <w:top w:type="dxa" w:w="26"/>
              <w:left w:type="dxa" w:w="80"/>
              <w:bottom w:type="dxa" w:w="26"/>
              <w:right w:type="dxa" w:w="80"/>
            </w:tcMar>
            <w:vAlign w:val="center"/>
          </w:tcPr>
          <w:p>
            <w:pPr>
              <w:spacing w:after="0"/>
            </w:pPr>
            <w:r>
              <w:rPr>
                <w:rFonts w:ascii="Calibri" w:cs="Calibri" w:eastAsia="Calibri" w:hAnsi="Calibri"/>
                <w:b/>
                <w:bCs/>
                <w:sz w:val="18"/>
                <w:szCs w:val="18"/>
              </w:rPr>
              <w:t xml:space="preserve">~600 M</w:t>
            </w:r>
          </w:p>
        </w:tc>
        <w:tc>
          <w:tcPr>
            <w:tcW w:type="dxa" w:w="1650"/>
            <w:tcMar>
              <w:top w:type="dxa" w:w="26"/>
              <w:left w:type="dxa" w:w="80"/>
              <w:bottom w:type="dxa" w:w="26"/>
              <w:right w:type="dxa" w:w="80"/>
            </w:tcMar>
            <w:vAlign w:val="center"/>
          </w:tcPr>
          <w:p>
            <w:pPr>
              <w:spacing w:after="0"/>
            </w:pPr>
            <w:r>
              <w:rPr>
                <w:rFonts w:ascii="Calibri" w:cs="Calibri" w:eastAsia="Calibri" w:hAnsi="Calibri"/>
                <w:b/>
                <w:bCs/>
                <w:sz w:val="18"/>
                <w:szCs w:val="18"/>
              </w:rPr>
              <w:t xml:space="preserve">~3 KB wtd. avg</w:t>
            </w:r>
          </w:p>
        </w:tc>
        <w:tc>
          <w:tcPr>
            <w:tcW w:type="dxa" w:w="1800"/>
            <w:tcMar>
              <w:top w:type="dxa" w:w="26"/>
              <w:left w:type="dxa" w:w="80"/>
              <w:bottom w:type="dxa" w:w="26"/>
              <w:right w:type="dxa" w:w="80"/>
            </w:tcMar>
            <w:vAlign w:val="center"/>
          </w:tcPr>
          <w:p>
            <w:pPr>
              <w:spacing w:after="0"/>
            </w:pPr>
            <w:r>
              <w:rPr>
                <w:rFonts w:ascii="Calibri" w:cs="Calibri" w:eastAsia="Calibri" w:hAnsi="Calibri"/>
                <w:b/>
                <w:bCs/>
                <w:sz w:val="18"/>
                <w:szCs w:val="18"/>
              </w:rPr>
              <w:t xml:space="preserve">~6,900</w:t>
            </w:r>
          </w:p>
        </w:tc>
        <w:tc>
          <w:tcPr>
            <w:tcW w:type="dxa" w:w="1650"/>
            <w:tcMar>
              <w:top w:type="dxa" w:w="26"/>
              <w:left w:type="dxa" w:w="80"/>
              <w:bottom w:type="dxa" w:w="26"/>
              <w:right w:type="dxa" w:w="80"/>
            </w:tcMar>
            <w:vAlign w:val="center"/>
          </w:tcPr>
          <w:p>
            <w:pPr>
              <w:spacing w:after="0"/>
            </w:pPr>
            <w:r>
              <w:rPr>
                <w:rFonts w:ascii="Calibri" w:cs="Calibri" w:eastAsia="Calibri" w:hAnsi="Calibri"/>
                <w:b/>
                <w:bCs/>
                <w:sz w:val="18"/>
                <w:szCs w:val="18"/>
              </w:rPr>
              <w:t xml:space="preserve">~23.4 TB</w:t>
            </w:r>
          </w:p>
        </w:tc>
      </w:tr>
    </w:tbl>
    <w:p>
      <w:pPr>
        <w:spacing w:after="40" w:line="236" w:lineRule="auto"/>
      </w:pPr>
      <w:r>
        <w:rPr>
          <w:rFonts w:ascii="Calibri" w:cs="Calibri" w:eastAsia="Calibri" w:hAnsi="Calibri"/>
          <w:b w:val="false"/>
          <w:bCs w:val="false"/>
          <w:i w:val="false"/>
          <w:iCs w:val="false"/>
          <w:color w:val="000000"/>
          <w:sz w:val="2"/>
          <w:szCs w:val="2"/>
        </w:rPr>
        <w:t xml:space="preserve"/>
      </w:r>
    </w:p>
    <w:p>
      <w:pPr>
        <w:pStyle w:val="Heading1"/>
        <w:spacing w:after="55" w:before="110"/>
      </w:pPr>
      <w:r>
        <w:rPr>
          <w:rFonts w:ascii="Calibri" w:cs="Calibri" w:eastAsia="Calibri" w:hAnsi="Calibri"/>
          <w:b/>
          <w:bCs/>
          <w:color w:val="1F3864"/>
          <w:sz w:val="23"/>
          <w:szCs w:val="23"/>
        </w:rPr>
        <w:t xml:space="preserve">3.  Serving and peak planning figures</w:t>
      </w:r>
    </w:p>
    <w:tbl>
      <w:tblPr>
        <w:tblW w:type="dxa" w:w="10200"/>
        <w:tblBorders>
          <w:top w:val="single" w:color="BFBFBF" w:sz="2"/>
          <w:left w:val="single" w:color="BFBFBF" w:sz="2"/>
          <w:bottom w:val="single" w:color="BFBFBF" w:sz="2"/>
          <w:right w:val="single" w:color="BFBFBF" w:sz="2"/>
          <w:insideH w:val="single" w:color="BFBFBF" w:sz="2"/>
          <w:insideV w:val="single" w:color="BFBFBF" w:sz="2"/>
        </w:tblBorders>
      </w:tblPr>
      <w:tblGrid>
        <w:gridCol w:w="3550"/>
        <w:gridCol w:w="6650"/>
      </w:tblGrid>
      <w:tr>
        <w:tc>
          <w:tcPr>
            <w:tcW w:type="dxa" w:w="3550"/>
            <w:shd w:fill="1F3864" w:color="auto" w:val="clear"/>
            <w:tcMar>
              <w:top w:type="dxa" w:w="26"/>
              <w:left w:type="dxa" w:w="80"/>
              <w:bottom w:type="dxa" w:w="26"/>
              <w:right w:type="dxa" w:w="80"/>
            </w:tcMar>
            <w:vAlign w:val="center"/>
          </w:tcPr>
          <w:p>
            <w:pPr>
              <w:spacing w:after="0"/>
            </w:pPr>
            <w:r>
              <w:rPr>
                <w:rFonts w:ascii="Calibri" w:cs="Calibri" w:eastAsia="Calibri" w:hAnsi="Calibri"/>
                <w:b/>
                <w:bCs/>
                <w:color w:val="FFFFFF"/>
                <w:sz w:val="18"/>
                <w:szCs w:val="18"/>
              </w:rPr>
              <w:t xml:space="preserve">Planning figure</w:t>
            </w:r>
          </w:p>
        </w:tc>
        <w:tc>
          <w:tcPr>
            <w:tcW w:type="dxa" w:w="6650"/>
            <w:shd w:fill="1F3864" w:color="auto" w:val="clear"/>
            <w:tcMar>
              <w:top w:type="dxa" w:w="26"/>
              <w:left w:type="dxa" w:w="80"/>
              <w:bottom w:type="dxa" w:w="26"/>
              <w:right w:type="dxa" w:w="80"/>
            </w:tcMar>
            <w:vAlign w:val="center"/>
          </w:tcPr>
          <w:p>
            <w:pPr>
              <w:spacing w:after="0"/>
            </w:pPr>
            <w:r>
              <w:rPr>
                <w:rFonts w:ascii="Calibri" w:cs="Calibri" w:eastAsia="Calibri" w:hAnsi="Calibri"/>
                <w:b/>
                <w:bCs/>
                <w:color w:val="FFFFFF"/>
                <w:sz w:val="18"/>
                <w:szCs w:val="18"/>
              </w:rPr>
              <w:t xml:space="preserve">Value and basis</w:t>
            </w:r>
          </w:p>
        </w:tc>
      </w:tr>
      <w:tr>
        <w:tc>
          <w:tcPr>
            <w:tcW w:type="dxa" w:w="3550"/>
            <w:tcMar>
              <w:top w:type="dxa" w:w="26"/>
              <w:left w:type="dxa" w:w="80"/>
              <w:bottom w:type="dxa" w:w="26"/>
              <w:right w:type="dxa" w:w="80"/>
            </w:tcMar>
            <w:vAlign w:val="center"/>
          </w:tcPr>
          <w:p>
            <w:pPr>
              <w:spacing w:after="0"/>
            </w:pPr>
            <w:r>
              <w:rPr>
                <w:rFonts w:ascii="Calibri" w:cs="Calibri" w:eastAsia="Calibri" w:hAnsi="Calibri"/>
                <w:b/>
                <w:bCs/>
                <w:sz w:val="18"/>
                <w:szCs w:val="18"/>
              </w:rPr>
              <w:t xml:space="preserve">Peak ingest</w:t>
            </w:r>
          </w:p>
        </w:tc>
        <w:tc>
          <w:tcPr>
            <w:tcW w:type="dxa" w:w="6650"/>
            <w:tcMar>
              <w:top w:type="dxa" w:w="26"/>
              <w:left w:type="dxa" w:w="80"/>
              <w:bottom w:type="dxa" w:w="26"/>
              <w:right w:type="dxa" w:w="80"/>
            </w:tcMar>
            <w:vAlign w:val="center"/>
          </w:tcPr>
          <w:p>
            <w:pPr>
              <w:spacing w:after="0"/>
            </w:pPr>
            <w:r>
              <w:rPr>
                <w:rFonts w:ascii="Calibri" w:cs="Calibri" w:eastAsia="Calibri" w:hAnsi="Calibri"/>
                <w:b w:val="false"/>
                <w:bCs w:val="false"/>
                <w:sz w:val="18"/>
                <w:szCs w:val="18"/>
              </w:rPr>
              <w:t xml:space="preserve">~14,000 events per second aggregate, approximately 2× sustained, per observed producer peak-to-average ratios.</w:t>
            </w:r>
          </w:p>
        </w:tc>
      </w:tr>
      <w:tr>
        <w:tc>
          <w:tcPr>
            <w:tcW w:type="dxa" w:w="3550"/>
            <w:tcMar>
              <w:top w:type="dxa" w:w="26"/>
              <w:left w:type="dxa" w:w="80"/>
              <w:bottom w:type="dxa" w:w="26"/>
              <w:right w:type="dxa" w:w="80"/>
            </w:tcMar>
            <w:vAlign w:val="center"/>
          </w:tcPr>
          <w:p>
            <w:pPr>
              <w:spacing w:after="0"/>
            </w:pPr>
            <w:r>
              <w:rPr>
                <w:rFonts w:ascii="Calibri" w:cs="Calibri" w:eastAsia="Calibri" w:hAnsi="Calibri"/>
                <w:b/>
                <w:bCs/>
                <w:sz w:val="18"/>
                <w:szCs w:val="18"/>
              </w:rPr>
              <w:t xml:space="preserve">Initial serving view</w:t>
            </w:r>
          </w:p>
        </w:tc>
        <w:tc>
          <w:tcPr>
            <w:tcW w:type="dxa" w:w="6650"/>
            <w:tcMar>
              <w:top w:type="dxa" w:w="26"/>
              <w:left w:type="dxa" w:w="80"/>
              <w:bottom w:type="dxa" w:w="26"/>
              <w:right w:type="dxa" w:w="80"/>
            </w:tcMar>
            <w:vAlign w:val="center"/>
          </w:tcPr>
          <w:p>
            <w:pPr>
              <w:spacing w:after="0"/>
            </w:pPr>
            <w:r>
              <w:rPr>
                <w:rFonts w:ascii="Calibri" w:cs="Calibri" w:eastAsia="Calibri" w:hAnsi="Calibri"/>
                <w:b w:val="false"/>
                <w:bCs w:val="false"/>
                <w:sz w:val="18"/>
                <w:szCs w:val="18"/>
              </w:rPr>
              <w:t xml:space="preserve">~6,000 document writes per second and ~5,000 reads per second at peak: the planning baseline for the first operational view, previously validated.</w:t>
            </w:r>
          </w:p>
        </w:tc>
      </w:tr>
      <w:tr>
        <w:tc>
          <w:tcPr>
            <w:tcW w:type="dxa" w:w="3550"/>
            <w:tcMar>
              <w:top w:type="dxa" w:w="26"/>
              <w:left w:type="dxa" w:w="80"/>
              <w:bottom w:type="dxa" w:w="26"/>
              <w:right w:type="dxa" w:w="80"/>
            </w:tcMar>
            <w:vAlign w:val="center"/>
          </w:tcPr>
          <w:p>
            <w:pPr>
              <w:spacing w:after="0"/>
            </w:pPr>
            <w:r>
              <w:rPr>
                <w:rFonts w:ascii="Calibri" w:cs="Calibri" w:eastAsia="Calibri" w:hAnsi="Calibri"/>
                <w:b/>
                <w:bCs/>
                <w:sz w:val="18"/>
                <w:szCs w:val="18"/>
              </w:rPr>
              <w:t xml:space="preserve">Message sizes</w:t>
            </w:r>
          </w:p>
        </w:tc>
        <w:tc>
          <w:tcPr>
            <w:tcW w:type="dxa" w:w="6650"/>
            <w:tcMar>
              <w:top w:type="dxa" w:w="26"/>
              <w:left w:type="dxa" w:w="80"/>
              <w:bottom w:type="dxa" w:w="26"/>
              <w:right w:type="dxa" w:w="80"/>
            </w:tcMar>
            <w:vAlign w:val="center"/>
          </w:tcPr>
          <w:p>
            <w:pPr>
              <w:spacing w:after="0"/>
            </w:pPr>
            <w:r>
              <w:rPr>
                <w:rFonts w:ascii="Calibri" w:cs="Calibri" w:eastAsia="Calibri" w:hAnsi="Calibri"/>
                <w:b w:val="false"/>
                <w:bCs w:val="false"/>
                <w:sz w:val="18"/>
                <w:szCs w:val="18"/>
              </w:rPr>
              <w:t xml:space="preserve">0.8 to 6 KB uncompressed JSON equivalent; Avro-encoded on the wire with a schema registry. The same records in compressed columnar form average 69 to 145 bytes per row, offered as a compression reference; state your own effective ratios.</w:t>
            </w:r>
          </w:p>
        </w:tc>
      </w:tr>
      <w:tr>
        <w:tc>
          <w:tcPr>
            <w:tcW w:type="dxa" w:w="3550"/>
            <w:tcMar>
              <w:top w:type="dxa" w:w="26"/>
              <w:left w:type="dxa" w:w="80"/>
              <w:bottom w:type="dxa" w:w="26"/>
              <w:right w:type="dxa" w:w="80"/>
            </w:tcMar>
            <w:vAlign w:val="center"/>
          </w:tcPr>
          <w:p>
            <w:pPr>
              <w:spacing w:after="0"/>
            </w:pPr>
            <w:r>
              <w:rPr>
                <w:rFonts w:ascii="Calibri" w:cs="Calibri" w:eastAsia="Calibri" w:hAnsi="Calibri"/>
                <w:b/>
                <w:bCs/>
                <w:sz w:val="18"/>
                <w:szCs w:val="18"/>
              </w:rPr>
              <w:t xml:space="preserve">Hot retention and storage</w:t>
            </w:r>
          </w:p>
        </w:tc>
        <w:tc>
          <w:tcPr>
            <w:tcW w:type="dxa" w:w="6650"/>
            <w:tcMar>
              <w:top w:type="dxa" w:w="26"/>
              <w:left w:type="dxa" w:w="80"/>
              <w:bottom w:type="dxa" w:w="26"/>
              <w:right w:type="dxa" w:w="80"/>
            </w:tcMar>
            <w:vAlign w:val="center"/>
          </w:tcPr>
          <w:p>
            <w:pPr>
              <w:spacing w:after="0"/>
            </w:pPr>
            <w:r>
              <w:rPr>
                <w:rFonts w:ascii="Calibri" w:cs="Calibri" w:eastAsia="Calibri" w:hAnsi="Calibri"/>
                <w:b w:val="false"/>
                <w:bCs w:val="false"/>
                <w:sz w:val="18"/>
                <w:szCs w:val="18"/>
              </w:rPr>
              <w:t xml:space="preserve">14 to 90 days per dataset (criterion G1). At the 90-day window the initial streams hold approximately 150 TB logical per copy, before replication, indexes, and compression.</w:t>
            </w:r>
          </w:p>
        </w:tc>
      </w:tr>
      <w:tr>
        <w:tc>
          <w:tcPr>
            <w:tcW w:type="dxa" w:w="3550"/>
            <w:tcMar>
              <w:top w:type="dxa" w:w="26"/>
              <w:left w:type="dxa" w:w="80"/>
              <w:bottom w:type="dxa" w:w="26"/>
              <w:right w:type="dxa" w:w="80"/>
            </w:tcMar>
            <w:vAlign w:val="center"/>
          </w:tcPr>
          <w:p>
            <w:pPr>
              <w:spacing w:after="0"/>
            </w:pPr>
            <w:r>
              <w:rPr>
                <w:rFonts w:ascii="Calibri" w:cs="Calibri" w:eastAsia="Calibri" w:hAnsi="Calibri"/>
                <w:b/>
                <w:bCs/>
                <w:sz w:val="18"/>
                <w:szCs w:val="18"/>
              </w:rPr>
              <w:t xml:space="preserve">Latency and stability</w:t>
            </w:r>
          </w:p>
        </w:tc>
        <w:tc>
          <w:tcPr>
            <w:tcW w:type="dxa" w:w="6650"/>
            <w:tcMar>
              <w:top w:type="dxa" w:w="26"/>
              <w:left w:type="dxa" w:w="80"/>
              <w:bottom w:type="dxa" w:w="26"/>
              <w:right w:type="dxa" w:w="80"/>
            </w:tcMar>
            <w:vAlign w:val="center"/>
          </w:tcPr>
          <w:p>
            <w:pPr>
              <w:spacing w:after="0"/>
            </w:pPr>
            <w:r>
              <w:rPr>
                <w:rFonts w:ascii="Calibri" w:cs="Calibri" w:eastAsia="Calibri" w:hAnsi="Calibri"/>
                <w:b w:val="false"/>
                <w:bCs w:val="false"/>
                <w:sz w:val="18"/>
                <w:szCs w:val="18"/>
              </w:rPr>
              <w:t xml:space="preserve">Per criteria A1, A2, and A4: read p95 ≤ 5 ms and p99 ≤ 10 ms at the database; publish-to-readable p95 ≤ 2 s; p99 held during expiry and background activity.</w:t>
            </w:r>
          </w:p>
        </w:tc>
      </w:tr>
    </w:tbl>
    <w:p>
      <w:pPr>
        <w:spacing w:after="40" w:line="236" w:lineRule="auto"/>
      </w:pPr>
      <w:r>
        <w:rPr>
          <w:rFonts w:ascii="Calibri" w:cs="Calibri" w:eastAsia="Calibri" w:hAnsi="Calibri"/>
          <w:b w:val="false"/>
          <w:bCs w:val="false"/>
          <w:i w:val="false"/>
          <w:iCs w:val="false"/>
          <w:color w:val="000000"/>
          <w:sz w:val="2"/>
          <w:szCs w:val="2"/>
        </w:rPr>
        <w:t xml:space="preserve"/>
      </w:r>
    </w:p>
    <w:p>
      <w:pPr>
        <w:pStyle w:val="Heading1"/>
        <w:spacing w:after="55" w:before="110"/>
      </w:pPr>
      <w:r>
        <w:rPr>
          <w:rFonts w:ascii="Calibri" w:cs="Calibri" w:eastAsia="Calibri" w:hAnsi="Calibri"/>
          <w:b/>
          <w:bCs/>
          <w:color w:val="1F3864"/>
          <w:sz w:val="23"/>
          <w:szCs w:val="23"/>
        </w:rPr>
        <w:t xml:space="preserve">4.  Growth requirement</w:t>
      </w:r>
    </w:p>
    <w:p>
      <w:pPr>
        <w:spacing w:after="110" w:line="236" w:lineRule="auto"/>
      </w:pPr>
      <w:r>
        <w:rPr>
          <w:rFonts w:ascii="Calibri" w:cs="Calibri" w:eastAsia="Calibri" w:hAnsi="Calibri"/>
          <w:b w:val="false"/>
          <w:bCs w:val="false"/>
          <w:i w:val="false"/>
          <w:iCs w:val="false"/>
          <w:color w:val="000000"/>
          <w:sz w:val="19"/>
          <w:szCs w:val="19"/>
        </w:rPr>
        <w:t xml:space="preserve">The platform must absorb ten times this volume within three years without re-architecture (criterion A3): approximately 6 billion events per day, roughly 70,000 events per second sustained and 140,000 at peak, and on the order of 1.5 PB logical at the 90-day window, alongside the onboarding of further domains beyond these initial streams. Responses and the total cost of ownership must be priced at both current and 10× volume, and must state which cost components scale linearly and which in steps.</w:t>
      </w:r>
    </w:p>
    <w:p>
      <w:pPr>
        <w:pStyle w:val="Heading1"/>
        <w:spacing w:after="55" w:before="110"/>
      </w:pPr>
      <w:r>
        <w:rPr>
          <w:rFonts w:ascii="Calibri" w:cs="Calibri" w:eastAsia="Calibri" w:hAnsi="Calibri"/>
          <w:b/>
          <w:bCs/>
          <w:color w:val="1F3864"/>
          <w:sz w:val="23"/>
          <w:szCs w:val="23"/>
        </w:rPr>
        <w:t xml:space="preserve">5.  Validation reference</w:t>
      </w:r>
    </w:p>
    <w:p>
      <w:pPr>
        <w:spacing w:after="0" w:line="236" w:lineRule="auto"/>
      </w:pPr>
      <w:r>
        <w:rPr>
          <w:rFonts w:ascii="Calibri" w:cs="Calibri" w:eastAsia="Calibri" w:hAnsi="Calibri"/>
          <w:b w:val="false"/>
          <w:bCs w:val="false"/>
          <w:i w:val="false"/>
          <w:iCs w:val="false"/>
          <w:color w:val="000000"/>
          <w:sz w:val="19"/>
          <w:szCs w:val="19"/>
        </w:rPr>
        <w:t xml:space="preserve">An internal proof of concept sustained 1,000 messages per second of ingest with 1,000 concurrent query users on a mid-tier managed cluster: server-side point reads at 2 to 4 ms median and 5 to 10 ms p99 across two access patterns, zero errors over approximately 1.9 million requests, and publish-to-queryable latency of roughly 150 to 250 ms median. Vendor demonstrations are expected to meet or better this bar, and to demonstrate headroom toward the planning figures above.</w:t>
      </w:r>
    </w:p>
    <w:sectPr>
      <w:footerReference w:type="default" r:id="rId7"/>
      <w:pgSz w:w="12240" w:h="15840" w:orient="portrait"/>
      <w:pgMar w:top="780" w:right="1020" w:bottom="78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5"/>
        <w:szCs w:val="15"/>
      </w:rPr>
      <w:t xml:space="preserve">ODS Reference Volumetrics and Sizing Annex · 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2026-08-24T19:50:50.132Z</dcterms:created>
  <dcterms:modified xsi:type="dcterms:W3CDTF">2026-08-24T19:50:50.146Z</dcterms:modified>
</cp:coreProperties>
</file>

<file path=docProps/custom.xml><?xml version="1.0" encoding="utf-8"?>
<Properties xmlns="http://schemas.openxmlformats.org/officeDocument/2006/custom-properties" xmlns:vt="http://schemas.openxmlformats.org/officeDocument/2006/docPropsVTypes"/>
</file>