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34"/>
          <w:szCs w:val="34"/>
        </w:rPr>
        <w:t xml:space="preserve">Unified Operational Data Store</w:t>
      </w:r>
    </w:p>
    <w:p>
      <w:pPr>
        <w:spacing w:after="40"/>
      </w:pPr>
      <w:r>
        <w:rPr>
          <w:rFonts w:ascii="Calibri" w:cs="Calibri" w:eastAsia="Calibri" w:hAnsi="Calibri"/>
          <w:color w:val="2E2E2E"/>
          <w:sz w:val="24"/>
          <w:szCs w:val="24"/>
        </w:rPr>
        <w:t xml:space="preserve">Reference Volumetrics and Sizing Annex</w:t>
      </w:r>
    </w:p>
    <w:p>
      <w:pPr>
        <w:pBdr>
          <w:bottom w:val="single" w:color="1F3864" w:sz="6"/>
        </w:pBdr>
        <w:spacing w:after="110"/>
      </w:pPr>
      <w:r>
        <w:rPr>
          <w:rFonts w:ascii="Calibri" w:cs="Calibri" w:eastAsia="Calibri" w:hAnsi="Calibri"/>
          <w:color w:val="595959"/>
          <w:sz w:val="16"/>
          <w:szCs w:val="16"/>
        </w:rPr>
        <w:t xml:space="preserve">Global Payments · Enterprise Data Platform · August 2026 · Annex to Evaluation Criteria v2.1 · Confidential</w:t>
      </w:r>
    </w:p>
    <w:p>
      <w:pPr>
        <w:pStyle w:val="Heading1"/>
        <w:spacing w:after="55" w:before="110"/>
      </w:pPr>
      <w:r>
        <w:rPr>
          <w:rFonts w:ascii="Calibri" w:cs="Calibri" w:eastAsia="Calibri" w:hAnsi="Calibri"/>
          <w:b/>
          <w:bCs/>
          <w:color w:val="1F3864"/>
          <w:sz w:val="23"/>
          <w:szCs w:val="23"/>
        </w:rPr>
        <w:t xml:space="preserve">1.  Purpose and basis</w:t>
      </w:r>
    </w:p>
    <w:p>
      <w:pPr>
        <w:spacing w:after="110" w:line="236" w:lineRule="auto"/>
      </w:pPr>
      <w:r>
        <w:rPr>
          <w:rFonts w:ascii="Calibri" w:cs="Calibri" w:eastAsia="Calibri" w:hAnsi="Calibri"/>
          <w:b w:val="false"/>
          <w:bCs w:val="false"/>
          <w:i w:val="false"/>
          <w:iCs w:val="false"/>
          <w:color w:val="000000"/>
          <w:sz w:val="19"/>
          <w:szCs w:val="19"/>
        </w:rPr>
        <w:t xml:space="preserve">This annex answers vendor sizing enquiries on expected message sizes, write throughput, and storage. The figures are production measurements of the Auth dataset (September 2025), taken from the analytical platform and extrapolated across the remaining estates using stated internal assumptions. Please consider these as planning references for benchmark responses and the three-year total cost of ownership.</w:t>
      </w:r>
    </w:p>
    <w:p>
      <w:pPr>
        <w:pStyle w:val="Heading1"/>
        <w:spacing w:after="55" w:before="110"/>
      </w:pPr>
      <w:r>
        <w:rPr>
          <w:rFonts w:ascii="Calibri" w:cs="Calibri" w:eastAsia="Calibri" w:hAnsi="Calibri"/>
          <w:b/>
          <w:bCs/>
          <w:color w:val="1F3864"/>
          <w:sz w:val="23"/>
          <w:szCs w:val="23"/>
        </w:rPr>
        <w:t xml:space="preserve">2.  Initial reference workload</w:t>
      </w:r>
    </w:p>
    <w:tbl>
      <w:tblPr>
        <w:tblW w:type="dxa" w:w="10200"/>
        <w:tblBorders>
          <w:top w:val="single" w:color="BFBFBF" w:sz="2"/>
          <w:left w:val="single" w:color="BFBFBF" w:sz="2"/>
          <w:bottom w:val="single" w:color="BFBFBF" w:sz="2"/>
          <w:right w:val="single" w:color="BFBFBF" w:sz="2"/>
          <w:insideH w:val="single" w:color="BFBFBF" w:sz="2"/>
          <w:insideV w:val="single" w:color="BFBFBF" w:sz="2"/>
        </w:tblBorders>
      </w:tblPr>
      <w:tblGrid>
        <w:gridCol w:w="3350"/>
        <w:gridCol w:w="1750"/>
        <w:gridCol w:w="1650"/>
        <w:gridCol w:w="1800"/>
        <w:gridCol w:w="1650"/>
      </w:tblGrid>
      <w:tr>
        <w:tc>
          <w:tcPr>
            <w:tcW w:type="dxa" w:w="33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Stream (initial scope)</w:t>
            </w:r>
          </w:p>
        </w:tc>
        <w:tc>
          <w:tcPr>
            <w:tcW w:type="dxa" w:w="17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Events / day</w:t>
            </w:r>
          </w:p>
        </w:tc>
        <w:tc>
          <w:tcPr>
            <w:tcW w:type="dxa" w:w="1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Avg size</w:t>
            </w:r>
          </w:p>
        </w:tc>
        <w:tc>
          <w:tcPr>
            <w:tcW w:type="dxa" w:w="180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Sustained events/s</w:t>
            </w:r>
          </w:p>
        </w:tc>
        <w:tc>
          <w:tcPr>
            <w:tcW w:type="dxa" w:w="1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14-day hot</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Authorization events</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~122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~3.2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Authorization addendum</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~216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~6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~2,500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~17.3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Core event stream</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~261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~3,000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~3.5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Total, initial streams</w:t>
            </w:r>
          </w:p>
        </w:tc>
        <w:tc>
          <w:tcPr>
            <w:tcW w:type="dxa" w:w="17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~600 M</w:t>
            </w:r>
          </w:p>
        </w:tc>
        <w:tc>
          <w:tcPr>
            <w:tcW w:type="dxa" w:w="16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~3 KB wtd. avg</w:t>
            </w:r>
          </w:p>
        </w:tc>
        <w:tc>
          <w:tcPr>
            <w:tcW w:type="dxa" w:w="180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~6,900</w:t>
            </w:r>
          </w:p>
        </w:tc>
        <w:tc>
          <w:tcPr>
            <w:tcW w:type="dxa" w:w="16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~23.4 TB</w:t>
            </w:r>
          </w:p>
        </w:tc>
      </w:tr>
    </w:tbl>
    <w:p>
      <w:pPr>
        <w:spacing w:after="40" w:line="236" w:lineRule="auto"/>
      </w:pPr>
      <w:r>
        <w:rPr>
          <w:rFonts w:ascii="Calibri" w:cs="Calibri" w:eastAsia="Calibri" w:hAnsi="Calibri"/>
          <w:b w:val="false"/>
          <w:bCs w:val="false"/>
          <w:i w:val="false"/>
          <w:iCs w:val="false"/>
          <w:color w:val="000000"/>
          <w:sz w:val="2"/>
          <w:szCs w:val="2"/>
        </w:rPr>
        <w:t xml:space="preserve"/>
      </w:r>
    </w:p>
    <w:p>
      <w:pPr>
        <w:pStyle w:val="Heading1"/>
        <w:spacing w:after="55" w:before="110"/>
      </w:pPr>
      <w:r>
        <w:rPr>
          <w:rFonts w:ascii="Calibri" w:cs="Calibri" w:eastAsia="Calibri" w:hAnsi="Calibri"/>
          <w:b/>
          <w:bCs/>
          <w:color w:val="1F3864"/>
          <w:sz w:val="23"/>
          <w:szCs w:val="23"/>
        </w:rPr>
        <w:t xml:space="preserve">3.  Serving and peak planning figures</w:t>
      </w:r>
    </w:p>
    <w:tbl>
      <w:tblPr>
        <w:tblW w:type="dxa" w:w="10200"/>
        <w:tblBorders>
          <w:top w:val="single" w:color="BFBFBF" w:sz="2"/>
          <w:left w:val="single" w:color="BFBFBF" w:sz="2"/>
          <w:bottom w:val="single" w:color="BFBFBF" w:sz="2"/>
          <w:right w:val="single" w:color="BFBFBF" w:sz="2"/>
          <w:insideH w:val="single" w:color="BFBFBF" w:sz="2"/>
          <w:insideV w:val="single" w:color="BFBFBF" w:sz="2"/>
        </w:tblBorders>
      </w:tblPr>
      <w:tblGrid>
        <w:gridCol w:w="3550"/>
        <w:gridCol w:w="6650"/>
      </w:tblGrid>
      <w:tr>
        <w:tc>
          <w:tcPr>
            <w:tcW w:type="dxa" w:w="35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Planning figure</w:t>
            </w:r>
          </w:p>
        </w:tc>
        <w:tc>
          <w:tcPr>
            <w:tcW w:type="dxa" w:w="6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Value and basis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Peak ingest</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~14,000 events per second aggregate, approximately 2× sustained, per observed producer peak-to-average ratios. The store must absorb this rate on the write path as idempotent upserts; the large majority are first-time inserts, with updates limited to redelivery and correction cases.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Read workload: baseline</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Observed in proof of concept: 1,000 concurrent readers sustaining approximately 490 queries per second in aggregate, split about 2:1 between lookup by event identifier and lookup by hashed card reference. Note that concurrency and query rate are distinct: each reader issued roughly one query every two seconds.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Read workload: peak</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Peak demand of approximately 5,000 document reads per second for the first operational view. Expressed as queries the figure is equal or lower, since a lookup on a non-unique key may return more than one document. State your sizing basis in both units, queries per second and documents returned per second, and state the documents-per-query assumption behind it.</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Message sizes</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 to 6 KB uncompressed JSON equivalent. Avro-encoded on the wire with a schema registry. State your own effective compression ratios for true sizing.</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Hot retention and storage</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 to 30 days per dataset. At the 30-day window the initial streams hold approximately 50 TB logical per copy, before replication, indexes, and compression.</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Latency and stability</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Indexed point reads measured at the database: p95 at or below 5 ms and p99 at or below 10 ms, under the sustained load above. Single-record writes and upserts: p99 at or below 20 ms. Publish to readable: p95 at or below 200 ms and p99 at or below 500 ms. These figures must hold during retention expiry, backup, rebalancing, and scaling events, not only in steady state.</w:t>
            </w:r>
          </w:p>
        </w:tc>
      </w:tr>
    </w:tbl>
    <w:p>
      <w:pPr>
        <w:spacing w:after="40" w:line="236" w:lineRule="auto"/>
      </w:pPr>
      <w:r>
        <w:rPr>
          <w:rFonts w:ascii="Calibri" w:cs="Calibri" w:eastAsia="Calibri" w:hAnsi="Calibri"/>
          <w:b w:val="false"/>
          <w:bCs w:val="false"/>
          <w:i w:val="false"/>
          <w:iCs w:val="false"/>
          <w:color w:val="000000"/>
          <w:sz w:val="2"/>
          <w:szCs w:val="2"/>
        </w:rPr>
        <w:t xml:space="preserve"/>
      </w:r>
    </w:p>
    <w:p>
      <w:pPr>
        <w:pStyle w:val="Heading1"/>
        <w:spacing w:after="55" w:before="110"/>
      </w:pPr>
      <w:r>
        <w:rPr>
          <w:rFonts w:ascii="Calibri" w:cs="Calibri" w:eastAsia="Calibri" w:hAnsi="Calibri"/>
          <w:b/>
          <w:bCs/>
          <w:color w:val="1F3864"/>
          <w:sz w:val="23"/>
          <w:szCs w:val="23"/>
        </w:rPr>
        <w:t xml:space="preserve">4.  Growth requirement</w:t>
      </w:r>
    </w:p>
    <w:p>
      <w:pPr>
        <w:spacing w:after="110" w:line="236" w:lineRule="auto"/>
      </w:pPr>
      <w:r>
        <w:rPr>
          <w:rFonts w:ascii="Calibri" w:cs="Calibri" w:eastAsia="Calibri" w:hAnsi="Calibri"/>
          <w:b w:val="false"/>
          <w:bCs w:val="false"/>
          <w:i w:val="false"/>
          <w:iCs w:val="false"/>
          <w:color w:val="000000"/>
          <w:sz w:val="19"/>
          <w:szCs w:val="19"/>
        </w:rPr>
        <w:t xml:space="preserve">The platform must absorb ten times this volume within three years without re-architecture: approximately 6 billion events per day, roughly 70,000 events per second sustained and 140,000 at peak, and on the order of 500 TB logical at the 30-day window, alongside the onboarding of further domains beyond these initial streams. Responses and the total cost of ownership must be priced at both current and 10× volume, and must state which cost components scale linearly and which in steps.</w:t>
      </w:r>
    </w:p>
    <w:p>
      <w:pPr>
        <w:pStyle w:val="Heading1"/>
        <w:spacing w:after="55" w:before="110"/>
      </w:pPr>
      <w:r>
        <w:rPr>
          <w:rFonts w:ascii="Calibri" w:cs="Calibri" w:eastAsia="Calibri" w:hAnsi="Calibri"/>
          <w:b/>
          <w:bCs/>
          <w:color w:val="1F3864"/>
          <w:sz w:val="23"/>
          <w:szCs w:val="23"/>
        </w:rPr>
        <w:t xml:space="preserve">5.  Validation reference</w:t>
      </w:r>
    </w:p>
    <w:p>
      <w:pPr>
        <w:spacing w:after="0" w:line="236" w:lineRule="auto"/>
      </w:pPr>
      <w:r>
        <w:rPr>
          <w:rFonts w:ascii="Calibri" w:cs="Calibri" w:eastAsia="Calibri" w:hAnsi="Calibri"/>
          <w:b w:val="false"/>
          <w:bCs w:val="false"/>
          <w:i w:val="false"/>
          <w:iCs w:val="false"/>
          <w:color w:val="000000"/>
          <w:sz w:val="19"/>
          <w:szCs w:val="19"/>
        </w:rPr>
        <w:t xml:space="preserve">An internal proof of concept sustained 1,000 messages per second of ingest with 1,000 concurrent query users on a mid-tier managed cluster, run across two implementation options: server-side point reads at 2 to 4 ms median and 5 to 10 ms p99 across two access patterns, zero errors over approximately 3.7 million requests in total, and publish-to-queryable latency of 150 to 250 ms median with p95 between 215 and 310 ms. Vendor demonstrations are expected to meet the planning figures in section 3, which tighten modestly beyond this proof of concept, and to demonstrate headroom toward the peak and growth figures above.</w:t>
      </w:r>
    </w:p>
    <w:sectPr>
      <w:footerReference w:type="default" r:id="rId7"/>
      <w:pgSz w:w="12240" w:h="15840" w:orient="portrait"/>
      <w:pgMar w:top="780" w:right="1020" w:bottom="7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ODS Reference Volumetrics and Sizing Annex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2026-08-24T20:51:57.563Z</dcterms:created>
  <dcterms:modified xsi:type="dcterms:W3CDTF">2026-08-24T20:51:57.581Z</dcterms:modified>
</cp:coreProperties>
</file>

<file path=docProps/custom.xml><?xml version="1.0" encoding="utf-8"?>
<Properties xmlns="http://schemas.openxmlformats.org/officeDocument/2006/custom-properties" xmlns:vt="http://schemas.openxmlformats.org/officeDocument/2006/docPropsVTypes"/>
</file>