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023D73" w14:textId="0B4D9E38" w:rsidR="00184DDB" w:rsidRPr="0082651F" w:rsidRDefault="00184DDB" w:rsidP="00184DDB">
      <w:pPr>
        <w:pStyle w:val="Title"/>
      </w:pPr>
      <w:bookmarkStart w:id="0" w:name="_Hlk532658647"/>
      <w:bookmarkEnd w:id="0"/>
      <w:r w:rsidRPr="0082651F">
        <w:t xml:space="preserve">Exercise </w:t>
      </w:r>
      <w:r w:rsidR="00122281" w:rsidRPr="0082651F">
        <w:t>9</w:t>
      </w:r>
    </w:p>
    <w:p w14:paraId="5CFC45CF" w14:textId="417EC378" w:rsidR="00184DDB" w:rsidRPr="0082651F" w:rsidRDefault="00184DDB" w:rsidP="00184DDB">
      <w:pPr>
        <w:pStyle w:val="Subtitle"/>
      </w:pPr>
      <w:r w:rsidRPr="0082651F">
        <w:t>Machine Learning I</w:t>
      </w:r>
      <w:r w:rsidR="0082651F">
        <w:t xml:space="preserve"> (WORK IN PROGRESS)</w:t>
      </w:r>
      <w:bookmarkStart w:id="1" w:name="_GoBack"/>
      <w:bookmarkEnd w:id="1"/>
    </w:p>
    <w:tbl>
      <w:tblPr>
        <w:tblStyle w:val="TableGrid"/>
        <w:tblW w:w="12758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CCCC"/>
        <w:tblLook w:val="04A0" w:firstRow="1" w:lastRow="0" w:firstColumn="1" w:lastColumn="0" w:noHBand="0" w:noVBand="1"/>
      </w:tblPr>
      <w:tblGrid>
        <w:gridCol w:w="1230"/>
        <w:gridCol w:w="11528"/>
      </w:tblGrid>
      <w:tr w:rsidR="00184DDB" w14:paraId="7685C31C" w14:textId="77777777" w:rsidTr="00D6465C">
        <w:trPr>
          <w:trHeight w:val="981"/>
        </w:trPr>
        <w:tc>
          <w:tcPr>
            <w:tcW w:w="1230" w:type="dxa"/>
            <w:shd w:val="clear" w:color="auto" w:fill="FFCCCC"/>
          </w:tcPr>
          <w:p w14:paraId="550EF8A7" w14:textId="77777777" w:rsidR="00184DDB" w:rsidRDefault="00184DDB" w:rsidP="00FB4F86">
            <w:pPr>
              <w:pStyle w:val="Heading1"/>
              <w:outlineLvl w:val="0"/>
            </w:pPr>
          </w:p>
        </w:tc>
        <w:tc>
          <w:tcPr>
            <w:tcW w:w="11528" w:type="dxa"/>
            <w:shd w:val="clear" w:color="auto" w:fill="FFCCCC"/>
          </w:tcPr>
          <w:p w14:paraId="3A66126F" w14:textId="21724E80" w:rsidR="00184DDB" w:rsidRDefault="00122281" w:rsidP="00FB4F86">
            <w:pPr>
              <w:pStyle w:val="Heading1"/>
              <w:outlineLvl w:val="0"/>
            </w:pPr>
            <w:r>
              <w:t>9</w:t>
            </w:r>
            <w:r w:rsidR="00184DDB">
              <w:t>A-1.</w:t>
            </w:r>
          </w:p>
          <w:p w14:paraId="78DDF826" w14:textId="77777777" w:rsidR="00184DDB" w:rsidRPr="001E0C4D" w:rsidRDefault="00184DDB" w:rsidP="00FB4F86">
            <w:pPr>
              <w:rPr>
                <w:sz w:val="16"/>
                <w:szCs w:val="16"/>
              </w:rPr>
            </w:pPr>
          </w:p>
        </w:tc>
      </w:tr>
    </w:tbl>
    <w:p w14:paraId="747C1590" w14:textId="77777777" w:rsidR="00122281" w:rsidRDefault="00122281" w:rsidP="00FB58A2">
      <w:pPr>
        <w:pStyle w:val="Heading2"/>
      </w:pPr>
    </w:p>
    <w:p w14:paraId="3FC56A18" w14:textId="4AF84FE1" w:rsidR="00451123" w:rsidRDefault="00FB58A2" w:rsidP="00FB58A2">
      <w:pPr>
        <w:pStyle w:val="Heading2"/>
      </w:pPr>
      <w:r>
        <w:t>Version 1</w:t>
      </w:r>
      <w:r w:rsidR="00451123">
        <w:t>:</w:t>
      </w:r>
      <w:r>
        <w:t xml:space="preserve"> </w:t>
      </w:r>
      <w:r w:rsidR="00122281">
        <w:t xml:space="preserve">Real valued functions </w:t>
      </w:r>
      <m:oMath>
        <m:r>
          <m:rPr>
            <m:sty m:val="bi"/>
          </m:rPr>
          <w:rPr>
            <w:rFonts w:ascii="Cambria Math" w:hAnsi="Cambria Math"/>
          </w:rPr>
          <m:t>f</m:t>
        </m:r>
      </m:oMath>
      <w:r w:rsidR="00A074F7">
        <w:t xml:space="preserve"> </w:t>
      </w:r>
    </w:p>
    <w:p w14:paraId="6700FA05" w14:textId="5EA52D8F" w:rsidR="000112BF" w:rsidRDefault="00122281" w:rsidP="00451123">
      <w:pPr>
        <w:rPr>
          <w:rFonts w:eastAsiaTheme="minorEastAsia"/>
        </w:rPr>
      </w:pPr>
      <w:r>
        <w:t xml:space="preserve">Let </w:t>
      </w:r>
      <m:oMath>
        <m:r>
          <w:rPr>
            <w:rFonts w:ascii="Cambria Math" w:hAnsi="Cambria Math"/>
          </w:rPr>
          <m:t>f: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cr m:val="double-struck"/>
          </m:rPr>
          <w:rPr>
            <w:rFonts w:ascii="Cambria Math" w:hAnsi="Cambria Math"/>
          </w:rPr>
          <m:t>→R</m:t>
        </m:r>
      </m:oMath>
      <w:r>
        <w:rPr>
          <w:rFonts w:eastAsiaTheme="minorEastAsia"/>
        </w:rPr>
        <w:t>. Recall, that the real valued partial derivative can be defined with respect to the standard basis: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701"/>
        <w:gridCol w:w="7649"/>
      </w:tblGrid>
      <w:tr w:rsidR="00BC4EC7" w14:paraId="2C52847E" w14:textId="77777777" w:rsidTr="00122281">
        <w:trPr>
          <w:gridAfter w:val="1"/>
          <w:wAfter w:w="7649" w:type="dxa"/>
        </w:trPr>
        <w:tc>
          <w:tcPr>
            <w:tcW w:w="1701" w:type="dxa"/>
            <w:shd w:val="clear" w:color="auto" w:fill="F2F2F2" w:themeFill="background1" w:themeFillShade="F2"/>
          </w:tcPr>
          <w:p w14:paraId="3BF87D2E" w14:textId="3E06D9CF" w:rsidR="00BC4EC7" w:rsidRDefault="00122281" w:rsidP="00BC4EC7">
            <w:pPr>
              <w:pStyle w:val="Heading2"/>
              <w:outlineLvl w:val="1"/>
              <w:rPr>
                <w:rFonts w:eastAsiaTheme="minorEastAsia"/>
              </w:rPr>
            </w:pPr>
            <w:r>
              <w:rPr>
                <w:rFonts w:eastAsiaTheme="minorEastAsia"/>
              </w:rPr>
              <w:t>Prerequisites</w:t>
            </w:r>
          </w:p>
        </w:tc>
      </w:tr>
      <w:tr w:rsidR="00BC4EC7" w14:paraId="220A6C12" w14:textId="77777777" w:rsidTr="00BC4EC7">
        <w:trPr>
          <w:trHeight w:val="966"/>
        </w:trPr>
        <w:tc>
          <w:tcPr>
            <w:tcW w:w="9350" w:type="dxa"/>
            <w:gridSpan w:val="2"/>
            <w:shd w:val="clear" w:color="auto" w:fill="F2F2F2" w:themeFill="background1" w:themeFillShade="F2"/>
          </w:tcPr>
          <w:p w14:paraId="34F6A41E" w14:textId="77777777" w:rsidR="00122281" w:rsidRDefault="00122281" w:rsidP="00451123">
            <w:pPr>
              <w:rPr>
                <w:rFonts w:eastAsiaTheme="minorEastAsia"/>
              </w:rPr>
            </w:pPr>
          </w:p>
          <w:p w14:paraId="6A58BF85" w14:textId="7502DA14" w:rsidR="00BC4EC7" w:rsidRPr="00122281" w:rsidRDefault="00122281" w:rsidP="00451123">
            <w:pPr>
              <w:rPr>
                <w:rFonts w:eastAsiaTheme="minorEastAsia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lim</m:t>
                        </m: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e>
                      <m:lim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h→0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h&gt;0</m:t>
                              </m:r>
                            </m:e>
                          </m:mr>
                        </m:m>
                      </m:lim>
                    </m:limLow>
                  </m:fNam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+h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eastAsiaTheme="minorEastAsia" w:hAnsi="Cambria Math"/>
                          </w:rPr>
                          <m:t>-f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h</m:t>
                        </m:r>
                      </m:den>
                    </m:f>
                  </m:e>
                </m:func>
              </m:oMath>
            </m:oMathPara>
          </w:p>
          <w:p w14:paraId="0975208A" w14:textId="77777777" w:rsidR="00122281" w:rsidRPr="00122281" w:rsidRDefault="00122281" w:rsidP="00451123">
            <w:pPr>
              <w:rPr>
                <w:rFonts w:eastAsiaTheme="minorEastAsia"/>
              </w:rPr>
            </w:pPr>
          </w:p>
          <w:p w14:paraId="142A5467" w14:textId="77777777" w:rsidR="00122281" w:rsidRDefault="00122281" w:rsidP="0045112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where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oMath>
            <w:r>
              <w:rPr>
                <w:rFonts w:eastAsiaTheme="minorEastAsia"/>
              </w:rPr>
              <w:t xml:space="preserve"> denotes the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>
              <w:rPr>
                <w:rFonts w:eastAsiaTheme="minorEastAsia"/>
              </w:rPr>
              <w:t>th (standard) basis vector.</w:t>
            </w:r>
            <w:r w:rsidR="00690109">
              <w:rPr>
                <w:rFonts w:eastAsiaTheme="minorEastAsia"/>
              </w:rPr>
              <w:t xml:space="preserve"> This leads to:</w:t>
            </w:r>
          </w:p>
          <w:p w14:paraId="6656C6F6" w14:textId="77777777" w:rsidR="00690109" w:rsidRDefault="00690109" w:rsidP="00451123">
            <w:pPr>
              <w:rPr>
                <w:rFonts w:eastAsiaTheme="minorEastAsia"/>
              </w:rPr>
            </w:pPr>
          </w:p>
          <w:p w14:paraId="30211A47" w14:textId="16AC12AD" w:rsidR="00690109" w:rsidRPr="00690109" w:rsidRDefault="00690109" w:rsidP="00690109">
            <w:pPr>
              <w:rPr>
                <w:rFonts w:eastAsiaTheme="minorEastAsia"/>
              </w:rPr>
            </w:pPr>
            <m:oMathPara>
              <m:oMath>
                <m:m>
                  <m:mPr>
                    <m:rSpRule m:val="2"/>
                    <m:mcs>
                      <m:mc>
                        <m:mcPr>
                          <m:count m:val="1"/>
                          <m:mcJc m:val="center"/>
                        </m:mcPr>
                      </m:mc>
                      <m:mc>
                        <m:mcPr>
                          <m:count m:val="1"/>
                          <m:mcJc m:val="left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units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∂f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=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units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limLow>
                            <m:limLow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limLow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lim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e>
                            <m:lim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h→0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h&gt;0</m:t>
                                    </m:r>
                                  </m:e>
                                </m:mr>
                              </m:m>
                            </m:lim>
                          </m:limLow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+h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ascii="Cambria Math" w:eastAsiaTheme="minorEastAsia" w:hAnsi="Cambria Math"/>
                                        </w:rPr>
                                        <m:t>e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den>
                          </m:f>
                        </m:e>
                      </m:func>
                    </m:e>
                  </m:mr>
                  <m:mr>
                    <m:e/>
                    <m:e>
                      <m:r>
                        <w:rPr>
                          <w:rFonts w:ascii="Cambria Math" w:hAnsi="Cambria Math"/>
                        </w:rPr>
                        <m:t>=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units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ctrlPr>
                            <w:rPr>
                              <w:rFonts w:ascii="Cambria Math" w:hAnsi="Cambria Math"/>
                              <w:b/>
                            </w:rPr>
                          </m:ctrlP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units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den>
                      </m:f>
                    </m:e>
                  </m:mr>
                </m:m>
              </m:oMath>
            </m:oMathPara>
          </w:p>
          <w:p w14:paraId="6048A6A2" w14:textId="7AF4E0BB" w:rsidR="00690109" w:rsidRDefault="00690109" w:rsidP="0069010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br/>
              <w:t xml:space="preserve">As </w:t>
            </w:r>
            <m:oMath>
              <m:r>
                <w:rPr>
                  <w:rFonts w:ascii="Cambria Math" w:eastAsiaTheme="minorEastAsia" w:hAnsi="Cambria Math"/>
                </w:rPr>
                <m:t>h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oMath>
            <w:r>
              <w:rPr>
                <w:rFonts w:eastAsiaTheme="minorEastAsia"/>
              </w:rPr>
              <w:t xml:space="preserve"> only adds to the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oMath>
            <w:r>
              <w:rPr>
                <w:rFonts w:eastAsiaTheme="minorEastAsia"/>
                <w:b/>
              </w:rPr>
              <w:t>-</w:t>
            </w:r>
            <w:proofErr w:type="spellStart"/>
            <w:r w:rsidRPr="00690109">
              <w:rPr>
                <w:rFonts w:eastAsiaTheme="minorEastAsia"/>
              </w:rPr>
              <w:t>th</w:t>
            </w:r>
            <w:proofErr w:type="spellEnd"/>
            <w:r>
              <w:rPr>
                <w:rFonts w:eastAsiaTheme="minorEastAsia"/>
              </w:rPr>
              <w:t xml:space="preserve"> entry and unit vectors are generally unitless, we have</w:t>
            </w:r>
          </w:p>
          <w:p w14:paraId="5C9A2F03" w14:textId="7F3597A2" w:rsidR="00690109" w:rsidRDefault="00690109" w:rsidP="00690109">
            <w:pPr>
              <w:rPr>
                <w:rFonts w:eastAsiaTheme="minorEastAsia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h</m:t>
                </m:r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oMath>
            </m:oMathPara>
          </w:p>
        </w:tc>
      </w:tr>
    </w:tbl>
    <w:p w14:paraId="0504C3F5" w14:textId="77777777" w:rsidR="00BC4EC7" w:rsidRDefault="00BC4EC7" w:rsidP="00451123">
      <w:pPr>
        <w:rPr>
          <w:rFonts w:eastAsiaTheme="minorEastAsia"/>
        </w:rPr>
      </w:pPr>
    </w:p>
    <w:p w14:paraId="0FF87EF8" w14:textId="60115F4E" w:rsidR="00451123" w:rsidRDefault="00122281" w:rsidP="00451123">
      <w:r>
        <w:t>We are now ready to investigate the units!</w:t>
      </w:r>
    </w:p>
    <w:p w14:paraId="301B6F67" w14:textId="1D120B96" w:rsidR="00122281" w:rsidRDefault="00122281" w:rsidP="00122281">
      <w:pPr>
        <w:pStyle w:val="Heading3"/>
      </w:pPr>
      <w:r>
        <w:t>Gradient descent</w:t>
      </w:r>
    </w:p>
    <w:p w14:paraId="585332F6" w14:textId="5E4E54A9" w:rsidR="00122281" w:rsidRDefault="00122281" w:rsidP="00122281">
      <w:r>
        <w:br/>
      </w:r>
      <w:r w:rsidR="00A42B9B">
        <w:t xml:space="preserve">For </w:t>
      </w:r>
      <m:oMath>
        <m:r>
          <w:rPr>
            <w:rFonts w:ascii="Cambria Math" w:hAnsi="Cambria Math"/>
          </w:rPr>
          <m:t>α∈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+</m:t>
            </m:r>
          </m:sup>
        </m:sSup>
      </m:oMath>
      <w:r w:rsidR="00A42B9B">
        <w:rPr>
          <w:rFonts w:eastAsiaTheme="minorEastAsia"/>
        </w:rPr>
        <w:t xml:space="preserve">, we have </w:t>
      </w:r>
      <w:r>
        <w:t>the gradient update:</w:t>
      </w:r>
    </w:p>
    <w:p w14:paraId="04899E1B" w14:textId="383C5D4A" w:rsidR="00690109" w:rsidRPr="00690109" w:rsidRDefault="00690109" w:rsidP="00122281">
      <w:pPr>
        <w:rPr>
          <w:rFonts w:eastAsiaTheme="minorEastAsia"/>
        </w:rPr>
      </w:pPr>
      <m:oMathPara>
        <m:oMath>
          <m:m>
            <m:mPr>
              <m:plcHide m:val="1"/>
              <m:rSpRule m:val="2"/>
              <m:mcs>
                <m:mc>
                  <m:mcPr>
                    <m:count m:val="2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t+1</m:t>
                    </m:r>
                  </m:sup>
                </m:sSup>
              </m:e>
              <m:e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</w:rPr>
                  <m:t>f</m:t>
                </m: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hAnsi="Cambria Math"/>
                  </w:rPr>
                  <m:t>⇒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t+1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α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</w:rPr>
                  <m:t>,  ∀ i:</m:t>
                </m:r>
                <m:r>
                  <w:rPr>
                    <w:rFonts w:ascii="Cambria Math" w:eastAsiaTheme="minorEastAsia" w:hAnsi="Cambria Math"/>
                  </w:rPr>
                  <m:t>1,..,n</m:t>
                </m: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/>
              <m:e/>
            </m:mr>
          </m:m>
        </m:oMath>
      </m:oMathPara>
    </w:p>
    <w:p w14:paraId="365FBBA6" w14:textId="110D6B0B" w:rsidR="00690109" w:rsidRDefault="0005429B" w:rsidP="00122281">
      <w:pPr>
        <w:rPr>
          <w:rFonts w:eastAsiaTheme="minorEastAsia"/>
        </w:rPr>
      </w:pPr>
      <w:r>
        <w:rPr>
          <w:rFonts w:eastAsiaTheme="minorEastAsia"/>
        </w:rPr>
        <w:t xml:space="preserve">From a </w:t>
      </w:r>
      <w:proofErr w:type="gramStart"/>
      <w:r>
        <w:rPr>
          <w:rFonts w:eastAsiaTheme="minorEastAsia"/>
        </w:rPr>
        <w:t>units</w:t>
      </w:r>
      <w:proofErr w:type="gramEnd"/>
      <w:r>
        <w:rPr>
          <w:rFonts w:eastAsiaTheme="minorEastAsia"/>
        </w:rPr>
        <w:t xml:space="preserve"> perspective, t</w:t>
      </w:r>
      <w:r w:rsidR="00690109">
        <w:rPr>
          <w:rFonts w:eastAsiaTheme="minorEastAsia"/>
        </w:rPr>
        <w:t>his leads to</w:t>
      </w:r>
      <w:r w:rsidR="007F43AE">
        <w:rPr>
          <w:rFonts w:eastAsiaTheme="minorEastAsia"/>
        </w:rPr>
        <w:t>:</w:t>
      </w:r>
    </w:p>
    <w:p w14:paraId="227A4828" w14:textId="23C9CF4F" w:rsidR="00690109" w:rsidRPr="00690109" w:rsidRDefault="007F43AE" w:rsidP="00690109">
      <w:pPr>
        <w:rPr>
          <w:rFonts w:eastAsiaTheme="minorEastAsia"/>
        </w:rPr>
      </w:pPr>
      <m:oMathPara>
        <m:oMath>
          <m:m>
            <m:mPr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t+1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</m:t>
                </m:r>
              </m:e>
            </m:mr>
            <m:mr>
              <m:e/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α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α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f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w:rPr>
                        <w:rFonts w:ascii="Cambria Math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</m:e>
            </m:mr>
          </m:m>
        </m:oMath>
      </m:oMathPara>
    </w:p>
    <w:p w14:paraId="69D0214D" w14:textId="1DCA2B7F" w:rsidR="007F43AE" w:rsidRPr="00690109" w:rsidRDefault="007F43AE" w:rsidP="00122281">
      <w:pPr>
        <w:rPr>
          <w:rFonts w:eastAsiaTheme="minorEastAsia"/>
        </w:rPr>
      </w:pPr>
      <w:r>
        <w:rPr>
          <w:rFonts w:eastAsiaTheme="minorEastAsia"/>
        </w:rPr>
        <w:t xml:space="preserve">Therefore </w:t>
      </w:r>
      <m:oMath>
        <m:r>
          <m:rPr>
            <m:sty m:val="b"/>
          </m:rPr>
          <w:rPr>
            <w:rFonts w:ascii="Cambria Math" w:hAnsi="Cambria Math"/>
          </w:rPr>
          <m:t>units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units</m:t>
            </m:r>
            <m:r>
              <m:rPr>
                <m:sty m:val="b"/>
              </m:rPr>
              <w:rPr>
                <w:rFonts w:ascii="Cambria Math" w:hAnsi="Cambria Math"/>
              </w:rPr>
              <m:t xml:space="preserve"> 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bSup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b"/>
              </m:rPr>
              <w:rPr>
                <w:rFonts w:ascii="Cambria Math" w:hAnsi="Cambria Math"/>
              </w:rPr>
              <m:t>units</m:t>
            </m:r>
            <m:r>
              <m:rPr>
                <m:sty m:val="b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</m:t>
            </m:r>
          </m:den>
        </m:f>
        <m:r>
          <w:rPr>
            <w:rFonts w:ascii="Cambria Math" w:eastAsiaTheme="minorEastAsia" w:hAnsi="Cambria Math"/>
          </w:rPr>
          <m:t>.</m:t>
        </m:r>
      </m:oMath>
      <w:r w:rsidR="00A42B9B">
        <w:rPr>
          <w:rFonts w:eastAsiaTheme="minorEastAsia"/>
        </w:rPr>
        <w:t xml:space="preserve"> We omitted the “-“ in front of the </w:t>
      </w:r>
      <m:oMath>
        <m:r>
          <w:rPr>
            <w:rFonts w:ascii="Cambria Math" w:eastAsiaTheme="minorEastAsia" w:hAnsi="Cambria Math"/>
          </w:rPr>
          <m:t>α</m:t>
        </m:r>
      </m:oMath>
      <w:r w:rsidR="00A42B9B">
        <w:rPr>
          <w:rFonts w:eastAsiaTheme="minorEastAsia"/>
        </w:rPr>
        <w:t xml:space="preserve"> as it does not affect the units.</w:t>
      </w:r>
      <w:r>
        <w:rPr>
          <w:rFonts w:eastAsiaTheme="minorEastAsia"/>
        </w:rPr>
        <w:br/>
      </w:r>
      <w:r>
        <w:rPr>
          <w:rFonts w:eastAsiaTheme="minorEastAsia"/>
        </w:rPr>
        <w:br/>
        <w:t xml:space="preserve">In the task,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 is dimensionless and </w:t>
      </w:r>
      <m:oMath>
        <m:r>
          <m:rPr>
            <m:sty m:val="b"/>
          </m:rPr>
          <w:rPr>
            <w:rFonts w:ascii="Cambria Math" w:eastAsiaTheme="minorEastAsia" w:hAnsi="Cambria Math"/>
          </w:rPr>
          <m:t>units</m:t>
        </m:r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=m,</m:t>
        </m:r>
        <m:r>
          <m:rPr>
            <m:sty m:val="b"/>
          </m:rPr>
          <w:rPr>
            <w:rFonts w:ascii="Cambria Math" w:eastAsiaTheme="minorEastAsia" w:hAnsi="Cambria Math"/>
          </w:rPr>
          <m:t>units</m:t>
        </m:r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=kg</m:t>
        </m:r>
      </m:oMath>
      <w:r>
        <w:rPr>
          <w:rFonts w:eastAsiaTheme="minorEastAsia"/>
        </w:rPr>
        <w:t>.</w:t>
      </w:r>
    </w:p>
    <w:p w14:paraId="70FB547B" w14:textId="74E9DE34" w:rsidR="00690109" w:rsidRDefault="007F43AE" w:rsidP="00122281">
      <w:r>
        <w:t>Therefore, the two update steps have for each dimension:</w:t>
      </w:r>
    </w:p>
    <w:p w14:paraId="1A9EE33E" w14:textId="55AEA57B" w:rsidR="007F43AE" w:rsidRPr="008A0C9B" w:rsidRDefault="007F43AE" w:rsidP="00122281">
      <m:oMathPara>
        <m:oMath>
          <m:m>
            <m:mPr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α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f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w:rPr>
                        <w:rFonts w:ascii="Cambria Math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den>
                </m:f>
              </m:e>
              <m:e>
                <m:r>
                  <w:rPr>
                    <w:rFonts w:ascii="Cambria Math" w:hAnsi="Cambria Math"/>
                  </w:rPr>
                  <m:t>=</m:t>
                </m:r>
                <m:limLow>
                  <m:limLowPr>
                    <m:ctrlPr>
                      <w:rPr>
                        <w:rFonts w:ascii="Cambria Math" w:hAnsi="Cambria Math"/>
                        <w:b/>
                      </w:rPr>
                    </m:ctrlPr>
                  </m:limLowPr>
                  <m:e>
                    <m:groupChr>
                      <m:groupChr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groupChr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m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den>
                        </m:f>
                      </m:e>
                    </m:groupCh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lim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</m:lim>
                </m:limLow>
                <m:r>
                  <m:rPr>
                    <m:sty m:val="bi"/>
                  </m:rPr>
                  <w:rPr>
                    <w:rFonts w:ascii="Cambria Math" w:hAnsi="Cambria Math"/>
                  </w:rPr>
                  <m:t>∙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</m:e>
            </m:mr>
            <m:m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α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f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w:rPr>
                        <w:rFonts w:ascii="Cambria Math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den>
                </m:f>
              </m:e>
              <m:e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kg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1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</w:rPr>
                  <m:t>∙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kg</m:t>
                    </m:r>
                  </m:den>
                </m:f>
              </m:e>
            </m:mr>
          </m:m>
        </m:oMath>
      </m:oMathPara>
    </w:p>
    <w:p w14:paraId="2B22EAEF" w14:textId="68F0B24A" w:rsidR="008A0C9B" w:rsidRDefault="008A0C9B" w:rsidP="00122281">
      <w:pPr>
        <w:rPr>
          <w:rFonts w:eastAsiaTheme="minorEastAsia"/>
        </w:rPr>
      </w:pPr>
      <w:r>
        <w:t xml:space="preserve">As can be seen, </w:t>
      </w:r>
      <m:oMath>
        <m:r>
          <w:rPr>
            <w:rFonts w:ascii="Cambria Math" w:hAnsi="Cambria Math"/>
          </w:rPr>
          <m:t>α</m:t>
        </m:r>
      </m:oMath>
      <w:r>
        <w:rPr>
          <w:rFonts w:eastAsiaTheme="minorEastAsia"/>
        </w:rPr>
        <w:t xml:space="preserve"> must have different units for both dimensions in order to compensate for the incompatible units. As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is theoretically a scalar, this would not be possible.</w:t>
      </w:r>
    </w:p>
    <w:p w14:paraId="2BC4B91B" w14:textId="69DE30D3" w:rsidR="00F95565" w:rsidRDefault="00CD5B3C" w:rsidP="00F95565">
      <w:pPr>
        <w:pStyle w:val="Heading3"/>
      </w:pPr>
      <w:r>
        <w:t>Momen</w:t>
      </w:r>
      <w:r w:rsidR="00F95565">
        <w:t>t</w:t>
      </w:r>
      <w:r>
        <w:t>um</w:t>
      </w:r>
      <w:r w:rsidR="00F95565">
        <w:t xml:space="preserve"> </w:t>
      </w:r>
      <w:r>
        <w:t xml:space="preserve">gradient </w:t>
      </w:r>
      <w:r w:rsidR="00F95565">
        <w:t>descent</w:t>
      </w:r>
    </w:p>
    <w:p w14:paraId="27302D76" w14:textId="7E157266" w:rsidR="00A42B9B" w:rsidRDefault="00A42B9B" w:rsidP="00A42B9B">
      <w:r>
        <w:br/>
        <w:t xml:space="preserve">For </w:t>
      </w:r>
      <m:oMath>
        <m:r>
          <w:rPr>
            <w:rFonts w:ascii="Cambria Math" w:hAnsi="Cambria Math"/>
          </w:rPr>
          <m:t>γ,α</m:t>
        </m:r>
        <m:r>
          <m:rPr>
            <m:scr m:val="double-struck"/>
          </m:rPr>
          <w:rPr>
            <w:rFonts w:ascii="Cambria Math" w:eastAsiaTheme="minorEastAsia" w:hAnsi="Cambria Math"/>
          </w:rPr>
          <m:t>∈R</m:t>
        </m:r>
      </m:oMath>
      <w:r>
        <w:t xml:space="preserve">, we have the gradient </w:t>
      </w:r>
      <w:r>
        <w:t>update:</w:t>
      </w:r>
    </w:p>
    <w:p w14:paraId="7E4CC3CE" w14:textId="764974CE" w:rsidR="00A42B9B" w:rsidRPr="00690109" w:rsidRDefault="00A42B9B" w:rsidP="00A42B9B">
      <w:pPr>
        <w:rPr>
          <w:rFonts w:eastAsiaTheme="minorEastAsia"/>
        </w:rPr>
      </w:pPr>
      <m:oMathPara>
        <m:oMath>
          <m:m>
            <m:mPr>
              <m:plcHide m:val="1"/>
              <m:rSpRule m:val="2"/>
              <m:mcs>
                <m:mc>
                  <m:mcPr>
                    <m:count m:val="2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t+1</m:t>
                    </m:r>
                  </m:sup>
                </m:sSup>
              </m:e>
              <m:e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limLow>
                  <m:limLowPr>
                    <m:ctrlPr>
                      <w:rPr>
                        <w:rFonts w:ascii="Cambria Math" w:hAnsi="Cambria Math"/>
                        <w:i/>
                      </w:rPr>
                    </m:ctrlPr>
                  </m:limLowPr>
                  <m:e>
                    <m:groupChr>
                      <m:groupCh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groupChr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γ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+α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∇</m:t>
                            </m:r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</m:d>
                      </m:e>
                    </m:groupChr>
                  </m:e>
                  <m:li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n+1</m:t>
                        </m:r>
                      </m:sub>
                    </m:sSub>
                  </m:lim>
                </m:limLow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hAnsi="Cambria Math"/>
                  </w:rPr>
                  <m:t>⇒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t+1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-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γ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+α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∂f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</w:rPr>
                  <m:t>,  ∀ i:1,..,n</m:t>
                </m: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/>
              <m:e/>
            </m:mr>
          </m:m>
        </m:oMath>
      </m:oMathPara>
    </w:p>
    <w:p w14:paraId="73E81D0B" w14:textId="219B3796" w:rsidR="008A0C9B" w:rsidRPr="00C942CA" w:rsidRDefault="004A0A9E" w:rsidP="00122281">
      <w:pPr>
        <w:rPr>
          <w:rFonts w:eastAsiaTheme="minorEastAsia"/>
        </w:rPr>
      </w:pPr>
      <w:r>
        <w:t>From a units perspective, this leads to:</w:t>
      </w:r>
      <w:r w:rsidR="00933C33">
        <w:br/>
      </w:r>
      <w:r w:rsidR="00933C33">
        <w:br/>
      </w:r>
      <m:oMathPara>
        <m:oMath>
          <m:m>
            <m:mPr>
              <m:rSpRule m:val="2"/>
              <m:mcs>
                <m:mc>
                  <m:mcPr>
                    <m:count m:val="2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ctrlPr>
                  <w:rPr>
                    <w:rFonts w:ascii="Cambria Math" w:eastAsia="Cambria Math" w:hAnsi="Cambria Math" w:cs="Cambria Math"/>
                    <w:b/>
                  </w:rPr>
                </m:ctrlPr>
              </m:e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t+1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γ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+α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∂f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</m:den>
                    </m:f>
                  </m:e>
                </m:d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/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γ</m:t>
                </m:r>
                <m:r>
                  <w:rPr>
                    <w:rFonts w:ascii="Cambria Math" w:hAnsi="Cambria Math"/>
                  </w:rPr>
                  <m:t>∙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α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FF000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FF0000"/>
                      </w:rPr>
                      <m:t>*</m:t>
                    </m:r>
                  </m:e>
                </m:d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γ∙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α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f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w:rPr>
                        <w:rFonts w:ascii="Cambria Math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</m:e>
            </m:mr>
          </m:m>
        </m:oMath>
      </m:oMathPara>
    </w:p>
    <w:p w14:paraId="0DA194C1" w14:textId="54EA9DE2" w:rsidR="00C942CA" w:rsidRDefault="00C942CA" w:rsidP="00122281">
      <w:r>
        <w:t>From the definition of the gradient updates, we also have:</w:t>
      </w:r>
    </w:p>
    <w:p w14:paraId="47B7DCBD" w14:textId="05278D7B" w:rsidR="00C942CA" w:rsidRPr="00C942CA" w:rsidRDefault="00C942CA" w:rsidP="00122281">
      <w:pPr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b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ni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 </m:t>
          </m:r>
          <m:sSubSup>
            <m:sSubSupPr>
              <m:ctrlPr>
                <w:rPr>
                  <w:rFonts w:ascii="Cambria Math" w:hAnsi="Cambria Math"/>
                  <w:b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  <w:i/>
                </w:rPr>
              </m:ctrlPr>
            </m:sup>
          </m:sSubSup>
        </m:oMath>
      </m:oMathPara>
    </w:p>
    <w:p w14:paraId="5324154C" w14:textId="7D3CB08B" w:rsidR="00BA360A" w:rsidRPr="00BA360A" w:rsidRDefault="00BA360A" w:rsidP="00122281">
      <w:pPr>
        <w:rPr>
          <w:rFonts w:eastAsiaTheme="minorEastAsia"/>
        </w:rPr>
      </w:pPr>
      <w:r>
        <w:t xml:space="preserve">Setting this equality into </w:t>
      </w:r>
      <m:oMath>
        <m:d>
          <m:dPr>
            <m:ctrlPr>
              <w:rPr>
                <w:rFonts w:ascii="Cambria Math" w:eastAsia="Cambria Math" w:hAnsi="Cambria Math" w:cs="Cambria Math"/>
                <w:i/>
                <w:color w:val="FF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FF0000"/>
              </w:rPr>
              <m:t>*</m:t>
            </m:r>
          </m:e>
        </m:d>
      </m:oMath>
      <w:r w:rsidRPr="00BA360A">
        <w:rPr>
          <w:rFonts w:eastAsiaTheme="minorEastAsia"/>
        </w:rPr>
        <w:t>, we arrive at:</w:t>
      </w:r>
    </w:p>
    <w:p w14:paraId="1C4DBCE9" w14:textId="2587C6E8" w:rsidR="00BA360A" w:rsidRPr="00662181" w:rsidRDefault="00BA360A" w:rsidP="00122281">
      <w:pPr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w:lastRenderedPageBreak/>
            <m:t>units</m:t>
          </m:r>
          <m:r>
            <m:rPr>
              <m:sty m:val="b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γ∙</m:t>
          </m:r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b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ni</m:t>
              </m:r>
            </m:sub>
          </m:sSub>
          <m:r>
            <w:rPr>
              <w:rFonts w:ascii="Cambria Math" w:hAnsi="Cambria Math"/>
            </w:rPr>
            <m:t>+</m:t>
          </m:r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α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>units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b/>
                </w:rPr>
              </m:ctrlPr>
            </m:num>
            <m:den>
              <m:r>
                <m:rPr>
                  <m:sty m:val="b"/>
                </m:rPr>
                <w:rPr>
                  <w:rFonts w:ascii="Cambria Math" w:hAnsi="Cambria Math"/>
                </w:rPr>
                <m:t>units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b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∙</m:t>
          </m:r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 </m:t>
          </m:r>
          <m:sSubSup>
            <m:sSubSupPr>
              <m:ctrlPr>
                <w:rPr>
                  <w:rFonts w:ascii="Cambria Math" w:hAnsi="Cambria Math"/>
                  <w:b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  <w:i/>
                </w:rPr>
              </m:ctrlPr>
            </m:sup>
          </m:sSubSup>
          <m:r>
            <m:rPr>
              <m:sty m:val="b"/>
            </m:rPr>
            <w:rPr>
              <w:rFonts w:ascii="Cambria Math" w:hAnsi="Cambria Math"/>
            </w:rPr>
            <m:t>+</m:t>
          </m:r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α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>units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b/>
                </w:rPr>
              </m:ctrlPr>
            </m:num>
            <m:den>
              <m:r>
                <m:rPr>
                  <m:sty m:val="b"/>
                </m:rPr>
                <w:rPr>
                  <w:rFonts w:ascii="Cambria Math" w:hAnsi="Cambria Math"/>
                </w:rPr>
                <m:t>units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den>
          </m:f>
        </m:oMath>
      </m:oMathPara>
    </w:p>
    <w:p w14:paraId="08843726" w14:textId="090078CC" w:rsidR="00662181" w:rsidRDefault="00662181" w:rsidP="00662181">
      <w:r>
        <w:t xml:space="preserve">To add </w:t>
      </w:r>
      <w:r>
        <w:t>the units on the right side</w:t>
      </w:r>
      <w:r>
        <w:t xml:space="preserve"> additively, we have:</w:t>
      </w:r>
    </w:p>
    <w:p w14:paraId="53444F59" w14:textId="52141280" w:rsidR="00662181" w:rsidRPr="00C942CA" w:rsidRDefault="00662181" w:rsidP="00662181">
      <w:pPr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b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γ∙</m:t>
          </m:r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 </m:t>
          </m:r>
          <m:sSubSup>
            <m:sSubSupPr>
              <m:ctrlPr>
                <w:rPr>
                  <w:rFonts w:ascii="Cambria Math" w:hAnsi="Cambria Math"/>
                  <w:b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  <w:i/>
                </w:rPr>
              </m:ctrlPr>
            </m:sup>
          </m:sSubSup>
          <m: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α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>units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b/>
                </w:rPr>
              </m:ctrlPr>
            </m:num>
            <m:den>
              <m:r>
                <m:rPr>
                  <m:sty m:val="b"/>
                </m:rPr>
                <w:rPr>
                  <w:rFonts w:ascii="Cambria Math" w:hAnsi="Cambria Math"/>
                </w:rPr>
                <m:t>units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den>
          </m:f>
        </m:oMath>
      </m:oMathPara>
    </w:p>
    <w:p w14:paraId="6478CBD1" w14:textId="56EB5037" w:rsidR="00662181" w:rsidRDefault="00662181" w:rsidP="00122281">
      <w:pPr>
        <w:rPr>
          <w:rFonts w:eastAsiaTheme="minorEastAsia"/>
        </w:rPr>
      </w:pPr>
      <w:r>
        <w:rPr>
          <w:rFonts w:eastAsiaTheme="minorEastAsia"/>
        </w:rPr>
        <w:t xml:space="preserve">As this all </w:t>
      </w:r>
      <w:proofErr w:type="gramStart"/>
      <w:r>
        <w:rPr>
          <w:rFonts w:eastAsiaTheme="minorEastAsia"/>
        </w:rPr>
        <w:t>has to</w:t>
      </w:r>
      <w:proofErr w:type="gramEnd"/>
      <w:r>
        <w:rPr>
          <w:rFonts w:eastAsiaTheme="minorEastAsia"/>
        </w:rPr>
        <w:t xml:space="preserve"> be equal to </w:t>
      </w:r>
      <m:oMath>
        <m:r>
          <m:rPr>
            <m:sty m:val="b"/>
          </m:rPr>
          <w:rPr>
            <w:rFonts w:ascii="Cambria Math" w:hAnsi="Cambria Math"/>
          </w:rPr>
          <m:t>units</m:t>
        </m:r>
        <m:r>
          <m:rPr>
            <m:sty m:val="bi"/>
          </m:rPr>
          <w:rPr>
            <w:rFonts w:ascii="Cambria Math" w:eastAsiaTheme="minorEastAsia" w:hAnsi="Cambria Math"/>
          </w:rPr>
          <m:t xml:space="preserve"> </m:t>
        </m:r>
        <m:sSubSup>
          <m:sSubSupPr>
            <m:ctrlPr>
              <w:rPr>
                <w:rFonts w:ascii="Cambria Math" w:hAnsi="Cambria Math"/>
                <w:b/>
              </w:rPr>
            </m:ctrlPr>
          </m:sSubSup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sup>
        </m:sSubSup>
      </m:oMath>
      <w:r>
        <w:rPr>
          <w:rFonts w:eastAsiaTheme="minorEastAsia"/>
        </w:rPr>
        <w:t xml:space="preserve">, (because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</m:oMath>
      <w:r>
        <w:rPr>
          <w:rFonts w:eastAsiaTheme="minorEastAsia"/>
        </w:rPr>
        <w:t xml:space="preserve"> needs the same units as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</w:rPr>
            </m:ctrlP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>) we arrive at:</w:t>
      </w:r>
    </w:p>
    <w:p w14:paraId="1C7133E3" w14:textId="5F097327" w:rsidR="00662181" w:rsidRPr="00662181" w:rsidRDefault="00662181" w:rsidP="00122281">
      <w:pPr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>units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b"/>
                </m:rPr>
                <w:rPr>
                  <w:rFonts w:ascii="Cambria Math" w:hAnsi="Cambria Math"/>
                </w:rPr>
                <m:t>units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f</m:t>
              </m:r>
            </m:den>
          </m:f>
        </m:oMath>
      </m:oMathPara>
    </w:p>
    <w:p w14:paraId="0893835A" w14:textId="45DACD81" w:rsidR="00662181" w:rsidRPr="00662181" w:rsidRDefault="00662181" w:rsidP="00122281">
      <w:pPr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γ=</m:t>
          </m:r>
          <m:r>
            <w:rPr>
              <w:rFonts w:ascii="Cambria Math" w:eastAsiaTheme="minorEastAsia" w:hAnsi="Cambria Math"/>
            </w:rPr>
            <m:t>1</m:t>
          </m:r>
        </m:oMath>
      </m:oMathPara>
    </w:p>
    <w:p w14:paraId="0C7F48A4" w14:textId="77777777" w:rsidR="00F45475" w:rsidRDefault="00662181" w:rsidP="00122281">
      <w:pPr>
        <w:rPr>
          <w:rFonts w:eastAsiaTheme="minorEastAsia"/>
        </w:rPr>
      </w:pPr>
      <w:r>
        <w:rPr>
          <w:rFonts w:eastAsiaTheme="minorEastAsia"/>
        </w:rPr>
        <w:t xml:space="preserve">Therefore </w:t>
      </w:r>
      <m:oMath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 is dimensionless. Again, the units are not consistent</w:t>
      </w:r>
      <w:r w:rsidR="00F45475">
        <w:rPr>
          <w:rFonts w:eastAsiaTheme="minorEastAsia"/>
        </w:rPr>
        <w:t xml:space="preserve">, because </w:t>
      </w:r>
    </w:p>
    <w:p w14:paraId="760AAC6B" w14:textId="5891A4F6" w:rsidR="00662181" w:rsidRDefault="00F45475" w:rsidP="00122281">
      <w:pPr>
        <w:rPr>
          <w:rFonts w:eastAsiaTheme="minorEastAsia"/>
          <w:b/>
        </w:rPr>
      </w:pPr>
      <w:r>
        <w:rPr>
          <w:rFonts w:eastAsiaTheme="minorEastAsia"/>
        </w:rPr>
        <w:t xml:space="preserve"> </w:t>
      </w:r>
      <m:oMath>
        <m:r>
          <m:rPr>
            <m:sty m:val="b"/>
          </m:rPr>
          <w:rPr>
            <w:rFonts w:ascii="Cambria Math" w:hAnsi="Cambria Math"/>
          </w:rPr>
          <m:t>units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α</m:t>
        </m:r>
      </m:oMath>
      <w:r>
        <w:rPr>
          <w:rFonts w:eastAsiaTheme="minorEastAsia"/>
        </w:rPr>
        <w:t xml:space="preserve"> is dependent on </w:t>
      </w:r>
      <m:oMath>
        <m:r>
          <m:rPr>
            <m:sty m:val="b"/>
          </m:rPr>
          <w:rPr>
            <w:rFonts w:ascii="Cambria Math" w:hAnsi="Cambria Math"/>
          </w:rPr>
          <m:t>units</m:t>
        </m:r>
        <m:r>
          <m:rPr>
            <m:sty m:val="bi"/>
          </m:rPr>
          <w:rPr>
            <w:rFonts w:ascii="Cambria Math" w:eastAsiaTheme="minorEastAsia" w:hAnsi="Cambria Math"/>
          </w:rPr>
          <m:t xml:space="preserve"> </m:t>
        </m:r>
        <m:sSubSup>
          <m:sSubSupPr>
            <m:ctrlPr>
              <w:rPr>
                <w:rFonts w:ascii="Cambria Math" w:hAnsi="Cambria Math"/>
                <w:b/>
              </w:rPr>
            </m:ctrlPr>
          </m:sSubSup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sup>
        </m:sSubSup>
      </m:oMath>
      <w:r>
        <w:rPr>
          <w:rFonts w:eastAsiaTheme="minorEastAsia"/>
        </w:rPr>
        <w:t xml:space="preserve"> (Which it shouldn’t as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is a scalar and could theoretically not give different units for each component of </w:t>
      </w:r>
      <m:oMath>
        <m:r>
          <m:rPr>
            <m:sty m:val="b"/>
          </m:rP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).</w:t>
      </w:r>
    </w:p>
    <w:p w14:paraId="285A1C09" w14:textId="7EFB1BCE" w:rsidR="00FF0031" w:rsidRDefault="00FF0031" w:rsidP="00FF0031">
      <w:pPr>
        <w:pStyle w:val="Heading3"/>
      </w:pPr>
      <w:r>
        <w:t>Other methods</w:t>
      </w:r>
    </w:p>
    <w:p w14:paraId="777F5364" w14:textId="5A7F0809" w:rsidR="00662181" w:rsidRDefault="00FF0031" w:rsidP="00122281">
      <w:pPr>
        <w:rPr>
          <w:rFonts w:eastAsiaTheme="minorEastAsia"/>
        </w:rPr>
      </w:pPr>
      <w:r>
        <w:rPr>
          <w:rFonts w:eastAsiaTheme="minorEastAsia"/>
        </w:rPr>
        <w:t xml:space="preserve">Continuing this analysis for other methods, we see that Adam </w:t>
      </w:r>
      <w:r w:rsidR="0022274D">
        <w:rPr>
          <w:rFonts w:eastAsiaTheme="minorEastAsia"/>
        </w:rPr>
        <w:t xml:space="preserve">delivers consistent </w:t>
      </w:r>
      <w:proofErr w:type="spellStart"/>
      <w:r w:rsidR="0022274D">
        <w:rPr>
          <w:rFonts w:eastAsiaTheme="minorEastAsia"/>
        </w:rPr>
        <w:t>unt</w:t>
      </w:r>
      <w:proofErr w:type="spellEnd"/>
    </w:p>
    <w:p w14:paraId="56641D6E" w14:textId="59C9EED5" w:rsidR="00D6465C" w:rsidRDefault="00D6465C" w:rsidP="00122281">
      <w:pPr>
        <w:rPr>
          <w:rFonts w:eastAsiaTheme="minorEastAsia"/>
        </w:rPr>
      </w:pPr>
    </w:p>
    <w:tbl>
      <w:tblPr>
        <w:tblStyle w:val="TableGrid"/>
        <w:tblW w:w="12758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CCCC"/>
        <w:tblLook w:val="04A0" w:firstRow="1" w:lastRow="0" w:firstColumn="1" w:lastColumn="0" w:noHBand="0" w:noVBand="1"/>
      </w:tblPr>
      <w:tblGrid>
        <w:gridCol w:w="1230"/>
        <w:gridCol w:w="11528"/>
      </w:tblGrid>
      <w:tr w:rsidR="00D6465C" w14:paraId="3EAFB2C5" w14:textId="77777777" w:rsidTr="00FF04DE">
        <w:trPr>
          <w:trHeight w:val="981"/>
        </w:trPr>
        <w:tc>
          <w:tcPr>
            <w:tcW w:w="1230" w:type="dxa"/>
            <w:shd w:val="clear" w:color="auto" w:fill="FFCCCC"/>
          </w:tcPr>
          <w:p w14:paraId="49A1596F" w14:textId="77777777" w:rsidR="00D6465C" w:rsidRDefault="00D6465C" w:rsidP="00FF04DE">
            <w:pPr>
              <w:pStyle w:val="Heading1"/>
              <w:outlineLvl w:val="0"/>
            </w:pPr>
          </w:p>
        </w:tc>
        <w:tc>
          <w:tcPr>
            <w:tcW w:w="11528" w:type="dxa"/>
            <w:shd w:val="clear" w:color="auto" w:fill="FFCCCC"/>
          </w:tcPr>
          <w:p w14:paraId="4DF0C8FF" w14:textId="7DDB44C3" w:rsidR="00D6465C" w:rsidRDefault="00D6465C" w:rsidP="00FF04DE">
            <w:pPr>
              <w:pStyle w:val="Heading1"/>
              <w:outlineLvl w:val="0"/>
            </w:pPr>
            <w:r>
              <w:t>9A-</w:t>
            </w:r>
            <w:r>
              <w:t>2</w:t>
            </w:r>
            <w:r>
              <w:t>.</w:t>
            </w:r>
          </w:p>
          <w:p w14:paraId="295BB807" w14:textId="77777777" w:rsidR="00D6465C" w:rsidRPr="001E0C4D" w:rsidRDefault="00D6465C" w:rsidP="00FF04DE">
            <w:pPr>
              <w:rPr>
                <w:sz w:val="16"/>
                <w:szCs w:val="16"/>
              </w:rPr>
            </w:pPr>
          </w:p>
        </w:tc>
      </w:tr>
    </w:tbl>
    <w:p w14:paraId="6F0AA513" w14:textId="77777777" w:rsidR="00AF668C" w:rsidRDefault="002A0874" w:rsidP="00AF668C">
      <w:pPr>
        <w:keepNext/>
      </w:pPr>
      <w:r w:rsidRPr="002A0874">
        <w:rPr>
          <w:rFonts w:eastAsiaTheme="minorEastAsia"/>
        </w:rPr>
        <w:drawing>
          <wp:inline distT="0" distB="0" distL="0" distR="0" wp14:anchorId="4B97C30A" wp14:editId="182238DE">
            <wp:extent cx="5848350" cy="4391025"/>
            <wp:effectExtent l="0" t="0" r="0" b="9525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5478" w14:textId="22C2FE6A" w:rsidR="00D6465C" w:rsidRDefault="00AF668C" w:rsidP="00AF668C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One vs many classification</w:t>
      </w:r>
    </w:p>
    <w:p w14:paraId="2DFB56D4" w14:textId="1E3EBDC3" w:rsidR="00AF668C" w:rsidRDefault="00AF668C" w:rsidP="00AF668C"/>
    <w:p w14:paraId="435969B7" w14:textId="77777777" w:rsidR="00AF668C" w:rsidRDefault="00AF668C" w:rsidP="00AF668C">
      <w:pPr>
        <w:keepNext/>
      </w:pPr>
      <w:r w:rsidRPr="00AF668C">
        <w:lastRenderedPageBreak/>
        <w:drawing>
          <wp:inline distT="0" distB="0" distL="0" distR="0" wp14:anchorId="1A2A8C03" wp14:editId="6D4A124C">
            <wp:extent cx="5848350" cy="4391025"/>
            <wp:effectExtent l="0" t="0" r="0" b="9525"/>
            <wp:docPr id="2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A4E6" w14:textId="1296A8F1" w:rsidR="00AF668C" w:rsidRDefault="00AF668C" w:rsidP="00AF668C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 Classification through one single multinomial logistic regressor</w:t>
      </w:r>
    </w:p>
    <w:p w14:paraId="508EDF79" w14:textId="3716F806" w:rsidR="00AF668C" w:rsidRPr="00AF668C" w:rsidRDefault="0082651F" w:rsidP="00AF668C">
      <w:r>
        <w:t>In our example, the classifications are equal although the probabilities differ slightly.</w:t>
      </w:r>
    </w:p>
    <w:sectPr w:rsidR="00AF668C" w:rsidRPr="00AF668C" w:rsidSect="008B40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6B6E79"/>
    <w:multiLevelType w:val="hybridMultilevel"/>
    <w:tmpl w:val="001EF5EE"/>
    <w:lvl w:ilvl="0" w:tplc="79FC294A">
      <w:start w:val="1"/>
      <w:numFmt w:val="lowerRoman"/>
      <w:lvlText w:val="(%1)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DDB"/>
    <w:rsid w:val="00003851"/>
    <w:rsid w:val="000112BF"/>
    <w:rsid w:val="000133A4"/>
    <w:rsid w:val="000152A5"/>
    <w:rsid w:val="000159CC"/>
    <w:rsid w:val="00051BF5"/>
    <w:rsid w:val="0005429B"/>
    <w:rsid w:val="00065FA8"/>
    <w:rsid w:val="0008110D"/>
    <w:rsid w:val="00082331"/>
    <w:rsid w:val="000837E3"/>
    <w:rsid w:val="000A7CD9"/>
    <w:rsid w:val="000C5E1D"/>
    <w:rsid w:val="00100212"/>
    <w:rsid w:val="00105406"/>
    <w:rsid w:val="00117350"/>
    <w:rsid w:val="00122281"/>
    <w:rsid w:val="00130AB0"/>
    <w:rsid w:val="00147284"/>
    <w:rsid w:val="00184DDB"/>
    <w:rsid w:val="001B0F0C"/>
    <w:rsid w:val="001C1A5D"/>
    <w:rsid w:val="001D03AB"/>
    <w:rsid w:val="001D3693"/>
    <w:rsid w:val="001E01AD"/>
    <w:rsid w:val="001F4FFA"/>
    <w:rsid w:val="001F64FF"/>
    <w:rsid w:val="00217ED0"/>
    <w:rsid w:val="00222237"/>
    <w:rsid w:val="0022274D"/>
    <w:rsid w:val="00223133"/>
    <w:rsid w:val="0023578B"/>
    <w:rsid w:val="00256CEE"/>
    <w:rsid w:val="00266728"/>
    <w:rsid w:val="0027214E"/>
    <w:rsid w:val="00273114"/>
    <w:rsid w:val="00273666"/>
    <w:rsid w:val="0027739A"/>
    <w:rsid w:val="0028353C"/>
    <w:rsid w:val="00284F83"/>
    <w:rsid w:val="002A0874"/>
    <w:rsid w:val="002A3554"/>
    <w:rsid w:val="002B23FD"/>
    <w:rsid w:val="002C78F6"/>
    <w:rsid w:val="002D0AB1"/>
    <w:rsid w:val="002D0BBB"/>
    <w:rsid w:val="002E19DD"/>
    <w:rsid w:val="002F1377"/>
    <w:rsid w:val="002F254B"/>
    <w:rsid w:val="0031003B"/>
    <w:rsid w:val="003360F0"/>
    <w:rsid w:val="0033751D"/>
    <w:rsid w:val="003547CC"/>
    <w:rsid w:val="00396211"/>
    <w:rsid w:val="003D4216"/>
    <w:rsid w:val="003E1E96"/>
    <w:rsid w:val="003F7F05"/>
    <w:rsid w:val="00402A57"/>
    <w:rsid w:val="004053A6"/>
    <w:rsid w:val="0040661D"/>
    <w:rsid w:val="0041485F"/>
    <w:rsid w:val="00420C9C"/>
    <w:rsid w:val="00430466"/>
    <w:rsid w:val="0045077E"/>
    <w:rsid w:val="00451123"/>
    <w:rsid w:val="0046690D"/>
    <w:rsid w:val="00494EF1"/>
    <w:rsid w:val="00497B60"/>
    <w:rsid w:val="004A0A9E"/>
    <w:rsid w:val="004A19EA"/>
    <w:rsid w:val="004B326E"/>
    <w:rsid w:val="004C48C4"/>
    <w:rsid w:val="004C5823"/>
    <w:rsid w:val="004D0E1C"/>
    <w:rsid w:val="00513D60"/>
    <w:rsid w:val="00535135"/>
    <w:rsid w:val="0055559E"/>
    <w:rsid w:val="00582CED"/>
    <w:rsid w:val="00584580"/>
    <w:rsid w:val="005929B8"/>
    <w:rsid w:val="005B0428"/>
    <w:rsid w:val="005B14CE"/>
    <w:rsid w:val="005D1A46"/>
    <w:rsid w:val="005F3120"/>
    <w:rsid w:val="0062525E"/>
    <w:rsid w:val="00636FF5"/>
    <w:rsid w:val="006372C9"/>
    <w:rsid w:val="0063737E"/>
    <w:rsid w:val="00645AC2"/>
    <w:rsid w:val="006479E3"/>
    <w:rsid w:val="00662181"/>
    <w:rsid w:val="00663F72"/>
    <w:rsid w:val="00664FD9"/>
    <w:rsid w:val="00690109"/>
    <w:rsid w:val="006A0BC8"/>
    <w:rsid w:val="006A1C0A"/>
    <w:rsid w:val="006E137F"/>
    <w:rsid w:val="006E4B12"/>
    <w:rsid w:val="007033B8"/>
    <w:rsid w:val="007051DC"/>
    <w:rsid w:val="00714EB9"/>
    <w:rsid w:val="007216E5"/>
    <w:rsid w:val="007268F8"/>
    <w:rsid w:val="00731E96"/>
    <w:rsid w:val="00741C8D"/>
    <w:rsid w:val="00745F11"/>
    <w:rsid w:val="00747597"/>
    <w:rsid w:val="00793833"/>
    <w:rsid w:val="007A47D8"/>
    <w:rsid w:val="007A4AA2"/>
    <w:rsid w:val="007B236E"/>
    <w:rsid w:val="007B4D79"/>
    <w:rsid w:val="007C5FD3"/>
    <w:rsid w:val="007D5DA0"/>
    <w:rsid w:val="007F05F3"/>
    <w:rsid w:val="007F43AE"/>
    <w:rsid w:val="008059EC"/>
    <w:rsid w:val="0081293E"/>
    <w:rsid w:val="0082256C"/>
    <w:rsid w:val="008260FE"/>
    <w:rsid w:val="0082651F"/>
    <w:rsid w:val="00846F5E"/>
    <w:rsid w:val="00851CA6"/>
    <w:rsid w:val="00854D8B"/>
    <w:rsid w:val="008665A0"/>
    <w:rsid w:val="00877095"/>
    <w:rsid w:val="00882341"/>
    <w:rsid w:val="00882401"/>
    <w:rsid w:val="00885F6E"/>
    <w:rsid w:val="008906C2"/>
    <w:rsid w:val="008A0C9B"/>
    <w:rsid w:val="008A5945"/>
    <w:rsid w:val="008B0A6C"/>
    <w:rsid w:val="008B3D03"/>
    <w:rsid w:val="008B4092"/>
    <w:rsid w:val="008C27E8"/>
    <w:rsid w:val="008E5740"/>
    <w:rsid w:val="008F1A15"/>
    <w:rsid w:val="008F440F"/>
    <w:rsid w:val="008F6709"/>
    <w:rsid w:val="00905972"/>
    <w:rsid w:val="00920107"/>
    <w:rsid w:val="00932329"/>
    <w:rsid w:val="00933C33"/>
    <w:rsid w:val="009377D8"/>
    <w:rsid w:val="0094551C"/>
    <w:rsid w:val="0096624B"/>
    <w:rsid w:val="009B3BE2"/>
    <w:rsid w:val="009E6067"/>
    <w:rsid w:val="009F1AF7"/>
    <w:rsid w:val="009F2D4C"/>
    <w:rsid w:val="009F5ABA"/>
    <w:rsid w:val="00A074F7"/>
    <w:rsid w:val="00A21779"/>
    <w:rsid w:val="00A2653B"/>
    <w:rsid w:val="00A34A94"/>
    <w:rsid w:val="00A41857"/>
    <w:rsid w:val="00A42B9B"/>
    <w:rsid w:val="00A544C9"/>
    <w:rsid w:val="00A8389B"/>
    <w:rsid w:val="00A93703"/>
    <w:rsid w:val="00AB466C"/>
    <w:rsid w:val="00AB49A4"/>
    <w:rsid w:val="00AD3D79"/>
    <w:rsid w:val="00AD7C8F"/>
    <w:rsid w:val="00AE060B"/>
    <w:rsid w:val="00AE61DD"/>
    <w:rsid w:val="00AF668C"/>
    <w:rsid w:val="00B07932"/>
    <w:rsid w:val="00B20471"/>
    <w:rsid w:val="00B941F3"/>
    <w:rsid w:val="00BA360A"/>
    <w:rsid w:val="00BC4EC7"/>
    <w:rsid w:val="00C035AE"/>
    <w:rsid w:val="00C07B51"/>
    <w:rsid w:val="00C311A9"/>
    <w:rsid w:val="00C43C14"/>
    <w:rsid w:val="00C67C7A"/>
    <w:rsid w:val="00C83790"/>
    <w:rsid w:val="00C84A10"/>
    <w:rsid w:val="00C84C7E"/>
    <w:rsid w:val="00C90DCD"/>
    <w:rsid w:val="00C942CA"/>
    <w:rsid w:val="00C97197"/>
    <w:rsid w:val="00CA55C8"/>
    <w:rsid w:val="00CB203D"/>
    <w:rsid w:val="00CB716B"/>
    <w:rsid w:val="00CD12B9"/>
    <w:rsid w:val="00CD5B3C"/>
    <w:rsid w:val="00CE7E3E"/>
    <w:rsid w:val="00CF62FF"/>
    <w:rsid w:val="00D01022"/>
    <w:rsid w:val="00D1773C"/>
    <w:rsid w:val="00D230E5"/>
    <w:rsid w:val="00D32741"/>
    <w:rsid w:val="00D37372"/>
    <w:rsid w:val="00D4211B"/>
    <w:rsid w:val="00D6465C"/>
    <w:rsid w:val="00D65E2C"/>
    <w:rsid w:val="00D732EF"/>
    <w:rsid w:val="00D84970"/>
    <w:rsid w:val="00D97486"/>
    <w:rsid w:val="00DA2388"/>
    <w:rsid w:val="00DC5666"/>
    <w:rsid w:val="00DD046E"/>
    <w:rsid w:val="00DE266D"/>
    <w:rsid w:val="00E011E0"/>
    <w:rsid w:val="00E10D67"/>
    <w:rsid w:val="00E168D5"/>
    <w:rsid w:val="00E313FF"/>
    <w:rsid w:val="00E41D74"/>
    <w:rsid w:val="00E54209"/>
    <w:rsid w:val="00E54CEC"/>
    <w:rsid w:val="00E749C0"/>
    <w:rsid w:val="00E76D22"/>
    <w:rsid w:val="00E86C22"/>
    <w:rsid w:val="00E9588C"/>
    <w:rsid w:val="00EB658A"/>
    <w:rsid w:val="00EC3C21"/>
    <w:rsid w:val="00ED1AC9"/>
    <w:rsid w:val="00ED2237"/>
    <w:rsid w:val="00ED6A89"/>
    <w:rsid w:val="00EE7ECD"/>
    <w:rsid w:val="00F02BCC"/>
    <w:rsid w:val="00F105C9"/>
    <w:rsid w:val="00F14D24"/>
    <w:rsid w:val="00F15F09"/>
    <w:rsid w:val="00F270DE"/>
    <w:rsid w:val="00F32D24"/>
    <w:rsid w:val="00F44C71"/>
    <w:rsid w:val="00F45475"/>
    <w:rsid w:val="00F5222B"/>
    <w:rsid w:val="00F53D93"/>
    <w:rsid w:val="00F6271A"/>
    <w:rsid w:val="00F646E0"/>
    <w:rsid w:val="00F6480E"/>
    <w:rsid w:val="00F65483"/>
    <w:rsid w:val="00F7211E"/>
    <w:rsid w:val="00F72687"/>
    <w:rsid w:val="00F94D2D"/>
    <w:rsid w:val="00F95565"/>
    <w:rsid w:val="00F9746F"/>
    <w:rsid w:val="00FA5399"/>
    <w:rsid w:val="00FB1E17"/>
    <w:rsid w:val="00FB364A"/>
    <w:rsid w:val="00FB4F86"/>
    <w:rsid w:val="00FB58A2"/>
    <w:rsid w:val="00FC4604"/>
    <w:rsid w:val="00FD0613"/>
    <w:rsid w:val="00FE1CBB"/>
    <w:rsid w:val="00FF0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14813"/>
  <w15:chartTrackingRefBased/>
  <w15:docId w15:val="{07E1BF9F-8134-46C4-97AF-106C4F4E0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84DDB"/>
  </w:style>
  <w:style w:type="paragraph" w:styleId="Heading1">
    <w:name w:val="heading 1"/>
    <w:next w:val="Normal"/>
    <w:link w:val="Heading1Char"/>
    <w:uiPriority w:val="9"/>
    <w:qFormat/>
    <w:rsid w:val="00184D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pacing w:val="40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4D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595959" w:themeColor="text1" w:themeTint="A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228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4DDB"/>
    <w:rPr>
      <w:rFonts w:asciiTheme="majorHAnsi" w:eastAsiaTheme="majorEastAsia" w:hAnsiTheme="majorHAnsi" w:cstheme="majorBidi"/>
      <w:b/>
      <w:spacing w:val="40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84DDB"/>
    <w:rPr>
      <w:rFonts w:asciiTheme="majorHAnsi" w:eastAsiaTheme="majorEastAsia" w:hAnsiTheme="majorHAnsi" w:cstheme="majorBidi"/>
      <w:b/>
      <w:color w:val="595959" w:themeColor="text1" w:themeTint="A6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84DDB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4D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4DDB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84DDB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184D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84DD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84DDB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184DD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4DD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84D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4DDB"/>
  </w:style>
  <w:style w:type="paragraph" w:styleId="Footer">
    <w:name w:val="footer"/>
    <w:basedOn w:val="Normal"/>
    <w:link w:val="FooterChar"/>
    <w:uiPriority w:val="99"/>
    <w:unhideWhenUsed/>
    <w:rsid w:val="00184D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4DDB"/>
  </w:style>
  <w:style w:type="paragraph" w:styleId="FootnoteText">
    <w:name w:val="footnote text"/>
    <w:basedOn w:val="Normal"/>
    <w:link w:val="FootnoteTextChar"/>
    <w:uiPriority w:val="99"/>
    <w:semiHidden/>
    <w:unhideWhenUsed/>
    <w:rsid w:val="00184DD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84DDB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84DDB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184DD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1222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D26FB31F-43C9-405D-9A43-EA5AE8276B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797</TotalTime>
  <Pages>5</Pages>
  <Words>497</Words>
  <Characters>2837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Scheidemann</dc:creator>
  <cp:keywords/>
  <dc:description/>
  <cp:lastModifiedBy>P T</cp:lastModifiedBy>
  <cp:revision>211</cp:revision>
  <cp:lastPrinted>2019-01-12T10:42:00Z</cp:lastPrinted>
  <dcterms:created xsi:type="dcterms:W3CDTF">2018-12-13T15:03:00Z</dcterms:created>
  <dcterms:modified xsi:type="dcterms:W3CDTF">2019-01-20T17:11:00Z</dcterms:modified>
</cp:coreProperties>
</file>