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20"/>
      </w:pPr>
      <w:r>
        <w:rPr>
          <w:rFonts w:ascii="Times New Roman" w:hAnsi="Times New Roman" w:eastAsia="Times New Roman"/>
          <w:color w:val="000000"/>
          <w:sz w:val="36"/>
        </w:rPr>
        <w:t>Open-Ended Coding Analysis Framework - Reporting &amp; Visualization Standards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Version: 1.0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1. Introduction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document establishes visualization and reporting standards for the</w:t>
        <w:br/>
        <w:t>Open-Ended Coding Analysis Framework. Consistent reporting practices ensure</w:t>
        <w:br/>
        <w:t>that analysis results are clearly communicated and easily interpreted by</w:t>
        <w:br/>
        <w:t>stakeholders across different contexts.</w:t>
        <w:br/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2. Color Palette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Use the following standardized color palette for all visualizations: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Color Name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Hex Value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Usage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Primary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#1f77b4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Main accent, headers, key data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Secondary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#f0f2f6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Backgrounds, secondary elements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Success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#28a745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Positive indicators, success states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Warning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#ffc107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Caution indicators, warnings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Danger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#dc3545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Error states, negative indicators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Dark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#262730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Text, borders, dark elements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Light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#ffffff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Backgrounds, light elements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3. Typography Standards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3.1 Document Typography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Element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Font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Size (pt)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Weight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Title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 New Roman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18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Bold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Heading 1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 New Roman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16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Bold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Heading 2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 New Roman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14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Bold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Heading 3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 New Roman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12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Bold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Body Text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Times New Roman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12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Regular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Code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Courier New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10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Regular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3.2 Visualization Typography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Chart titles: 14pt, bold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Axis labels: 11pt, regular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Tick labels: 10pt, regular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Legend text: 10pt, regular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Annotations: 9pt, italic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4. Recommended Chart Types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4.1 Frequency Analysis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Bar charts for categorical frequency distributions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Horizontal bars when category labels are long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Include data labels for exact values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4.2 Relationship Analysis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Heatmaps for correlation or co-occurrence matrices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Scatter plots for continuous variable relationships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Network diagrams for complex relationships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4.3 Distribution Analysis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Histograms for continuous distributions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Box plots for comparing distributions across groups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Violin plots for detailed distribution shapes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4.4 Trend Analysis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Line charts for time series data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Area charts for cumulative trends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Include confidence intervals where appropriate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5. Table Formatting Standards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5.1 General Guidelines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Use header row with distinct background color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Align text left, numbers right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Use consistent decimal places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Include units in column headers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5.2 Numeric Formatting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Type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Example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Format Rule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Counts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1,234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Thousands separator, no decimals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Percentages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45.6%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One decimal place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Decimals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0.123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Three significant figures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Large Numbers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1.2M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Abbreviate with suffix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Currency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$1,234.56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Symbol, two decimals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6. Accessibility Guidelines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Ensure sufficient color contrast (WCAG 2.1 AA minimum)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Do not rely solely on color to convey information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Provide alt text for all images and charts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Use patterns or shapes in addition to colors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Ensure text is readable at standard zoom levels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Test visualizations with colorblind simulation tools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7. Export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Medium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Resolution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Color Space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Format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Print/PDF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300 DPI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CMYK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Vector (PDF) preferred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Web/Screen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72-96 DPI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RGB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PNG for static, SVG for scalable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Presentation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150 DPI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RGB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PNG or embedded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Raw Data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N/A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N/A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CSV or Excel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8. Standard Report Structure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All analysis reports should follow this structure: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1. Executive Summary (1 page maximum)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2. Introduction and Objectives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3. Methodology Overview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4. Key Findings (with visualizations)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5. Detailed Results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6. Limitations and Considerations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7. Conclusions and Recommendations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8. Appendices (technical details, raw data)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