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b/>
          <w:sz w:val="32"/>
        </w:rPr>
        <w:t>Benchmark Standards for Open-Ended Coding Analysis</w:t>
      </w:r>
    </w:p>
    <w:p>
      <w:pPr>
        <w:jc w:val="center"/>
      </w:pPr>
      <w:r>
        <w:rPr>
          <w:rFonts w:ascii="Times New Roman" w:hAnsi="Times New Roman"/>
          <w:i/>
          <w:sz w:val="28"/>
        </w:rPr>
        <w:t>Gold-Standard Outputs and Authoritative References</w:t>
      </w:r>
    </w:p>
    <w:p/>
    <w:p>
      <w:r>
        <w:rPr>
          <w:rFonts w:ascii="Times New Roman" w:hAnsi="Times New Roman"/>
          <w:sz w:val="22"/>
        </w:rPr>
        <w:t>Document Version: December 22, 2025</w:t>
      </w:r>
    </w:p>
    <w:p/>
    <w:p>
      <w:pPr>
        <w:pStyle w:val="Heading1"/>
      </w:pPr>
      <w:r>
        <w:rPr>
          <w:rFonts w:ascii="Times New Roman" w:hAnsi="Times New Roman"/>
          <w:b/>
        </w:rPr>
        <w:t>1. Introduction</w:t>
      </w:r>
    </w:p>
    <w:p>
      <w:r>
        <w:rPr>
          <w:rFonts w:ascii="Times New Roman" w:hAnsi="Times New Roman"/>
          <w:sz w:val="24"/>
        </w:rPr>
        <w:t>This document establishes benchmark standards for evaluating the performance and validity of open-ended coding analysis techniques implemented in the JC-OE-Coding framework. These standards are based on peer-reviewed research, established qualitative and quantitative methodologies, and industry-recognized best practices in natural language processing and thematic analysis.</w:t>
      </w:r>
    </w:p>
    <w:p/>
    <w:p>
      <w:pPr>
        <w:pStyle w:val="Heading1"/>
      </w:pPr>
      <w:r>
        <w:rPr>
          <w:rFonts w:ascii="Times New Roman" w:hAnsi="Times New Roman"/>
          <w:b/>
        </w:rPr>
        <w:t>2. Machine Learning Techniques</w:t>
      </w:r>
    </w:p>
    <w:p>
      <w:pPr>
        <w:pStyle w:val="Heading2"/>
      </w:pPr>
      <w:r>
        <w:rPr>
          <w:rFonts w:ascii="Times New Roman" w:hAnsi="Times New Roman"/>
          <w:b/>
        </w:rPr>
        <w:t>2.1 TF-IDF with K-Means Clustering</w:t>
      </w:r>
    </w:p>
    <w:p>
      <w:r>
        <w:rPr>
          <w:rFonts w:ascii="Times New Roman" w:hAnsi="Times New Roman"/>
          <w:b/>
          <w:sz w:val="24"/>
        </w:rPr>
        <w:t xml:space="preserve">Description: </w:t>
      </w:r>
      <w:r>
        <w:rPr>
          <w:rFonts w:ascii="Times New Roman" w:hAnsi="Times New Roman"/>
          <w:sz w:val="24"/>
        </w:rPr>
        <w:t>Term Frequency-Inverse Document Frequency (TF-IDF) vectorization combined with K-Means clustering for automatic theme discovery in qualitative data.</w:t>
      </w:r>
    </w:p>
    <w:p>
      <w:r>
        <w:rPr>
          <w:rFonts w:ascii="Times New Roman" w:hAnsi="Times New Roman"/>
          <w:b/>
          <w:sz w:val="24"/>
        </w:rPr>
        <w:t>Gold-Standard Outputs:</w:t>
      </w:r>
    </w:p>
    <w:p>
      <w:pPr>
        <w:pStyle w:val="ListBullet"/>
      </w:pPr>
      <w:r>
        <w:rPr>
          <w:rFonts w:ascii="Times New Roman" w:hAnsi="Times New Roman"/>
          <w:sz w:val="24"/>
        </w:rPr>
        <w:t>Silhouette Score: Values between 0.25-0.50 indicate reasonable cluster separation for text data (Rousseeuw, 1987)</w:t>
      </w:r>
    </w:p>
    <w:p>
      <w:pPr>
        <w:pStyle w:val="ListBullet"/>
      </w:pPr>
      <w:r>
        <w:rPr>
          <w:rFonts w:ascii="Times New Roman" w:hAnsi="Times New Roman"/>
          <w:sz w:val="24"/>
        </w:rPr>
        <w:t>Davies-Bouldin Index: Lower values (&lt; 1.5) indicate better cluster separation</w:t>
      </w:r>
    </w:p>
    <w:p>
      <w:pPr>
        <w:pStyle w:val="ListBullet"/>
      </w:pPr>
      <w:r>
        <w:rPr>
          <w:rFonts w:ascii="Times New Roman" w:hAnsi="Times New Roman"/>
          <w:sz w:val="24"/>
        </w:rPr>
        <w:t>Calinski-Harabasz Score: Higher values indicate better-defined clusters</w:t>
      </w:r>
    </w:p>
    <w:p>
      <w:pPr>
        <w:pStyle w:val="ListBullet"/>
      </w:pPr>
      <w:r>
        <w:rPr>
          <w:rFonts w:ascii="Times New Roman" w:hAnsi="Times New Roman"/>
          <w:sz w:val="24"/>
        </w:rPr>
        <w:t>Inertia/Within-cluster sum of squares: Should show clear elbow point for optimal k</w:t>
      </w:r>
    </w:p>
    <w:p>
      <w:pPr>
        <w:pStyle w:val="ListBullet"/>
      </w:pPr>
      <w:r>
        <w:rPr>
          <w:rFonts w:ascii="Times New Roman" w:hAnsi="Times New Roman"/>
          <w:sz w:val="24"/>
        </w:rPr>
        <w:t>Cluster coherence: Each cluster should contain semantically related documents</w:t>
      </w:r>
    </w:p>
    <w:p>
      <w:r>
        <w:rPr>
          <w:rFonts w:ascii="Times New Roman" w:hAnsi="Times New Roman"/>
          <w:b/>
          <w:sz w:val="24"/>
        </w:rPr>
        <w:t>Authoritative References:</w:t>
      </w:r>
    </w:p>
    <w:p>
      <w:pPr>
        <w:pStyle w:val="ListBullet"/>
      </w:pPr>
      <w:r>
        <w:rPr>
          <w:rFonts w:ascii="Times New Roman" w:hAnsi="Times New Roman"/>
          <w:sz w:val="22"/>
        </w:rPr>
        <w:t>Salton, G., &amp; Buckley, C. (1988). Term-weighting approaches in automatic text retrieval. Information Processing &amp; Management, 24(5), 513-523.</w:t>
      </w:r>
    </w:p>
    <w:p>
      <w:pPr>
        <w:pStyle w:val="ListBullet"/>
      </w:pPr>
      <w:r>
        <w:rPr>
          <w:rFonts w:ascii="Times New Roman" w:hAnsi="Times New Roman"/>
          <w:sz w:val="22"/>
        </w:rPr>
        <w:t>MacQueen, J. (1967). Some methods for classification and analysis of multivariate observations. Proceedings of the Fifth Berkeley Symposium on Mathematical Statistics and Probability, 1(14), 281-297.</w:t>
      </w:r>
    </w:p>
    <w:p>
      <w:pPr>
        <w:pStyle w:val="ListBullet"/>
      </w:pPr>
      <w:r>
        <w:rPr>
          <w:rFonts w:ascii="Times New Roman" w:hAnsi="Times New Roman"/>
          <w:sz w:val="22"/>
        </w:rPr>
        <w:t>Rousseeuw, P. J. (1987). Silhouettes: A graphical aid to the interpretation and validation of cluster analysis. Journal of Computational and Applied Mathematics, 20, 53-65.</w:t>
      </w:r>
    </w:p>
    <w:p>
      <w:pPr>
        <w:pStyle w:val="ListBullet"/>
      </w:pPr>
      <w:r>
        <w:rPr>
          <w:rFonts w:ascii="Times New Roman" w:hAnsi="Times New Roman"/>
          <w:sz w:val="22"/>
        </w:rPr>
        <w:t>Steinbach, M., Karypis, G., &amp; Kumar, V. (2000). A comparison of document clustering techniques. KDD Workshop on Text Mining, 400(1), 525-526.</w:t>
      </w:r>
    </w:p>
    <w:p/>
    <w:p>
      <w:pPr>
        <w:pStyle w:val="Heading2"/>
      </w:pPr>
      <w:r>
        <w:rPr>
          <w:rFonts w:ascii="Times New Roman" w:hAnsi="Times New Roman"/>
          <w:b/>
        </w:rPr>
        <w:t>2.2 Latent Dirichlet Allocation (LDA)</w:t>
      </w:r>
    </w:p>
    <w:p>
      <w:r>
        <w:rPr>
          <w:rFonts w:ascii="Times New Roman" w:hAnsi="Times New Roman"/>
          <w:b/>
          <w:sz w:val="24"/>
        </w:rPr>
        <w:t xml:space="preserve">Description: </w:t>
      </w:r>
      <w:r>
        <w:rPr>
          <w:rFonts w:ascii="Times New Roman" w:hAnsi="Times New Roman"/>
          <w:sz w:val="24"/>
        </w:rPr>
        <w:t>Probabilistic generative model for discovering latent topics in text collections, treating documents as mixtures of topics and topics as distributions over words.</w:t>
      </w:r>
    </w:p>
    <w:p>
      <w:r>
        <w:rPr>
          <w:rFonts w:ascii="Times New Roman" w:hAnsi="Times New Roman"/>
          <w:b/>
          <w:sz w:val="24"/>
        </w:rPr>
        <w:t>Gold-Standard Outputs:</w:t>
      </w:r>
    </w:p>
    <w:p>
      <w:pPr>
        <w:pStyle w:val="ListBullet"/>
      </w:pPr>
      <w:r>
        <w:rPr>
          <w:rFonts w:ascii="Times New Roman" w:hAnsi="Times New Roman"/>
          <w:sz w:val="24"/>
        </w:rPr>
        <w:t>Perplexity: Lower values indicate better generalization (typical range: 500-2000 for moderate-sized corpora)</w:t>
      </w:r>
    </w:p>
    <w:p>
      <w:pPr>
        <w:pStyle w:val="ListBullet"/>
      </w:pPr>
      <w:r>
        <w:rPr>
          <w:rFonts w:ascii="Times New Roman" w:hAnsi="Times New Roman"/>
          <w:sz w:val="24"/>
        </w:rPr>
        <w:t>Topic Coherence (C_v): Values &gt; 0.50 indicate coherent topics (Roder et al., 2015)</w:t>
      </w:r>
    </w:p>
    <w:p>
      <w:pPr>
        <w:pStyle w:val="ListBullet"/>
      </w:pPr>
      <w:r>
        <w:rPr>
          <w:rFonts w:ascii="Times New Roman" w:hAnsi="Times New Roman"/>
          <w:sz w:val="24"/>
        </w:rPr>
        <w:t>Log-likelihood: Should increase monotonically during training convergence</w:t>
      </w:r>
    </w:p>
    <w:p>
      <w:pPr>
        <w:pStyle w:val="ListBullet"/>
      </w:pPr>
      <w:r>
        <w:rPr>
          <w:rFonts w:ascii="Times New Roman" w:hAnsi="Times New Roman"/>
          <w:sz w:val="24"/>
        </w:rPr>
        <w:t>Topic distinctiveness: Minimal overlap between top-10 words across topics</w:t>
      </w:r>
    </w:p>
    <w:p>
      <w:pPr>
        <w:pStyle w:val="ListBullet"/>
      </w:pPr>
      <w:r>
        <w:rPr>
          <w:rFonts w:ascii="Times New Roman" w:hAnsi="Times New Roman"/>
          <w:sz w:val="24"/>
        </w:rPr>
        <w:t>Document-topic distributions: Should be sparse with most documents dominated by 1-3 topics</w:t>
      </w:r>
    </w:p>
    <w:p>
      <w:r>
        <w:rPr>
          <w:rFonts w:ascii="Times New Roman" w:hAnsi="Times New Roman"/>
          <w:b/>
          <w:sz w:val="24"/>
        </w:rPr>
        <w:t>Authoritative References:</w:t>
      </w:r>
    </w:p>
    <w:p>
      <w:pPr>
        <w:pStyle w:val="ListBullet"/>
      </w:pPr>
      <w:r>
        <w:rPr>
          <w:rFonts w:ascii="Times New Roman" w:hAnsi="Times New Roman"/>
          <w:sz w:val="22"/>
        </w:rPr>
        <w:t>Blei, D. M., Ng, A. Y., &amp; Jordan, M. I. (2003). Latent Dirichlet allocation. Journal of Machine Learning Research, 3, 993-1022.</w:t>
      </w:r>
    </w:p>
    <w:p>
      <w:pPr>
        <w:pStyle w:val="ListBullet"/>
      </w:pPr>
      <w:r>
        <w:rPr>
          <w:rFonts w:ascii="Times New Roman" w:hAnsi="Times New Roman"/>
          <w:sz w:val="22"/>
        </w:rPr>
        <w:t>Griffiths, T. L., &amp; Steyvers, M. (2004). Finding scientific topics. Proceedings of the National Academy of Sciences, 101(suppl 1), 5228-5235.</w:t>
      </w:r>
    </w:p>
    <w:p>
      <w:pPr>
        <w:pStyle w:val="ListBullet"/>
      </w:pPr>
      <w:r>
        <w:rPr>
          <w:rFonts w:ascii="Times New Roman" w:hAnsi="Times New Roman"/>
          <w:sz w:val="22"/>
        </w:rPr>
        <w:t>Roder, M., Both, A., &amp; Hinneburg, A. (2015). Exploring the space of topic coherence measures. WSDM 2015, 399-408.</w:t>
      </w:r>
    </w:p>
    <w:p>
      <w:pPr>
        <w:pStyle w:val="ListBullet"/>
      </w:pPr>
      <w:r>
        <w:rPr>
          <w:rFonts w:ascii="Times New Roman" w:hAnsi="Times New Roman"/>
          <w:sz w:val="22"/>
        </w:rPr>
        <w:t>Newman, D., Lau, J. H., Grieser, K., &amp; Baldwin, T. (2010). Automatic evaluation of topic coherence. Human Language Technologies: The 2010 Annual Conference of the North American Chapter of the ACL, 100-108.</w:t>
      </w:r>
    </w:p>
    <w:p/>
    <w:p>
      <w:pPr>
        <w:pStyle w:val="Heading2"/>
      </w:pPr>
      <w:r>
        <w:rPr>
          <w:rFonts w:ascii="Times New Roman" w:hAnsi="Times New Roman"/>
          <w:b/>
        </w:rPr>
        <w:t>2.3 Non-negative Matrix Factorization (NMF)</w:t>
      </w:r>
    </w:p>
    <w:p>
      <w:r>
        <w:rPr>
          <w:rFonts w:ascii="Times New Roman" w:hAnsi="Times New Roman"/>
          <w:b/>
          <w:sz w:val="24"/>
        </w:rPr>
        <w:t xml:space="preserve">Description: </w:t>
      </w:r>
      <w:r>
        <w:rPr>
          <w:rFonts w:ascii="Times New Roman" w:hAnsi="Times New Roman"/>
          <w:sz w:val="24"/>
        </w:rPr>
        <w:t>Parts-based decomposition method that factors the document-term matrix into non-negative basis vectors (topics) and coefficients, providing interpretable additive components.</w:t>
      </w:r>
    </w:p>
    <w:p>
      <w:r>
        <w:rPr>
          <w:rFonts w:ascii="Times New Roman" w:hAnsi="Times New Roman"/>
          <w:b/>
          <w:sz w:val="24"/>
        </w:rPr>
        <w:t>Gold-Standard Outputs:</w:t>
      </w:r>
    </w:p>
    <w:p>
      <w:pPr>
        <w:pStyle w:val="ListBullet"/>
      </w:pPr>
      <w:r>
        <w:rPr>
          <w:rFonts w:ascii="Times New Roman" w:hAnsi="Times New Roman"/>
          <w:sz w:val="24"/>
        </w:rPr>
        <w:t>Reconstruction Error: Should decrease consistently during optimization</w:t>
      </w:r>
    </w:p>
    <w:p>
      <w:pPr>
        <w:pStyle w:val="ListBullet"/>
      </w:pPr>
      <w:r>
        <w:rPr>
          <w:rFonts w:ascii="Times New Roman" w:hAnsi="Times New Roman"/>
          <w:sz w:val="24"/>
        </w:rPr>
        <w:t>Frobenius Norm: Lower values indicate better factorization quality</w:t>
      </w:r>
    </w:p>
    <w:p>
      <w:pPr>
        <w:pStyle w:val="ListBullet"/>
      </w:pPr>
      <w:r>
        <w:rPr>
          <w:rFonts w:ascii="Times New Roman" w:hAnsi="Times New Roman"/>
          <w:sz w:val="24"/>
        </w:rPr>
        <w:t>Sparsity: Higher sparsity (60-80%) in coefficient matrix indicates clearer topic assignments</w:t>
      </w:r>
    </w:p>
    <w:p>
      <w:pPr>
        <w:pStyle w:val="ListBullet"/>
      </w:pPr>
      <w:r>
        <w:rPr>
          <w:rFonts w:ascii="Times New Roman" w:hAnsi="Times New Roman"/>
          <w:sz w:val="24"/>
        </w:rPr>
        <w:t>Topic interpretability: Top terms should be semantically coherent and distinctive</w:t>
      </w:r>
    </w:p>
    <w:p>
      <w:pPr>
        <w:pStyle w:val="ListBullet"/>
      </w:pPr>
      <w:r>
        <w:rPr>
          <w:rFonts w:ascii="Times New Roman" w:hAnsi="Times New Roman"/>
          <w:sz w:val="24"/>
        </w:rPr>
        <w:t>Stability: Multiple runs with different initializations should yield similar topics</w:t>
      </w:r>
    </w:p>
    <w:p>
      <w:r>
        <w:rPr>
          <w:rFonts w:ascii="Times New Roman" w:hAnsi="Times New Roman"/>
          <w:b/>
          <w:sz w:val="24"/>
        </w:rPr>
        <w:t>Authoritative References:</w:t>
      </w:r>
    </w:p>
    <w:p>
      <w:pPr>
        <w:pStyle w:val="ListBullet"/>
      </w:pPr>
      <w:r>
        <w:rPr>
          <w:rFonts w:ascii="Times New Roman" w:hAnsi="Times New Roman"/>
          <w:sz w:val="22"/>
        </w:rPr>
        <w:t>Lee, D. D., &amp; Seung, H. S. (1999). Learning the parts of objects by non-negative matrix factorization. Nature, 401(6755), 788-791.</w:t>
      </w:r>
    </w:p>
    <w:p>
      <w:pPr>
        <w:pStyle w:val="ListBullet"/>
      </w:pPr>
      <w:r>
        <w:rPr>
          <w:rFonts w:ascii="Times New Roman" w:hAnsi="Times New Roman"/>
          <w:sz w:val="22"/>
        </w:rPr>
        <w:t>Xu, W., Liu, X., &amp; Gong, Y. (2003). Document clustering based on non-negative matrix factorization. SIGIR 2003, 267-273.</w:t>
      </w:r>
    </w:p>
    <w:p>
      <w:pPr>
        <w:pStyle w:val="ListBullet"/>
      </w:pPr>
      <w:r>
        <w:rPr>
          <w:rFonts w:ascii="Times New Roman" w:hAnsi="Times New Roman"/>
          <w:sz w:val="22"/>
        </w:rPr>
        <w:t>Arora, S., Ge, R., Halpern, Y., Mimno, D., Moitra, A., Sontag, D., Wu, Y., &amp; Zhu, M. (2013). A practical algorithm for topic modeling with provable guarantees. ICML 2013, 280-288.</w:t>
      </w:r>
    </w:p>
    <w:p>
      <w:pPr>
        <w:pStyle w:val="ListBullet"/>
      </w:pPr>
      <w:r>
        <w:rPr>
          <w:rFonts w:ascii="Times New Roman" w:hAnsi="Times New Roman"/>
          <w:sz w:val="22"/>
        </w:rPr>
        <w:t>Stevens, K., Kegelmeyer, P., Andrzejewski, D., &amp; Buttler, D. (2012). Exploring topic coherence over many models and many topics. EMNLP-CoNLL 2012, 952-961.</w:t>
      </w:r>
    </w:p>
    <w:p/>
    <w:p>
      <w:pPr>
        <w:pStyle w:val="Heading1"/>
      </w:pPr>
      <w:r>
        <w:rPr>
          <w:rFonts w:ascii="Times New Roman" w:hAnsi="Times New Roman"/>
          <w:b/>
        </w:rPr>
        <w:t>3. Qualitative Coding Techniques</w:t>
      </w:r>
    </w:p>
    <w:p>
      <w:pPr>
        <w:pStyle w:val="Heading2"/>
      </w:pPr>
      <w:r>
        <w:rPr>
          <w:rFonts w:ascii="Times New Roman" w:hAnsi="Times New Roman"/>
          <w:b/>
        </w:rPr>
        <w:t>3.1 Traditional Keyword-Based Coding</w:t>
      </w:r>
    </w:p>
    <w:p>
      <w:r>
        <w:rPr>
          <w:rFonts w:ascii="Times New Roman" w:hAnsi="Times New Roman"/>
          <w:b/>
          <w:sz w:val="24"/>
        </w:rPr>
        <w:t xml:space="preserve">Description: </w:t>
      </w:r>
      <w:r>
        <w:rPr>
          <w:rFonts w:ascii="Times New Roman" w:hAnsi="Times New Roman"/>
          <w:sz w:val="24"/>
        </w:rPr>
        <w:t>Systematic application of predefined code frames with keyword matching for identifying themes in qualitative data, following established grounded theory and thematic analysis methodologies.</w:t>
      </w:r>
    </w:p>
    <w:p>
      <w:r>
        <w:rPr>
          <w:rFonts w:ascii="Times New Roman" w:hAnsi="Times New Roman"/>
          <w:b/>
          <w:sz w:val="24"/>
        </w:rPr>
        <w:t>Gold-Standard Outputs:</w:t>
      </w:r>
    </w:p>
    <w:p>
      <w:pPr>
        <w:pStyle w:val="ListBullet"/>
      </w:pPr>
      <w:r>
        <w:rPr>
          <w:rFonts w:ascii="Times New Roman" w:hAnsi="Times New Roman"/>
          <w:sz w:val="24"/>
        </w:rPr>
        <w:t>Intercoder Reliability (Cohen's Kappa): Values &gt; 0.70 indicate substantial agreement (Landis &amp; Koch, 1977)</w:t>
      </w:r>
    </w:p>
    <w:p>
      <w:pPr>
        <w:pStyle w:val="ListBullet"/>
      </w:pPr>
      <w:r>
        <w:rPr>
          <w:rFonts w:ascii="Times New Roman" w:hAnsi="Times New Roman"/>
          <w:sz w:val="24"/>
        </w:rPr>
        <w:t>Krippendorff's Alpha: Values &gt; 0.80 considered reliable for drawing definitive conclusions</w:t>
      </w:r>
    </w:p>
    <w:p>
      <w:pPr>
        <w:pStyle w:val="ListBullet"/>
      </w:pPr>
      <w:r>
        <w:rPr>
          <w:rFonts w:ascii="Times New Roman" w:hAnsi="Times New Roman"/>
          <w:sz w:val="24"/>
        </w:rPr>
        <w:t>Code coverage: Minimum 80% of responses should be coded</w:t>
      </w:r>
    </w:p>
    <w:p>
      <w:pPr>
        <w:pStyle w:val="ListBullet"/>
      </w:pPr>
      <w:r>
        <w:rPr>
          <w:rFonts w:ascii="Times New Roman" w:hAnsi="Times New Roman"/>
          <w:sz w:val="24"/>
        </w:rPr>
        <w:t>Code saturation: New codes should cease emerging after analyzing 80-90% of data</w:t>
      </w:r>
    </w:p>
    <w:p>
      <w:pPr>
        <w:pStyle w:val="ListBullet"/>
      </w:pPr>
      <w:r>
        <w:rPr>
          <w:rFonts w:ascii="Times New Roman" w:hAnsi="Times New Roman"/>
          <w:sz w:val="24"/>
        </w:rPr>
        <w:t>Code hierarchy: Clear hierarchical structure with 3-7 main themes and subcodes</w:t>
      </w:r>
    </w:p>
    <w:p>
      <w:pPr>
        <w:pStyle w:val="ListBullet"/>
      </w:pPr>
      <w:r>
        <w:rPr>
          <w:rFonts w:ascii="Times New Roman" w:hAnsi="Times New Roman"/>
          <w:sz w:val="24"/>
        </w:rPr>
        <w:t>Code definition quality: Each code has clear inclusion/exclusion criteria and examples</w:t>
      </w:r>
    </w:p>
    <w:p>
      <w:r>
        <w:rPr>
          <w:rFonts w:ascii="Times New Roman" w:hAnsi="Times New Roman"/>
          <w:b/>
          <w:sz w:val="24"/>
        </w:rPr>
        <w:t>Authoritative References:</w:t>
      </w:r>
    </w:p>
    <w:p>
      <w:pPr>
        <w:pStyle w:val="ListBullet"/>
      </w:pPr>
      <w:r>
        <w:rPr>
          <w:rFonts w:ascii="Times New Roman" w:hAnsi="Times New Roman"/>
          <w:sz w:val="22"/>
        </w:rPr>
        <w:t>Strauss, A., &amp; Corbin, J. (1998). Basics of qualitative research: Techniques and procedures for developing grounded theory (2nd ed.). Sage Publications.</w:t>
      </w:r>
    </w:p>
    <w:p>
      <w:pPr>
        <w:pStyle w:val="ListBullet"/>
      </w:pPr>
      <w:r>
        <w:rPr>
          <w:rFonts w:ascii="Times New Roman" w:hAnsi="Times New Roman"/>
          <w:sz w:val="22"/>
        </w:rPr>
        <w:t>Braun, V., &amp; Clarke, V. (2006). Using thematic analysis in psychology. Qualitative Research in Psychology, 3(2), 77-101.</w:t>
      </w:r>
    </w:p>
    <w:p>
      <w:pPr>
        <w:pStyle w:val="ListBullet"/>
      </w:pPr>
      <w:r>
        <w:rPr>
          <w:rFonts w:ascii="Times New Roman" w:hAnsi="Times New Roman"/>
          <w:sz w:val="22"/>
        </w:rPr>
        <w:t>Landis, J. R., &amp; Koch, G. G. (1977). The measurement of observer agreement for categorical data. Biometrics, 33(1), 159-174.</w:t>
      </w:r>
    </w:p>
    <w:p>
      <w:pPr>
        <w:pStyle w:val="ListBullet"/>
      </w:pPr>
      <w:r>
        <w:rPr>
          <w:rFonts w:ascii="Times New Roman" w:hAnsi="Times New Roman"/>
          <w:sz w:val="22"/>
        </w:rPr>
        <w:t>Krippendorff, K. (2004). Content analysis: An introduction to its methodology (2nd ed.). Sage Publications.</w:t>
      </w:r>
    </w:p>
    <w:p>
      <w:pPr>
        <w:pStyle w:val="ListBullet"/>
      </w:pPr>
      <w:r>
        <w:rPr>
          <w:rFonts w:ascii="Times New Roman" w:hAnsi="Times New Roman"/>
          <w:sz w:val="22"/>
        </w:rPr>
        <w:t>Saldana, J. (2015). The coding manual for qualitative researchers (3rd ed.). Sage Publications.</w:t>
      </w:r>
    </w:p>
    <w:p>
      <w:pPr>
        <w:pStyle w:val="ListBullet"/>
      </w:pPr>
      <w:r>
        <w:rPr>
          <w:rFonts w:ascii="Times New Roman" w:hAnsi="Times New Roman"/>
          <w:sz w:val="22"/>
        </w:rPr>
        <w:t>Guest, G., MacQueen, K. M., &amp; Namey, E. E. (2011). Applied thematic analysis. Sage Publications.</w:t>
      </w:r>
    </w:p>
    <w:p/>
    <w:p>
      <w:pPr>
        <w:pStyle w:val="Heading1"/>
      </w:pPr>
      <w:r>
        <w:rPr>
          <w:rFonts w:ascii="Times New Roman" w:hAnsi="Times New Roman"/>
          <w:b/>
        </w:rPr>
        <w:t>4. Essential Output Standards</w:t>
      </w:r>
    </w:p>
    <w:p>
      <w:r>
        <w:rPr>
          <w:rFonts w:ascii="Times New Roman" w:hAnsi="Times New Roman"/>
          <w:sz w:val="24"/>
        </w:rPr>
        <w:t>The framework produces 15 essential outputs for comprehensive qualitative analysis. Each output has specific quality benchmarks based on established research methodologies and industry standards.</w:t>
      </w:r>
    </w:p>
    <w:p/>
    <w:p>
      <w:pPr>
        <w:pStyle w:val="Heading2"/>
      </w:pPr>
      <w:r>
        <w:rPr>
          <w:rFonts w:ascii="Times New Roman" w:hAnsi="Times New Roman"/>
          <w:b/>
        </w:rPr>
        <w:t>4.1 Code Assignments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Minimum 80% coverage with confidence scores &gt; 0.30 for multi-label assignments. Each assignment should include probabilistic confidence measures.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Read, J., Pfahringer, B., Holmes, G., &amp; Frank, E. (2011). Classifier chains for multi-label classification. Machine Learning, 85(3), 333-359.</w:t>
      </w:r>
    </w:p>
    <w:p/>
    <w:p>
      <w:pPr>
        <w:pStyle w:val="Heading2"/>
      </w:pPr>
      <w:r>
        <w:rPr>
          <w:rFonts w:ascii="Times New Roman" w:hAnsi="Times New Roman"/>
          <w:b/>
        </w:rPr>
        <w:t>4.2 Codebook/Code Frame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Clear definitions with 3-5 exemplar quotes per code, keywords list, and operational definitions. Code labels should be concise (2-5 words) and mutually exclusive where possible.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MacQueen, K. M., McLellan, E., Kay, K., &amp; Milstein, B. (1998). Codebook development for team-based qualitative analysis. CAM Journal, 10(2), 31-36.</w:t>
      </w:r>
    </w:p>
    <w:p/>
    <w:p>
      <w:pPr>
        <w:pStyle w:val="Heading2"/>
      </w:pPr>
      <w:r>
        <w:rPr>
          <w:rFonts w:ascii="Times New Roman" w:hAnsi="Times New Roman"/>
          <w:b/>
        </w:rPr>
        <w:t>4.3 Code Frequency Tables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Frequencies with percentages, rank ordering, and statistical measures (mean, median, mode). No single code should dominate &gt; 50% of responses unless theoretically justified.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Miles, M. B., Huberman, A. M., &amp; Saldana, J. (2014). Qualitative data analysis: A methods sourcebook (3rd ed.). Sage Publications.</w:t>
      </w:r>
    </w:p>
    <w:p/>
    <w:p>
      <w:pPr>
        <w:pStyle w:val="Heading2"/>
      </w:pPr>
      <w:r>
        <w:rPr>
          <w:rFonts w:ascii="Times New Roman" w:hAnsi="Times New Roman"/>
          <w:b/>
        </w:rPr>
        <w:t>4.4 Quality and Confidence Metrics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Average confidence &gt; 0.50, standard deviation &lt; 0.25. Include precision, recall, and F1-score where validation data exists.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Fleiss, J. L., Levin, B., &amp; Paik, M. C. (2003). Statistical methods for rates and proportions (3rd ed.). John Wiley &amp; Sons.</w:t>
      </w:r>
    </w:p>
    <w:p/>
    <w:p>
      <w:pPr>
        <w:pStyle w:val="Heading2"/>
      </w:pPr>
      <w:r>
        <w:rPr>
          <w:rFonts w:ascii="Times New Roman" w:hAnsi="Times New Roman"/>
          <w:b/>
        </w:rPr>
        <w:t>4.5 Binary/Multi-Label Matrix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Sparse matrix representation with documented encoding scheme. Enable statistical analysis including chi-square tests, correlation analysis, and cluster validation.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Tsoumakas, G., &amp; Katakis, I. (2007). Multi-label classification: An overview. International Journal of Data Warehousing and Mining, 3(3), 1-13.</w:t>
      </w:r>
    </w:p>
    <w:p/>
    <w:p>
      <w:pPr>
        <w:pStyle w:val="Heading2"/>
      </w:pPr>
      <w:r>
        <w:rPr>
          <w:rFonts w:ascii="Times New Roman" w:hAnsi="Times New Roman"/>
          <w:b/>
        </w:rPr>
        <w:t>4.6 Representative Quotes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3-5 quotes per code selected based on highest confidence scores and semantic centrality. Quotes should exemplify core characteristics of each theme.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Sandelowski, M. (1994). The use of quotes in qualitative research. Research in Nursing &amp; Health, 17(6), 479-482.</w:t>
      </w:r>
    </w:p>
    <w:p/>
    <w:p>
      <w:pPr>
        <w:pStyle w:val="Heading2"/>
      </w:pPr>
      <w:r>
        <w:rPr>
          <w:rFonts w:ascii="Times New Roman" w:hAnsi="Times New Roman"/>
          <w:b/>
        </w:rPr>
        <w:t>4.7 Co-occurrence Analysis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Statistical significance testing (p &lt; 0.05) for code pairs. Report lift and confidence measures for association rules. Minimum support threshold of 2% recommended.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Agrawal, R., &amp; Srikant, R. (1994). Fast algorithms for mining association rules. VLDB 1994, 487-499.</w:t>
      </w:r>
    </w:p>
    <w:p/>
    <w:p>
      <w:pPr>
        <w:pStyle w:val="Heading2"/>
      </w:pPr>
      <w:r>
        <w:rPr>
          <w:rFonts w:ascii="Times New Roman" w:hAnsi="Times New Roman"/>
          <w:b/>
        </w:rPr>
        <w:t>4.8 Descriptive Statistics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Complete summary statistics including measures of central tendency, dispersion, and distribution shape. Report skewness and kurtosis for code frequency distributions.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Tabachnick, B. G., &amp; Fidell, L. S. (2013). Using multivariate statistics (6th ed.). Pearson.</w:t>
      </w:r>
    </w:p>
    <w:p/>
    <w:p>
      <w:pPr>
        <w:pStyle w:val="Heading2"/>
      </w:pPr>
      <w:r>
        <w:rPr>
          <w:rFonts w:ascii="Times New Roman" w:hAnsi="Times New Roman"/>
          <w:b/>
        </w:rPr>
        <w:t>4.9 Segmentation Analysis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Minimum 30 responses per segment for reliable analysis. Chi-square tests for independence with effect size measures (Cramer's V). Bonferroni correction for multiple comparisons.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Agresti, A. (2018). Statistical methods for the social sciences (5th ed.). Pearson.</w:t>
      </w:r>
    </w:p>
    <w:p/>
    <w:p>
      <w:pPr>
        <w:pStyle w:val="Heading2"/>
      </w:pPr>
      <w:r>
        <w:rPr>
          <w:rFonts w:ascii="Times New Roman" w:hAnsi="Times New Roman"/>
          <w:b/>
        </w:rPr>
        <w:t>4.10 Quality Assurance Report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Documentation of validation procedures, error analysis, and methodological limitations. Include audit trail of coding decisions and inter-rater reliability where applicable.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Lincoln, Y. S., &amp; Guba, E. G. (1985). Naturalistic inquiry. Sage Publications.</w:t>
      </w:r>
    </w:p>
    <w:p/>
    <w:p>
      <w:pPr>
        <w:pStyle w:val="Heading2"/>
      </w:pPr>
      <w:r>
        <w:rPr>
          <w:rFonts w:ascii="Times New Roman" w:hAnsi="Times New Roman"/>
          <w:b/>
        </w:rPr>
        <w:t>4.11 Visualizations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Publication-quality graphics following Tufte principles: high data-ink ratio, clear labels, appropriate color schemes for colorblind accessibility, and proper scaling.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Tufte, E. R. (2001). The visual display of quantitative information (2nd ed.). Graphics Press.</w:t>
      </w:r>
    </w:p>
    <w:p/>
    <w:p>
      <w:pPr>
        <w:pStyle w:val="Heading2"/>
      </w:pPr>
      <w:r>
        <w:rPr>
          <w:rFonts w:ascii="Times New Roman" w:hAnsi="Times New Roman"/>
          <w:b/>
        </w:rPr>
        <w:t>4.12 Multi-Format Exports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Standards-compliant CSV (RFC 4180), Excel (XLSX with proper data types), and JSON (UTF-8 encoded) formats. Maintain data integrity and metadata across formats.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Wickham, H. (2014). Tidy data. Journal of Statistical Software, 59(10), 1-23.</w:t>
      </w:r>
    </w:p>
    <w:p/>
    <w:p>
      <w:pPr>
        <w:pStyle w:val="Heading2"/>
      </w:pPr>
      <w:r>
        <w:rPr>
          <w:rFonts w:ascii="Times New Roman" w:hAnsi="Times New Roman"/>
          <w:b/>
        </w:rPr>
        <w:t>4.13 Method Documentation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Complete reproducibility documentation including software versions, random seeds, parameter settings, and computational environment. Follow FAIR principles (Findable, Accessible, Interoperable, Reusable).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Wilkinson, M. D., et al. (2016). The FAIR Guiding Principles for scientific data management and stewardship. Scientific Data, 3, 160018.</w:t>
      </w:r>
    </w:p>
    <w:p/>
    <w:p>
      <w:pPr>
        <w:pStyle w:val="Heading2"/>
      </w:pPr>
      <w:r>
        <w:rPr>
          <w:rFonts w:ascii="Times New Roman" w:hAnsi="Times New Roman"/>
          <w:b/>
        </w:rPr>
        <w:t>4.14 Uncoded/Ambiguous Responses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Systematic review of uncoded responses (&lt; 20% acceptable). Document reasons for exclusion and ambiguity. Consider additional coding cycles for high ambiguity rates (&gt; 15%).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Charmaz, K. (2014). Constructing grounded theory (2nd ed.). Sage Publications.</w:t>
      </w:r>
    </w:p>
    <w:p/>
    <w:p>
      <w:pPr>
        <w:pStyle w:val="Heading2"/>
      </w:pPr>
      <w:r>
        <w:rPr>
          <w:rFonts w:ascii="Times New Roman" w:hAnsi="Times New Roman"/>
          <w:b/>
        </w:rPr>
        <w:t>4.15 Executive Summary</w:t>
      </w:r>
    </w:p>
    <w:p>
      <w:r>
        <w:rPr>
          <w:rFonts w:ascii="Times New Roman" w:hAnsi="Times New Roman"/>
          <w:b/>
          <w:sz w:val="24"/>
        </w:rPr>
        <w:t xml:space="preserve">Benchmark Standard: </w:t>
      </w:r>
      <w:r>
        <w:rPr>
          <w:rFonts w:ascii="Times New Roman" w:hAnsi="Times New Roman"/>
          <w:sz w:val="24"/>
        </w:rPr>
        <w:t>Concise summary (1-2 pages) with key findings, top 5 themes, actionable insights, and limitations. Written for non-technical stakeholders following plain language guidelines.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American Psychological Association. (2020). Publication manual of the American Psychological Association (7th ed.).</w:t>
      </w:r>
    </w:p>
    <w:p/>
    <w:p>
      <w:pPr>
        <w:pStyle w:val="Heading1"/>
      </w:pPr>
      <w:r>
        <w:rPr>
          <w:rFonts w:ascii="Times New Roman" w:hAnsi="Times New Roman"/>
          <w:b/>
        </w:rPr>
        <w:t>5. Validation and Reliability Standards</w:t>
      </w:r>
    </w:p>
    <w:p>
      <w:pPr>
        <w:pStyle w:val="Heading2"/>
      </w:pPr>
      <w:r>
        <w:rPr>
          <w:rFonts w:ascii="Times New Roman" w:hAnsi="Times New Roman"/>
          <w:b/>
        </w:rPr>
        <w:t>5.1 Internal Validity</w:t>
      </w:r>
    </w:p>
    <w:p>
      <w:pPr>
        <w:pStyle w:val="ListBullet"/>
      </w:pPr>
      <w:r>
        <w:rPr>
          <w:rFonts w:ascii="Times New Roman" w:hAnsi="Times New Roman"/>
          <w:sz w:val="24"/>
        </w:rPr>
        <w:t>Consistency checks: Code assignments should remain stable across multiple algorithm runs (&gt; 90% agreement)</w:t>
      </w:r>
    </w:p>
    <w:p>
      <w:pPr>
        <w:pStyle w:val="ListBullet"/>
      </w:pPr>
      <w:r>
        <w:rPr>
          <w:rFonts w:ascii="Times New Roman" w:hAnsi="Times New Roman"/>
          <w:sz w:val="24"/>
        </w:rPr>
        <w:t>Convergent validity: Different algorithms should identify similar major themes</w:t>
      </w:r>
    </w:p>
    <w:p>
      <w:pPr>
        <w:pStyle w:val="ListBullet"/>
      </w:pPr>
      <w:r>
        <w:rPr>
          <w:rFonts w:ascii="Times New Roman" w:hAnsi="Times New Roman"/>
          <w:sz w:val="24"/>
        </w:rPr>
        <w:t>Content validity: Codes should comprehensively represent the data domain</w:t>
      </w:r>
    </w:p>
    <w:p>
      <w:pPr>
        <w:pStyle w:val="ListBullet"/>
      </w:pPr>
      <w:r>
        <w:rPr>
          <w:rFonts w:ascii="Times New Roman" w:hAnsi="Times New Roman"/>
          <w:sz w:val="24"/>
        </w:rPr>
        <w:t>Face validity: Subject matter experts should confirm code interpretability</w:t>
      </w:r>
    </w:p>
    <w:p/>
    <w:p>
      <w:pPr>
        <w:pStyle w:val="Heading2"/>
      </w:pPr>
      <w:r>
        <w:rPr>
          <w:rFonts w:ascii="Times New Roman" w:hAnsi="Times New Roman"/>
          <w:b/>
        </w:rPr>
        <w:t>5.2 External Validity</w:t>
      </w:r>
    </w:p>
    <w:p>
      <w:pPr>
        <w:pStyle w:val="ListBullet"/>
      </w:pPr>
      <w:r>
        <w:rPr>
          <w:rFonts w:ascii="Times New Roman" w:hAnsi="Times New Roman"/>
          <w:sz w:val="24"/>
        </w:rPr>
        <w:t>Transferability: Findings should generalize to similar populations/contexts</w:t>
      </w:r>
    </w:p>
    <w:p>
      <w:pPr>
        <w:pStyle w:val="ListBullet"/>
      </w:pPr>
      <w:r>
        <w:rPr>
          <w:rFonts w:ascii="Times New Roman" w:hAnsi="Times New Roman"/>
          <w:sz w:val="24"/>
        </w:rPr>
        <w:t>Confirmability: Results should be verifiable through audit trails and documentation</w:t>
      </w:r>
    </w:p>
    <w:p>
      <w:pPr>
        <w:pStyle w:val="ListBullet"/>
      </w:pPr>
      <w:r>
        <w:rPr>
          <w:rFonts w:ascii="Times New Roman" w:hAnsi="Times New Roman"/>
          <w:sz w:val="24"/>
        </w:rPr>
        <w:t>Dependability: Analysis should be replicable with consistent results</w:t>
      </w:r>
    </w:p>
    <w:p>
      <w:pPr>
        <w:pStyle w:val="ListBullet"/>
      </w:pPr>
      <w:r>
        <w:rPr>
          <w:rFonts w:ascii="Times New Roman" w:hAnsi="Times New Roman"/>
          <w:sz w:val="24"/>
        </w:rPr>
        <w:t>Credibility: Findings should resonate with stakeholder experiences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Guba, E. G., &amp; Lincoln, Y. S. (1989). Fourth generation evaluation. Sage Publications.</w:t>
      </w:r>
    </w:p>
    <w:p/>
    <w:p>
      <w:pPr>
        <w:pStyle w:val="Heading1"/>
      </w:pPr>
      <w:r>
        <w:rPr>
          <w:rFonts w:ascii="Times New Roman" w:hAnsi="Times New Roman"/>
          <w:b/>
        </w:rPr>
        <w:t>6. Computational Performance Benchmarks</w:t>
      </w:r>
    </w:p>
    <w:p>
      <w:r>
        <w:rPr>
          <w:rFonts w:ascii="Times New Roman" w:hAnsi="Times New Roman"/>
          <w:b/>
          <w:sz w:val="24"/>
        </w:rPr>
        <w:t>Processing Time:</w:t>
      </w:r>
    </w:p>
    <w:p>
      <w:pPr>
        <w:pStyle w:val="ListBullet"/>
      </w:pPr>
      <w:r>
        <w:rPr>
          <w:rFonts w:ascii="Times New Roman" w:hAnsi="Times New Roman"/>
          <w:sz w:val="24"/>
        </w:rPr>
        <w:t>1,000 responses: &lt; 30 seconds</w:t>
      </w:r>
    </w:p>
    <w:p>
      <w:pPr>
        <w:pStyle w:val="ListBullet"/>
      </w:pPr>
      <w:r>
        <w:rPr>
          <w:rFonts w:ascii="Times New Roman" w:hAnsi="Times New Roman"/>
          <w:sz w:val="24"/>
        </w:rPr>
        <w:t>10,000 responses: &lt; 5 minutes</w:t>
      </w:r>
    </w:p>
    <w:p>
      <w:pPr>
        <w:pStyle w:val="ListBullet"/>
      </w:pPr>
      <w:r>
        <w:rPr>
          <w:rFonts w:ascii="Times New Roman" w:hAnsi="Times New Roman"/>
          <w:sz w:val="24"/>
        </w:rPr>
        <w:t>100,000 responses: &lt; 30 minutes</w:t>
      </w:r>
    </w:p>
    <w:p>
      <w:r>
        <w:rPr>
          <w:rFonts w:ascii="Times New Roman" w:hAnsi="Times New Roman"/>
          <w:b/>
          <w:sz w:val="24"/>
        </w:rPr>
        <w:t>Memory Usage:</w:t>
      </w:r>
    </w:p>
    <w:p>
      <w:pPr>
        <w:pStyle w:val="ListBullet"/>
      </w:pPr>
      <w:r>
        <w:rPr>
          <w:rFonts w:ascii="Times New Roman" w:hAnsi="Times New Roman"/>
          <w:sz w:val="24"/>
        </w:rPr>
        <w:t>Peak memory should not exceed 2GB for datasets &lt; 50,000 responses</w:t>
      </w:r>
    </w:p>
    <w:p>
      <w:pPr>
        <w:pStyle w:val="ListBullet"/>
      </w:pPr>
      <w:r>
        <w:rPr>
          <w:rFonts w:ascii="Times New Roman" w:hAnsi="Times New Roman"/>
          <w:sz w:val="24"/>
        </w:rPr>
        <w:t>Linear or sub-linear memory scaling with dataset size</w:t>
      </w:r>
    </w:p>
    <w:p>
      <w:pPr>
        <w:pStyle w:val="ListBullet"/>
      </w:pPr>
      <w:r>
        <w:rPr>
          <w:rFonts w:ascii="Times New Roman" w:hAnsi="Times New Roman"/>
          <w:sz w:val="24"/>
        </w:rPr>
        <w:t>Efficient sparse matrix representations for large vocabularies</w:t>
      </w:r>
    </w:p>
    <w:p>
      <w:r>
        <w:rPr>
          <w:rFonts w:ascii="Times New Roman" w:hAnsi="Times New Roman"/>
          <w:b/>
          <w:sz w:val="22"/>
        </w:rPr>
        <w:t xml:space="preserve">Reference: </w:t>
      </w:r>
      <w:r>
        <w:rPr>
          <w:rFonts w:ascii="Times New Roman" w:hAnsi="Times New Roman"/>
          <w:sz w:val="22"/>
        </w:rPr>
        <w:t>Pedregosa, F., et al. (2011). Scikit-learn: Machine learning in Python. Journal of Machine Learning Research, 12, 2825-2830.</w:t>
      </w:r>
    </w:p>
    <w:p/>
    <w:p>
      <w:pPr>
        <w:pStyle w:val="Heading1"/>
      </w:pPr>
      <w:r>
        <w:rPr>
          <w:rFonts w:ascii="Times New Roman" w:hAnsi="Times New Roman"/>
          <w:b/>
        </w:rPr>
        <w:t>7. Conclusion</w:t>
      </w:r>
    </w:p>
    <w:p>
      <w:r>
        <w:rPr>
          <w:rFonts w:ascii="Times New Roman" w:hAnsi="Times New Roman"/>
          <w:sz w:val="24"/>
        </w:rPr>
        <w:t>These benchmark standards provide a comprehensive framework for evaluating the quality, validity, and reliability of open-ended coding analysis. Adherence to these standards ensures that the JC-OE-Coding framework produces results that meet academic rigor and industry best practices. Regular validation against these benchmarks is recommended to maintain quality assurance and continuous improvement of the analytical methods.</w:t>
      </w:r>
    </w:p>
    <w:p/>
    <w:p>
      <w:pPr>
        <w:pStyle w:val="Heading1"/>
      </w:pPr>
      <w:r>
        <w:rPr>
          <w:rFonts w:ascii="Times New Roman" w:hAnsi="Times New Roman"/>
          <w:b/>
        </w:rPr>
        <w:t>8. Additional Resources</w:t>
      </w:r>
    </w:p>
    <w:p>
      <w:pPr>
        <w:pStyle w:val="ListBullet"/>
      </w:pPr>
      <w:r>
        <w:rPr>
          <w:rFonts w:ascii="Times New Roman" w:hAnsi="Times New Roman"/>
          <w:sz w:val="22"/>
        </w:rPr>
        <w:t>Scikit-learn Documentation: https://scikit-learn.org/stable/modules/clustering.html</w:t>
      </w:r>
    </w:p>
    <w:p>
      <w:pPr>
        <w:pStyle w:val="ListBullet"/>
      </w:pPr>
      <w:r>
        <w:rPr>
          <w:rFonts w:ascii="Times New Roman" w:hAnsi="Times New Roman"/>
          <w:sz w:val="22"/>
        </w:rPr>
        <w:t>NLTK Documentation: https://www.nltk.org/</w:t>
      </w:r>
    </w:p>
    <w:p>
      <w:pPr>
        <w:pStyle w:val="ListBullet"/>
      </w:pPr>
      <w:r>
        <w:rPr>
          <w:rFonts w:ascii="Times New Roman" w:hAnsi="Times New Roman"/>
          <w:sz w:val="22"/>
        </w:rPr>
        <w:t>The Qualitative Data Analysis Software (QDAS) Comparison: Lewins, A., &amp; Silver, C. (2007). Using software in qualitative research: A step-by-step guide. Sage Publications.</w:t>
      </w:r>
    </w:p>
    <w:p>
      <w:pPr>
        <w:pStyle w:val="ListBullet"/>
      </w:pPr>
      <w:r>
        <w:rPr>
          <w:rFonts w:ascii="Times New Roman" w:hAnsi="Times New Roman"/>
          <w:sz w:val="22"/>
        </w:rPr>
        <w:t>Text Mining and Analysis: Practical Methods, Examples, and Case Studies Using SAS. Chakraborty, G., Pagolu, M., &amp; Garla, S. (2014). SAS Institute.</w:t>
      </w:r>
    </w:p>
    <w:p>
      <w:pPr>
        <w:pStyle w:val="ListBullet"/>
      </w:pPr>
      <w:r>
        <w:rPr>
          <w:rFonts w:ascii="Times New Roman" w:hAnsi="Times New Roman"/>
          <w:sz w:val="22"/>
        </w:rPr>
        <w:t>Handbook of Mixed Methods in Social &amp; Behavioral Research (2nd ed.). Tashakkori, A., &amp; Teddlie, C. (2010). Sage Publications.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